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FDC02" w14:textId="77777777" w:rsidR="00A901A8" w:rsidRPr="00242A60" w:rsidRDefault="00717EC6">
      <w:pPr>
        <w:pStyle w:val="BookTitle1"/>
      </w:pPr>
      <w:r>
        <w:t>THE DEATH OF THE LIVING COSMOS</w:t>
      </w:r>
    </w:p>
    <w:p w14:paraId="5297EFDF" w14:textId="08F248E5" w:rsidR="00A901A8" w:rsidRPr="00242A60" w:rsidRDefault="00717EC6">
      <w:pPr>
        <w:pStyle w:val="BookSubtitle"/>
      </w:pPr>
      <w:r w:rsidRPr="00242A60">
        <w:rPr>
          <w:color w:val="5A5A5A"/>
          <w:szCs w:val="28"/>
        </w:rPr>
        <w:t xml:space="preserve">From </w:t>
      </w:r>
      <w:r w:rsidR="00492BAB">
        <w:rPr>
          <w:color w:val="5A5A5A"/>
          <w:szCs w:val="28"/>
        </w:rPr>
        <w:t>Cosmic Participation to Qualitative Disenchantment</w:t>
      </w:r>
    </w:p>
    <w:p w14:paraId="29DA323B" w14:textId="77777777" w:rsidR="00F93551" w:rsidRDefault="00DD7D58">
      <w:pPr>
        <w:pStyle w:val="BookAuthor"/>
      </w:pPr>
      <w:r>
        <w:t>Brenton L. Delp</w:t>
      </w:r>
    </w:p>
    <w:p w14:paraId="32C5C159" w14:textId="77777777" w:rsidR="00F93551" w:rsidRDefault="00DD7D58">
      <w:pPr>
        <w:pStyle w:val="BookYear"/>
      </w:pPr>
      <w:r>
        <w:t>2026</w:t>
      </w:r>
    </w:p>
    <w:p w14:paraId="67974AD9" w14:textId="77777777" w:rsidR="00F93551" w:rsidRDefault="00F93551">
      <w:pPr>
        <w:sectPr w:rsidR="00F93551">
          <w:headerReference w:type="default" r:id="rId8"/>
          <w:footerReference w:type="default" r:id="rId9"/>
          <w:pgSz w:w="12240" w:h="15840"/>
          <w:pgMar w:top="1440" w:right="1440" w:bottom="1440" w:left="1440" w:header="504" w:footer="504" w:gutter="0"/>
          <w:cols w:space="720"/>
          <w:docGrid w:linePitch="360"/>
        </w:sectPr>
      </w:pPr>
    </w:p>
    <w:p w14:paraId="321F46AB" w14:textId="77777777" w:rsidR="00F93551" w:rsidRDefault="00DD7D58">
      <w:pPr>
        <w:pStyle w:val="ContentsHeading"/>
      </w:pPr>
      <w:r>
        <w:lastRenderedPageBreak/>
        <w:t>Contents</w:t>
      </w:r>
    </w:p>
    <w:p w14:paraId="74E6CDCF" w14:textId="77777777" w:rsidR="00F93551" w:rsidRDefault="00DD7D58">
      <w:pPr>
        <w:pStyle w:val="TOCChapter"/>
        <w:tabs>
          <w:tab w:val="right" w:pos="10008"/>
        </w:tabs>
      </w:pPr>
      <w:hyperlink w:anchor="toc_introduction" w:history="1">
        <w:r>
          <w:rPr>
            <w:szCs w:val="21"/>
          </w:rPr>
          <w:t>Introduction — Two Skies</w:t>
        </w:r>
      </w:hyperlink>
      <w:r>
        <w:tab/>
        <w:t>1</w:t>
      </w:r>
    </w:p>
    <w:p w14:paraId="5572672C" w14:textId="77777777" w:rsidR="00F93551" w:rsidRDefault="00DD7D58">
      <w:pPr>
        <w:pStyle w:val="TOCPart"/>
        <w:pBdr>
          <w:bottom w:val="single" w:sz="4" w:space="2" w:color="999999"/>
        </w:pBdr>
        <w:tabs>
          <w:tab w:val="right" w:pos="10008"/>
        </w:tabs>
      </w:pPr>
      <w:hyperlink w:anchor="toc_part_1" w:history="1">
        <w:r>
          <w:rPr>
            <w:bCs/>
            <w:szCs w:val="21"/>
          </w:rPr>
          <w:t>Part I — The World Before Nature</w:t>
        </w:r>
      </w:hyperlink>
      <w:r>
        <w:tab/>
        <w:t>22</w:t>
      </w:r>
    </w:p>
    <w:p w14:paraId="20ECEF42" w14:textId="77777777" w:rsidR="00F93551" w:rsidRDefault="00DD7D58">
      <w:pPr>
        <w:pStyle w:val="TOCChapter"/>
        <w:tabs>
          <w:tab w:val="right" w:pos="10008"/>
        </w:tabs>
      </w:pPr>
      <w:hyperlink w:anchor="toc_chapter_1" w:history="1">
        <w:r>
          <w:rPr>
            <w:szCs w:val="21"/>
          </w:rPr>
          <w:t>Chapter 1 — What It Meant for a Cosmos to Live</w:t>
        </w:r>
      </w:hyperlink>
      <w:r>
        <w:tab/>
        <w:t>23</w:t>
      </w:r>
    </w:p>
    <w:p w14:paraId="3CA37C83" w14:textId="77777777" w:rsidR="00F93551" w:rsidRDefault="00DD7D58">
      <w:pPr>
        <w:pStyle w:val="TOCChapter"/>
        <w:tabs>
          <w:tab w:val="right" w:pos="10008"/>
        </w:tabs>
      </w:pPr>
      <w:hyperlink w:anchor="toc_chapter_2" w:history="1">
        <w:r>
          <w:rPr>
            <w:szCs w:val="21"/>
          </w:rPr>
          <w:t>Chapter 2 — Tablet, Temple, River, Sky</w:t>
        </w:r>
      </w:hyperlink>
      <w:r>
        <w:tab/>
        <w:t>49</w:t>
      </w:r>
    </w:p>
    <w:p w14:paraId="66EC76A5" w14:textId="77777777" w:rsidR="00F93551" w:rsidRDefault="00DD7D58">
      <w:pPr>
        <w:pStyle w:val="TOCChapter"/>
        <w:tabs>
          <w:tab w:val="right" w:pos="10008"/>
        </w:tabs>
      </w:pPr>
      <w:hyperlink w:anchor="toc_chapter_3" w:history="1">
        <w:r>
          <w:rPr>
            <w:szCs w:val="21"/>
          </w:rPr>
          <w:t>Chapter 3 — The Greek Discovery of Kosmos</w:t>
        </w:r>
      </w:hyperlink>
      <w:r>
        <w:tab/>
        <w:t>77</w:t>
      </w:r>
    </w:p>
    <w:p w14:paraId="1890759B" w14:textId="77777777" w:rsidR="00F93551" w:rsidRDefault="00DD7D58">
      <w:pPr>
        <w:pStyle w:val="TOCChapter"/>
        <w:tabs>
          <w:tab w:val="right" w:pos="10008"/>
        </w:tabs>
      </w:pPr>
      <w:hyperlink w:anchor="toc_chapter_4" w:history="1">
        <w:r>
          <w:rPr>
            <w:szCs w:val="21"/>
          </w:rPr>
          <w:t>Chapter 4 — The Qualitative Heavens</w:t>
        </w:r>
      </w:hyperlink>
      <w:r>
        <w:tab/>
        <w:t>107</w:t>
      </w:r>
    </w:p>
    <w:p w14:paraId="78FC70BB" w14:textId="77777777" w:rsidR="00F93551" w:rsidRDefault="00DD7D58">
      <w:pPr>
        <w:pStyle w:val="TOCPart"/>
        <w:pBdr>
          <w:bottom w:val="single" w:sz="4" w:space="2" w:color="999999"/>
        </w:pBdr>
        <w:tabs>
          <w:tab w:val="right" w:pos="10008"/>
        </w:tabs>
      </w:pPr>
      <w:hyperlink w:anchor="toc_part_5" w:history="1">
        <w:r>
          <w:rPr>
            <w:bCs/>
            <w:szCs w:val="21"/>
          </w:rPr>
          <w:t>Part II — From Cosmos to Creation</w:t>
        </w:r>
      </w:hyperlink>
      <w:r>
        <w:tab/>
        <w:t>135</w:t>
      </w:r>
    </w:p>
    <w:p w14:paraId="077DA355" w14:textId="77777777" w:rsidR="00F93551" w:rsidRDefault="00DD7D58">
      <w:pPr>
        <w:pStyle w:val="TOCChapter"/>
        <w:tabs>
          <w:tab w:val="right" w:pos="10008"/>
        </w:tabs>
      </w:pPr>
      <w:hyperlink w:anchor="toc_chapter_5" w:history="1">
        <w:r>
          <w:rPr>
            <w:szCs w:val="21"/>
          </w:rPr>
          <w:t>Chapter 5 — Creation Against the Gods</w:t>
        </w:r>
      </w:hyperlink>
      <w:r>
        <w:tab/>
        <w:t>136</w:t>
      </w:r>
    </w:p>
    <w:p w14:paraId="79EFAED8" w14:textId="77777777" w:rsidR="00F93551" w:rsidRDefault="00DD7D58">
      <w:pPr>
        <w:pStyle w:val="TOCChapter"/>
        <w:tabs>
          <w:tab w:val="right" w:pos="10008"/>
        </w:tabs>
      </w:pPr>
      <w:hyperlink w:anchor="toc_chapter_6" w:history="1">
        <w:r>
          <w:rPr>
            <w:szCs w:val="21"/>
          </w:rPr>
          <w:t>Chapter 6 — Christ, Providence, and the Contest with Fate</w:t>
        </w:r>
      </w:hyperlink>
      <w:r>
        <w:tab/>
        <w:t>162</w:t>
      </w:r>
    </w:p>
    <w:p w14:paraId="7B1392CB" w14:textId="77777777" w:rsidR="00F93551" w:rsidRDefault="00DD7D58">
      <w:pPr>
        <w:pStyle w:val="TOCChapter"/>
        <w:tabs>
          <w:tab w:val="right" w:pos="10008"/>
        </w:tabs>
      </w:pPr>
      <w:hyperlink w:anchor="toc_chapter_7" w:history="1">
        <w:r>
          <w:rPr>
            <w:szCs w:val="21"/>
          </w:rPr>
          <w:t>Chapter 7 — Astral Sciences Between Worlds</w:t>
        </w:r>
      </w:hyperlink>
      <w:r>
        <w:tab/>
        <w:t>191</w:t>
      </w:r>
    </w:p>
    <w:p w14:paraId="38F37F8A" w14:textId="77777777" w:rsidR="00F93551" w:rsidRDefault="00DD7D58">
      <w:pPr>
        <w:pStyle w:val="TOCChapter"/>
        <w:tabs>
          <w:tab w:val="right" w:pos="10008"/>
        </w:tabs>
      </w:pPr>
      <w:hyperlink w:anchor="toc_chapter_8" w:history="1">
        <w:r>
          <w:rPr>
            <w:szCs w:val="21"/>
          </w:rPr>
          <w:t>Chapter 8 — The Medieval Architecture of Heaven</w:t>
        </w:r>
      </w:hyperlink>
      <w:r>
        <w:tab/>
        <w:t>217</w:t>
      </w:r>
    </w:p>
    <w:p w14:paraId="7070AC78" w14:textId="77777777" w:rsidR="00F93551" w:rsidRDefault="00DD7D58">
      <w:pPr>
        <w:pStyle w:val="TOCPart"/>
        <w:pBdr>
          <w:bottom w:val="single" w:sz="4" w:space="2" w:color="999999"/>
        </w:pBdr>
        <w:tabs>
          <w:tab w:val="right" w:pos="10008"/>
        </w:tabs>
      </w:pPr>
      <w:hyperlink w:anchor="toc_part_9" w:history="1">
        <w:r>
          <w:rPr>
            <w:bCs/>
            <w:szCs w:val="21"/>
          </w:rPr>
          <w:t>Part III — Fracture and the Last Living Matter</w:t>
        </w:r>
      </w:hyperlink>
      <w:r>
        <w:tab/>
        <w:t>241</w:t>
      </w:r>
    </w:p>
    <w:p w14:paraId="2D95618B" w14:textId="77777777" w:rsidR="00F93551" w:rsidRDefault="00DD7D58">
      <w:pPr>
        <w:pStyle w:val="TOCChapter"/>
        <w:tabs>
          <w:tab w:val="right" w:pos="10008"/>
        </w:tabs>
      </w:pPr>
      <w:hyperlink w:anchor="toc_chapter_9" w:history="1">
        <w:r>
          <w:rPr>
            <w:szCs w:val="21"/>
          </w:rPr>
          <w:t>Chapter 9 — Contingency and the Fracture of Presence</w:t>
        </w:r>
      </w:hyperlink>
      <w:r>
        <w:tab/>
        <w:t>242</w:t>
      </w:r>
    </w:p>
    <w:p w14:paraId="56CBE557" w14:textId="77777777" w:rsidR="00F93551" w:rsidRDefault="00DD7D58">
      <w:pPr>
        <w:pStyle w:val="TOCChapter"/>
        <w:tabs>
          <w:tab w:val="right" w:pos="10008"/>
        </w:tabs>
      </w:pPr>
      <w:hyperlink w:anchor="toc_chapter_10" w:history="1">
        <w:r>
          <w:rPr>
            <w:szCs w:val="21"/>
          </w:rPr>
          <w:t>Chapter 10 — Renaissance Magic and Cosmic Sympathy</w:t>
        </w:r>
      </w:hyperlink>
      <w:r>
        <w:tab/>
        <w:t>268</w:t>
      </w:r>
    </w:p>
    <w:p w14:paraId="672A1E42" w14:textId="77777777" w:rsidR="00F93551" w:rsidRDefault="00DD7D58">
      <w:pPr>
        <w:pStyle w:val="TOCChapter"/>
        <w:tabs>
          <w:tab w:val="right" w:pos="10008"/>
        </w:tabs>
      </w:pPr>
      <w:hyperlink w:anchor="toc_chapter_11" w:history="1">
        <w:r>
          <w:rPr>
            <w:szCs w:val="21"/>
          </w:rPr>
          <w:t>Chapter 11 — Alchemy and the Life of Matter</w:t>
        </w:r>
      </w:hyperlink>
      <w:r>
        <w:tab/>
        <w:t>298</w:t>
      </w:r>
    </w:p>
    <w:p w14:paraId="55D7BA25" w14:textId="77777777" w:rsidR="00F93551" w:rsidRDefault="00DD7D58">
      <w:pPr>
        <w:pStyle w:val="TOCChapter"/>
        <w:tabs>
          <w:tab w:val="right" w:pos="10008"/>
        </w:tabs>
      </w:pPr>
      <w:hyperlink w:anchor="toc_chapter_12" w:history="1">
        <w:r>
          <w:rPr>
            <w:szCs w:val="21"/>
          </w:rPr>
          <w:t>Chapter 12 — Map, Clock, and Mine</w:t>
        </w:r>
      </w:hyperlink>
      <w:r>
        <w:tab/>
        <w:t>324</w:t>
      </w:r>
    </w:p>
    <w:p w14:paraId="500CF40F" w14:textId="77777777" w:rsidR="00F93551" w:rsidRDefault="00DD7D58">
      <w:pPr>
        <w:pStyle w:val="TOCPart"/>
        <w:pBdr>
          <w:bottom w:val="single" w:sz="4" w:space="2" w:color="999999"/>
        </w:pBdr>
        <w:tabs>
          <w:tab w:val="right" w:pos="10008"/>
        </w:tabs>
      </w:pPr>
      <w:hyperlink w:anchor="toc_part_13" w:history="1">
        <w:r>
          <w:rPr>
            <w:bCs/>
            <w:szCs w:val="21"/>
          </w:rPr>
          <w:t>Part IV — The Making of the Universe</w:t>
        </w:r>
      </w:hyperlink>
      <w:r>
        <w:tab/>
        <w:t>356</w:t>
      </w:r>
    </w:p>
    <w:p w14:paraId="1BFBBC64" w14:textId="77777777" w:rsidR="00F93551" w:rsidRDefault="00DD7D58">
      <w:pPr>
        <w:pStyle w:val="TOCChapter"/>
        <w:tabs>
          <w:tab w:val="right" w:pos="10008"/>
        </w:tabs>
      </w:pPr>
      <w:hyperlink w:anchor="toc_chapter_13" w:history="1">
        <w:r>
          <w:rPr>
            <w:szCs w:val="21"/>
          </w:rPr>
          <w:t>Chapter 13 — Earth Displaced, Harmony Retained</w:t>
        </w:r>
      </w:hyperlink>
      <w:r>
        <w:tab/>
        <w:t>357</w:t>
      </w:r>
    </w:p>
    <w:p w14:paraId="2377131C" w14:textId="77777777" w:rsidR="00F93551" w:rsidRDefault="00DD7D58">
      <w:pPr>
        <w:pStyle w:val="TOCChapter"/>
        <w:tabs>
          <w:tab w:val="right" w:pos="10008"/>
        </w:tabs>
      </w:pPr>
      <w:hyperlink w:anchor="toc_chapter_14" w:history="1">
        <w:r>
          <w:rPr>
            <w:szCs w:val="21"/>
          </w:rPr>
          <w:t>Chapter 14 — The Instrumented World</w:t>
        </w:r>
      </w:hyperlink>
      <w:r>
        <w:tab/>
        <w:t>387</w:t>
      </w:r>
    </w:p>
    <w:p w14:paraId="2A24D74A" w14:textId="77777777" w:rsidR="00F93551" w:rsidRDefault="00DD7D58">
      <w:pPr>
        <w:pStyle w:val="TOCChapter"/>
        <w:tabs>
          <w:tab w:val="right" w:pos="10008"/>
        </w:tabs>
      </w:pPr>
      <w:hyperlink w:anchor="toc_chapter_15" w:history="1">
        <w:r>
          <w:rPr>
            <w:szCs w:val="21"/>
          </w:rPr>
          <w:t>Chapter 15 — Nature Made Available</w:t>
        </w:r>
      </w:hyperlink>
      <w:r>
        <w:tab/>
        <w:t>417</w:t>
      </w:r>
    </w:p>
    <w:p w14:paraId="6263FB9C" w14:textId="77777777" w:rsidR="00F93551" w:rsidRDefault="00DD7D58">
      <w:pPr>
        <w:pStyle w:val="TOCChapter"/>
        <w:tabs>
          <w:tab w:val="right" w:pos="10008"/>
        </w:tabs>
      </w:pPr>
      <w:hyperlink w:anchor="toc_chapter_16" w:history="1">
        <w:r>
          <w:rPr>
            <w:szCs w:val="21"/>
          </w:rPr>
          <w:t>Chapter 16 — Law, Force, and the Dissent of Living Matter</w:t>
        </w:r>
      </w:hyperlink>
      <w:r>
        <w:tab/>
        <w:t>447</w:t>
      </w:r>
    </w:p>
    <w:p w14:paraId="30B885AF" w14:textId="77777777" w:rsidR="00F93551" w:rsidRDefault="00DD7D58">
      <w:pPr>
        <w:pStyle w:val="TOCPart"/>
        <w:pBdr>
          <w:bottom w:val="single" w:sz="4" w:space="2" w:color="999999"/>
        </w:pBdr>
        <w:tabs>
          <w:tab w:val="right" w:pos="10008"/>
        </w:tabs>
      </w:pPr>
      <w:hyperlink w:anchor="toc_part_17" w:history="1">
        <w:r>
          <w:rPr>
            <w:bCs/>
            <w:szCs w:val="21"/>
          </w:rPr>
          <w:t>Part V — The Exile of Qualities</w:t>
        </w:r>
      </w:hyperlink>
      <w:r>
        <w:tab/>
        <w:t>480</w:t>
      </w:r>
    </w:p>
    <w:p w14:paraId="31ED67A3" w14:textId="77777777" w:rsidR="00F93551" w:rsidRDefault="00DD7D58">
      <w:pPr>
        <w:pStyle w:val="TOCChapter"/>
        <w:tabs>
          <w:tab w:val="right" w:pos="10008"/>
        </w:tabs>
      </w:pPr>
      <w:hyperlink w:anchor="toc_chapter_17" w:history="1">
        <w:r>
          <w:rPr>
            <w:szCs w:val="21"/>
          </w:rPr>
          <w:t>Chapter 17 — The Exile of Qualities</w:t>
        </w:r>
      </w:hyperlink>
      <w:r>
        <w:tab/>
        <w:t>481</w:t>
      </w:r>
    </w:p>
    <w:p w14:paraId="7BADA29E" w14:textId="77777777" w:rsidR="00F93551" w:rsidRDefault="00DD7D58">
      <w:pPr>
        <w:pStyle w:val="TOCChapter"/>
        <w:tabs>
          <w:tab w:val="right" w:pos="10008"/>
        </w:tabs>
      </w:pPr>
      <w:hyperlink w:anchor="toc_chapter_18" w:history="1">
        <w:r>
          <w:rPr>
            <w:szCs w:val="21"/>
          </w:rPr>
          <w:t>Chapter 18 — Humboldt and the Last Scientific Cosmos</w:t>
        </w:r>
      </w:hyperlink>
      <w:r>
        <w:tab/>
        <w:t>513</w:t>
      </w:r>
    </w:p>
    <w:p w14:paraId="4F446F66" w14:textId="77777777" w:rsidR="00F93551" w:rsidRDefault="00DD7D58">
      <w:pPr>
        <w:pStyle w:val="TOCChapter"/>
        <w:tabs>
          <w:tab w:val="right" w:pos="10008"/>
        </w:tabs>
      </w:pPr>
      <w:hyperlink w:anchor="toc_chapter_19" w:history="1">
        <w:r>
          <w:rPr>
            <w:szCs w:val="21"/>
          </w:rPr>
          <w:t>Chapter 19 — Deep Time and Industrial Earth</w:t>
        </w:r>
      </w:hyperlink>
      <w:r>
        <w:tab/>
        <w:t>546</w:t>
      </w:r>
    </w:p>
    <w:p w14:paraId="0F727A65" w14:textId="77777777" w:rsidR="00F93551" w:rsidRDefault="00DD7D58">
      <w:pPr>
        <w:pStyle w:val="TOCPart"/>
        <w:pBdr>
          <w:bottom w:val="single" w:sz="4" w:space="2" w:color="999999"/>
        </w:pBdr>
        <w:tabs>
          <w:tab w:val="right" w:pos="10008"/>
        </w:tabs>
      </w:pPr>
      <w:hyperlink w:anchor="toc_part_20" w:history="1">
        <w:r>
          <w:rPr>
            <w:bCs/>
            <w:szCs w:val="21"/>
          </w:rPr>
          <w:t>Part VI — The Return of Living Relation</w:t>
        </w:r>
      </w:hyperlink>
      <w:r>
        <w:tab/>
        <w:t>580</w:t>
      </w:r>
    </w:p>
    <w:p w14:paraId="35CE1C1B" w14:textId="77777777" w:rsidR="00F93551" w:rsidRDefault="00DD7D58">
      <w:pPr>
        <w:pStyle w:val="TOCChapter"/>
        <w:tabs>
          <w:tab w:val="right" w:pos="10008"/>
        </w:tabs>
      </w:pPr>
      <w:hyperlink w:anchor="toc_chapter_20" w:history="1">
        <w:r>
          <w:rPr>
            <w:szCs w:val="21"/>
          </w:rPr>
          <w:t>Chapter 20 — The Psychological Afterlife of the Cosmos</w:t>
        </w:r>
      </w:hyperlink>
      <w:r>
        <w:tab/>
        <w:t>581</w:t>
      </w:r>
    </w:p>
    <w:p w14:paraId="3F19001D" w14:textId="77777777" w:rsidR="00F93551" w:rsidRDefault="00DD7D58">
      <w:pPr>
        <w:pStyle w:val="TOCChapter"/>
        <w:tabs>
          <w:tab w:val="right" w:pos="10008"/>
        </w:tabs>
      </w:pPr>
      <w:hyperlink w:anchor="toc_chapter_21" w:history="1">
        <w:r>
          <w:rPr>
            <w:szCs w:val="21"/>
          </w:rPr>
          <w:t>Chapter 21 — Life Makes a World</w:t>
        </w:r>
      </w:hyperlink>
      <w:r>
        <w:tab/>
        <w:t>612</w:t>
      </w:r>
    </w:p>
    <w:p w14:paraId="3D263D3D" w14:textId="77777777" w:rsidR="00F93551" w:rsidRDefault="00DD7D58">
      <w:pPr>
        <w:pStyle w:val="TOCChapter"/>
        <w:tabs>
          <w:tab w:val="right" w:pos="10008"/>
        </w:tabs>
      </w:pPr>
      <w:hyperlink w:anchor="toc_chapter_22" w:history="1">
        <w:r>
          <w:rPr>
            <w:szCs w:val="21"/>
          </w:rPr>
          <w:t>Chapter 22 — Biosphere, Symbiosis, and Planetary Life</w:t>
        </w:r>
      </w:hyperlink>
      <w:r>
        <w:tab/>
        <w:t>642</w:t>
      </w:r>
    </w:p>
    <w:p w14:paraId="7F082BCB" w14:textId="77777777" w:rsidR="00F93551" w:rsidRDefault="00DD7D58">
      <w:pPr>
        <w:pStyle w:val="TOCPart"/>
        <w:pBdr>
          <w:bottom w:val="single" w:sz="4" w:space="2" w:color="999999"/>
        </w:pBdr>
        <w:tabs>
          <w:tab w:val="right" w:pos="10008"/>
        </w:tabs>
      </w:pPr>
      <w:hyperlink w:anchor="toc_part_23" w:history="1">
        <w:r>
          <w:rPr>
            <w:bCs/>
            <w:szCs w:val="21"/>
          </w:rPr>
          <w:t>Part VII — The Operational World</w:t>
        </w:r>
      </w:hyperlink>
      <w:r>
        <w:tab/>
        <w:t>673</w:t>
      </w:r>
    </w:p>
    <w:p w14:paraId="7784F464" w14:textId="77777777" w:rsidR="00F93551" w:rsidRDefault="00DD7D58">
      <w:pPr>
        <w:pStyle w:val="TOCChapter"/>
        <w:tabs>
          <w:tab w:val="right" w:pos="10008"/>
        </w:tabs>
      </w:pPr>
      <w:hyperlink w:anchor="toc_chapter_23" w:history="1">
        <w:r>
          <w:rPr>
            <w:szCs w:val="21"/>
          </w:rPr>
          <w:t>Chapter 23 — The Quantified and Operational Planet</w:t>
        </w:r>
      </w:hyperlink>
      <w:r>
        <w:tab/>
        <w:t>674</w:t>
      </w:r>
    </w:p>
    <w:p w14:paraId="42A0A507" w14:textId="77777777" w:rsidR="00F93551" w:rsidRDefault="00DD7D58">
      <w:pPr>
        <w:pStyle w:val="TOCChapter"/>
        <w:tabs>
          <w:tab w:val="right" w:pos="10008"/>
        </w:tabs>
      </w:pPr>
      <w:hyperlink w:anchor="toc_chapter_24" w:history="1">
        <w:r>
          <w:rPr>
            <w:szCs w:val="21"/>
          </w:rPr>
          <w:t>Chapter 24 — Satellite, Algorithm, and Statistical Fate</w:t>
        </w:r>
      </w:hyperlink>
      <w:r>
        <w:tab/>
        <w:t>703</w:t>
      </w:r>
    </w:p>
    <w:p w14:paraId="27E7CB65" w14:textId="77777777" w:rsidR="00F93551" w:rsidRDefault="00DD7D58">
      <w:pPr>
        <w:pStyle w:val="TOCChapter"/>
        <w:tabs>
          <w:tab w:val="right" w:pos="10008"/>
        </w:tabs>
      </w:pPr>
      <w:hyperlink w:anchor="toc_chapter_25" w:history="1">
        <w:r>
          <w:rPr>
            <w:szCs w:val="21"/>
          </w:rPr>
          <w:t>Chapter 25 — Astrology After Cosmos</w:t>
        </w:r>
      </w:hyperlink>
      <w:r>
        <w:tab/>
        <w:t>735</w:t>
      </w:r>
    </w:p>
    <w:p w14:paraId="0272B0F8" w14:textId="77777777" w:rsidR="00F93551" w:rsidRDefault="00DD7D58">
      <w:pPr>
        <w:pStyle w:val="TOCChapter"/>
        <w:tabs>
          <w:tab w:val="right" w:pos="10008"/>
        </w:tabs>
      </w:pPr>
      <w:hyperlink w:anchor="toc_conclusion" w:history="1">
        <w:r>
          <w:rPr>
            <w:szCs w:val="21"/>
          </w:rPr>
          <w:t>Conclusion — The World That Cannot Be Restored</w:t>
        </w:r>
      </w:hyperlink>
      <w:r>
        <w:tab/>
        <w:t>767</w:t>
      </w:r>
    </w:p>
    <w:p w14:paraId="04FBD451" w14:textId="77777777" w:rsidR="00F93551" w:rsidRDefault="00DD7D58">
      <w:pPr>
        <w:pStyle w:val="TOCChapter"/>
        <w:tabs>
          <w:tab w:val="right" w:pos="10008"/>
        </w:tabs>
      </w:pPr>
      <w:hyperlink w:anchor="toc_bibliography" w:history="1">
        <w:r>
          <w:rPr>
            <w:szCs w:val="21"/>
          </w:rPr>
          <w:t>Bibliography</w:t>
        </w:r>
      </w:hyperlink>
      <w:r>
        <w:tab/>
        <w:t>793</w:t>
      </w:r>
    </w:p>
    <w:p w14:paraId="4C0CE013" w14:textId="77777777" w:rsidR="00F93551" w:rsidRDefault="00F93551">
      <w:pPr>
        <w:sectPr w:rsidR="00F93551">
          <w:headerReference w:type="default" r:id="rId10"/>
          <w:footerReference w:type="default" r:id="rId11"/>
          <w:pgSz w:w="12240" w:h="15840"/>
          <w:pgMar w:top="648" w:right="936" w:bottom="792" w:left="936" w:header="504" w:footer="504" w:gutter="0"/>
          <w:pgNumType w:fmt="lowerRoman" w:start="1"/>
          <w:cols w:space="720"/>
          <w:docGrid w:linePitch="360"/>
        </w:sectPr>
      </w:pPr>
    </w:p>
    <w:p w14:paraId="24FD0FA9" w14:textId="77777777" w:rsidR="00A901A8" w:rsidRPr="00242A60" w:rsidRDefault="00717EC6">
      <w:pPr>
        <w:pStyle w:val="MajorHeading"/>
      </w:pPr>
      <w:bookmarkStart w:id="0" w:name="toc_introduction"/>
      <w:r>
        <w:rPr>
          <w:sz w:val="32"/>
        </w:rPr>
        <w:lastRenderedPageBreak/>
        <w:t>Introduction</w:t>
      </w:r>
      <w:r>
        <w:rPr>
          <w:sz w:val="32"/>
        </w:rPr>
        <w:br/>
      </w:r>
      <w:r>
        <w:t>Two Skies</w:t>
      </w:r>
      <w:bookmarkEnd w:id="0"/>
    </w:p>
    <w:p w14:paraId="1B4E9DFD" w14:textId="77777777" w:rsidR="00A901A8" w:rsidRPr="00242A60" w:rsidRDefault="00717EC6">
      <w:pPr>
        <w:pStyle w:val="BookBody"/>
      </w:pPr>
      <w:r w:rsidRPr="00242A60">
        <w:rPr>
          <w:szCs w:val="28"/>
        </w:rPr>
        <w:t>Stand outside on a clear night, far enough from the city that the darkness has not been bleached from the air. At first the sky appears almost empty. Then the eyes adjust. The brighter stars separate from the black, the smaller ones gather around them, and what had seemed a flat ceiling begins to acquire depth. A pale band crosses the darkness. A planet holds a steadier light than the stars. If one remains long enough, the whole field turns. Constellations rise, incline, and disappear. The movement is so slow that it can be missed and so comprehensive that, once noticed, it seems to include the observer within it. The person beneath this sky does not merely look at distant objects. The person has a place: here, on this patch of ground, at this hour, under this season’s arrangement of lights.</w:t>
      </w:r>
    </w:p>
    <w:p w14:paraId="320FB35A" w14:textId="77777777" w:rsidR="00A901A8" w:rsidRPr="00242A60" w:rsidRDefault="00717EC6">
      <w:pPr>
        <w:pStyle w:val="BookBody"/>
      </w:pPr>
      <w:r w:rsidRPr="00242A60">
        <w:rPr>
          <w:szCs w:val="28"/>
        </w:rPr>
        <w:t>Now consider the same sky as modern astronomy renders it. The pale band is the accumulated light of a galaxy containing hundreds of billions of stars. The planet’s steady brightness is reflected sunlight. The apparent nightly rotation belongs chiefly to the Earth. The stars that seem to share a single surface are scattered through immense distances; some of their light began its journey before human beings existed. Beyond the Milky Way lie galaxies counted not in thousands but in hundreds of billions, distributed across a universe whose observable diameter is measured in tens of billions of light-years. The chemical elements in the observer’s body were forged in vanished stars. The Earth is neither stationary nor central. It circles one star among multitudes, in an ordinary region of one galaxy, late in a cosmic history that began long before there were eyes to see it.</w:t>
      </w:r>
    </w:p>
    <w:p w14:paraId="1F603F44" w14:textId="77777777" w:rsidR="00A901A8" w:rsidRPr="00242A60" w:rsidRDefault="00717EC6">
      <w:pPr>
        <w:pStyle w:val="BookBody"/>
      </w:pPr>
      <w:r w:rsidRPr="00242A60">
        <w:rPr>
          <w:szCs w:val="28"/>
        </w:rPr>
        <w:t>Nothing in the older visible sky rivals the enlargement of knowledge contained in this second description. Modern astronomy has not merely corrected a few ancient measurements. It has disclosed objects, timescales, forces, and events for which ordinary perception supplies almost no adequate image. It has learned to read light emitted before the formation of the solar system, to infer planets from the dimming of remote stars, to register gravitational disturbances from colliding black holes, and to reconstruct the early universe from a faint background radiation present in every direction. The night has become incomparably older, larger, more violent, and more generative than any unaided observer could have known.</w:t>
      </w:r>
    </w:p>
    <w:p w14:paraId="4A67D6B0" w14:textId="77777777" w:rsidR="00A901A8" w:rsidRPr="00242A60" w:rsidRDefault="00717EC6">
      <w:pPr>
        <w:pStyle w:val="BookBody"/>
      </w:pPr>
      <w:r w:rsidRPr="00242A60">
        <w:rPr>
          <w:szCs w:val="28"/>
        </w:rPr>
        <w:lastRenderedPageBreak/>
        <w:t>And yet the two skies are not simply the same sky with different quantities of information. Under the first, the observer can still experience orientation even without possessing a doctrine about what the stars mean. Above and below, east and west, rising and setting, season and hour remain joined in one sensible situation. Under the second, the observer knows that the visible dome is an effect of position; that up and down have no universal direction; that the stars do not turn around the Earth; that constellations are perspectival groupings; and that the darkness itself contains depths no human scale can make familiar. The first sky gathers the observer into a place. The second situates that place with extraordinary precision while dissolving nearly every privilege once attached to it.</w:t>
      </w:r>
    </w:p>
    <w:p w14:paraId="0CA4069E" w14:textId="77777777" w:rsidR="00A901A8" w:rsidRPr="00242A60" w:rsidRDefault="00717EC6">
      <w:pPr>
        <w:pStyle w:val="BookBody"/>
      </w:pPr>
      <w:r w:rsidRPr="00242A60">
        <w:rPr>
          <w:szCs w:val="28"/>
        </w:rPr>
        <w:t>This difference is easy to sentimentalize. One can imagine that ancient people lived beneath a meaningful heaven whereas modern people live beneath a dead one. But ancient skies were not uniformly consoling. They could announce conquest, drought, plague, royal death, or the inescapability of fate. A differentiated cosmos could legitimate a differentiated social order, binding rank, gender, labor, and political power to the structure of things. Nor is a scientifically described universe simply devoid of significance. It can inspire wonder, humility, solidarity, terror, intellectual devotion, and an enlarged sense of belonging to natural history. The modern universe has given human beings truths that no recovery of an earlier cosmology could replace.</w:t>
      </w:r>
    </w:p>
    <w:p w14:paraId="0B9E855D" w14:textId="77777777" w:rsidR="00A901A8" w:rsidRPr="00242A60" w:rsidRDefault="00717EC6">
      <w:pPr>
        <w:pStyle w:val="BookBody"/>
      </w:pPr>
      <w:r w:rsidRPr="00242A60">
        <w:rPr>
          <w:szCs w:val="28"/>
        </w:rPr>
        <w:t>The problem is therefore neither that science destroyed wonder nor that knowledge abolished meaning. It is more exact and more difficult. Modern astronomy knows immeasurably more about what the heavens are, while modern civilization possesses no shared account of what the heavens mean. An individual may experience awe before an astronomical image, interpret the stars through a religious tradition, read a horoscope, or refuse every symbolic attribution. What no longer commands general authority is the claim that celestial differences are at once physical and qualitative, descriptive and normative, publicly observable and publicly meaningful. The stars remain real. Their distances, spectra, masses, and motions can be investigated in common. What they signify for a life, a city, a season, a birth, or a form of obligation has been relocated to belief, culture, psychology, poetry, or private choice.</w:t>
      </w:r>
    </w:p>
    <w:p w14:paraId="5B6EE978" w14:textId="77777777" w:rsidR="00A901A8" w:rsidRPr="00242A60" w:rsidRDefault="00717EC6">
      <w:pPr>
        <w:pStyle w:val="BookBody"/>
      </w:pPr>
      <w:r w:rsidRPr="00242A60">
        <w:rPr>
          <w:szCs w:val="28"/>
        </w:rPr>
        <w:lastRenderedPageBreak/>
        <w:t>That relocation is the subject of this book. The death of the living cosmos did not occur at a single date, and it cannot be identified with a single scientific discovery. It was a long transformation in what Western civilization permitted itself to call real and in where it permitted significance to reside. Purpose, sacred place, differentiated time, celestial character, natural tendency, intrinsic value, and correspondence were not all refuted together. They were redistributed. Some were assigned to divine will, increasingly withdrawn from direct reading in the world. Some became qualities supplied by the perceiving subject. Some survived as cultural interpretations whose validity was limited to a community. Some became psychological projections. Some persisted as private faith. Others were translated into operational terms: preference, function, information, probability, utility, and control.</w:t>
      </w:r>
    </w:p>
    <w:p w14:paraId="48FF92A2" w14:textId="77777777" w:rsidR="00A901A8" w:rsidRPr="00242A60" w:rsidRDefault="00717EC6">
      <w:pPr>
        <w:pStyle w:val="BookBody"/>
      </w:pPr>
      <w:r w:rsidRPr="00242A60">
        <w:rPr>
          <w:szCs w:val="28"/>
        </w:rPr>
        <w:t>The result was not a world without meaning. It was a division of labor between a public world described with increasing exactness and private or communal sources of significance that could no longer claim the same kind of reality. Modern consciousness became responsible for carrying inwardly what the surrounding world no longer carried publicly. The heavens could still move a person, but the movement said more about the person than about the heavens. A landscape could still be sacred, but its sacredness became an attribution not binding upon those who did not share it. A species could still be cherished, but value entered after the scientific description of its structure, descent, and ecological role. Significance did not disappear. Its authorized location changed.</w:t>
      </w:r>
    </w:p>
    <w:p w14:paraId="0FA93C3A" w14:textId="77777777" w:rsidR="00A901A8" w:rsidRPr="00242A60" w:rsidRDefault="00717EC6">
      <w:pPr>
        <w:pStyle w:val="BookBody"/>
      </w:pPr>
      <w:r w:rsidRPr="00242A60">
        <w:rPr>
          <w:szCs w:val="28"/>
        </w:rPr>
        <w:t xml:space="preserve">The phrase “living cosmos” must therefore be handled carefully. It does not mean only a universe imagined as a giant animal, though some traditions did speak of a world soul. Nor does it name every worldview populated by spirits. A cosmos lives, in the sense used here, when qualitative differences belong publicly to the order of reality: when places, times, bodies, motions, species, rites, and celestial configurations are not neutral items awaiting subjective valuation but bear differences of character and consequence prior to private interpretation. Such a cosmos may be conceived through gods, powers, forms, purposes, sympathies, created meanings, or sacramental signs. What joins these otherwise incompatible arrangements is that reality exceeds uniform extension and efficient relation. The world answers not only the question “What happens?” but also, however </w:t>
      </w:r>
      <w:r w:rsidRPr="00242A60">
        <w:rPr>
          <w:szCs w:val="28"/>
        </w:rPr>
        <w:lastRenderedPageBreak/>
        <w:t>contestedly, “What kind of thing is this, where does it belong, and what claim does it make?”</w:t>
      </w:r>
    </w:p>
    <w:p w14:paraId="6A783BB5" w14:textId="77777777" w:rsidR="00A901A8" w:rsidRPr="00242A60" w:rsidRDefault="00717EC6">
      <w:pPr>
        <w:pStyle w:val="BookBody"/>
      </w:pPr>
      <w:r w:rsidRPr="00242A60">
        <w:rPr>
          <w:szCs w:val="28"/>
        </w:rPr>
        <w:t xml:space="preserve">The word </w:t>
      </w:r>
      <w:r w:rsidRPr="00242A60">
        <w:rPr>
          <w:i/>
          <w:szCs w:val="28"/>
        </w:rPr>
        <w:t>cosmos</w:t>
      </w:r>
      <w:r w:rsidRPr="00242A60">
        <w:rPr>
          <w:szCs w:val="28"/>
        </w:rPr>
        <w:t xml:space="preserve"> once named an ordered whole. The word </w:t>
      </w:r>
      <w:r w:rsidRPr="00242A60">
        <w:rPr>
          <w:i/>
          <w:szCs w:val="28"/>
        </w:rPr>
        <w:t>universe</w:t>
      </w:r>
      <w:r w:rsidRPr="00242A60">
        <w:rPr>
          <w:szCs w:val="28"/>
        </w:rPr>
        <w:t xml:space="preserve"> can name the total physical domain without implying that its order has moral, symbolic, or existential address. The difference is not a contest between a small false world and a large true one. It is a difference in the status of order itself. Alexandre Koyré described the seventeenth-century transformation as at once “the destruction of the cosmos” and “the geometrization of space”: a finite, ordered whole whose places embodied differences of perfection and value gave way to an indefinite or infinite universe unified by common components and laws.</w:t>
      </w:r>
      <w:r w:rsidRPr="00242A60">
        <w:rPr>
          <w:szCs w:val="28"/>
          <w:vertAlign w:val="superscript"/>
        </w:rPr>
        <w:t>1</w:t>
      </w:r>
      <w:r w:rsidRPr="00242A60">
        <w:rPr>
          <w:szCs w:val="28"/>
        </w:rPr>
        <w:t xml:space="preserve"> Koyré’s formulation remains indispensable, but the history is wider than the revolution he described. The cosmos had already been reorganized by creation, providence, sacrament, nominalism, reform, and new practices of making and measuring. And even after geometric space became authoritative, qualitative determination survived in organisms, perception, history, aesthetics, psychology, and ordinary life.</w:t>
      </w:r>
    </w:p>
    <w:p w14:paraId="21978944" w14:textId="77777777" w:rsidR="00A901A8" w:rsidRPr="00242A60" w:rsidRDefault="00717EC6">
      <w:pPr>
        <w:pStyle w:val="BookBody"/>
      </w:pPr>
      <w:r w:rsidRPr="00242A60">
        <w:rPr>
          <w:szCs w:val="28"/>
        </w:rPr>
        <w:t>The task is not to decide in advance that these survivals secretly restore the old cosmos. It is to follow them without allowing the categories of the ending to dictate the meaning of the beginning. Before telling how a living cosmos died, we must ask what it meant for a cosmos to live.</w:t>
      </w:r>
    </w:p>
    <w:p w14:paraId="4D79A881" w14:textId="77777777" w:rsidR="00A901A8" w:rsidRPr="00242A60" w:rsidRDefault="00717EC6">
      <w:pPr>
        <w:pStyle w:val="SectionHeading"/>
      </w:pPr>
      <w:r w:rsidRPr="00242A60">
        <w:t>Before “Nature”</w:t>
      </w:r>
    </w:p>
    <w:p w14:paraId="4F423C8C" w14:textId="77777777" w:rsidR="00A901A8" w:rsidRPr="00242A60" w:rsidRDefault="00717EC6">
      <w:pPr>
        <w:pStyle w:val="BookBody"/>
      </w:pPr>
      <w:r w:rsidRPr="00242A60">
        <w:rPr>
          <w:szCs w:val="28"/>
        </w:rPr>
        <w:t>The most misleading way to begin this history would be to imagine that every civilization encountered the same object called nature and merely interpreted it differently. On that account, ancient Mesopotamians, Greek philosophers, medieval Christians, early modern experimenters, and contemporary scientists all stand before a stable external domain. Their theories may differ, but their object is presumed to remain. History then becomes a sequence of representations of one nature, approaching or retreating from the truth eventually disclosed by modern science.</w:t>
      </w:r>
    </w:p>
    <w:p w14:paraId="3B199EFA" w14:textId="77777777" w:rsidR="00A901A8" w:rsidRPr="00242A60" w:rsidRDefault="00717EC6">
      <w:pPr>
        <w:pStyle w:val="BookBody"/>
      </w:pPr>
      <w:r w:rsidRPr="00242A60">
        <w:rPr>
          <w:szCs w:val="28"/>
        </w:rPr>
        <w:t>Francesca Rochberg’s work on cuneiform knowledge unsettles this presumption at its foundation. Babylonian scholars observed, calculated, classified, predicted, and transmitted technical knowledge with formidable precision, yet the organization of their inquiry did not depend upon a category equivalent to the modern Western opposition between nature and culture. To recognize this is not to deny the reality of the phenomena they observed. Eclipses occurred; planets moved; illnesses afflicted bodies; rivers flooded; rulers died. The point is that these events did not first belong to a self-enclosed natural domain and then acquire political or divinatory interpretations. Celestial observation, omen, number, scribal tradition, ritual response, and royal responsibility formed a connected field of knowledge.</w:t>
      </w:r>
    </w:p>
    <w:p w14:paraId="60F4A7AC" w14:textId="77777777" w:rsidR="00A901A8" w:rsidRPr="00242A60" w:rsidRDefault="00717EC6">
      <w:pPr>
        <w:pStyle w:val="BookBody"/>
      </w:pPr>
      <w:r w:rsidRPr="00242A60">
        <w:rPr>
          <w:szCs w:val="28"/>
        </w:rPr>
        <w:t>Rochberg therefore asks the historian to allow for “epistemic plurality,” including forms of learned inquiry whose native terms and objects cannot be measured by a later definition of science.</w:t>
      </w:r>
      <w:r w:rsidRPr="00242A60">
        <w:rPr>
          <w:szCs w:val="28"/>
          <w:vertAlign w:val="superscript"/>
        </w:rPr>
        <w:t>2</w:t>
      </w:r>
      <w:r w:rsidRPr="00242A60">
        <w:rPr>
          <w:szCs w:val="28"/>
        </w:rPr>
        <w:t xml:space="preserve"> This demand is more radical than an appeal to cultural tolerance. It changes the object of historical explanation. If “nature” is not simply given, the history of science cannot be told only as the progressive clarification of nature. It must also investigate how a particular domain came to be separated, stabilized, and authorized as the nature that science knows. There could be exact observation before that separation, and there could be rational disagreement within a world in which omen, sovereign, deity, and star were not assigned to mutually exclusive categories.</w:t>
      </w:r>
    </w:p>
    <w:p w14:paraId="24D15CEF" w14:textId="77777777" w:rsidR="00A901A8" w:rsidRPr="00242A60" w:rsidRDefault="00717EC6">
      <w:pPr>
        <w:pStyle w:val="BookBody"/>
      </w:pPr>
      <w:r w:rsidRPr="00242A60">
        <w:rPr>
          <w:szCs w:val="28"/>
        </w:rPr>
        <w:t>Philippe Descola broadens the correction. The modern Western arrangement he calls naturalism assumes, in schematic form, continuity of physical composition between humans and nonhumans alongside a discontinuity of interiority: bodies belong to one nature, while human subjects possess the distinctive capacities through which cultures arise. But this arrangement is not a universal template. In many worlds, Descola observes, plants, animals, rivers, rocks, weather, and seasons do not occupy an ontological niche defined by the absence of human beings; the environment is not represented as an autonomous sphere standing opposite society.</w:t>
      </w:r>
      <w:r w:rsidRPr="00242A60">
        <w:rPr>
          <w:szCs w:val="28"/>
          <w:vertAlign w:val="superscript"/>
        </w:rPr>
        <w:t>3</w:t>
      </w:r>
      <w:r w:rsidRPr="00242A60">
        <w:rPr>
          <w:szCs w:val="28"/>
        </w:rPr>
        <w:t xml:space="preserve"> The division between nature and culture is itself provincial, however globally powerful its institutions have become.</w:t>
      </w:r>
    </w:p>
    <w:p w14:paraId="0EE70270" w14:textId="77777777" w:rsidR="00A901A8" w:rsidRPr="00242A60" w:rsidRDefault="00717EC6">
      <w:pPr>
        <w:pStyle w:val="BookBody"/>
      </w:pPr>
      <w:r w:rsidRPr="00242A60">
        <w:rPr>
          <w:szCs w:val="28"/>
        </w:rPr>
        <w:t>This does not license the fantasy that peoples outside the modern West lived in effortless ecological harmony. Ontologies are not moral certificates. Relations among human and nonhuman beings may involve predation, sacrifice, fear, rivalry, exchange, or domination as well as reciprocity. Nor does the historical particularity of naturalism make modern scientific claims true only for modern Westerners. A pathogen does not cease to act when interpreted within a different ontology, and a planetary orbit is not culturally optional. The correction is subtler: the ability to isolate physical regularity from other kinds of relation is an achievement with a history, not the spontaneous posture of reason as such.</w:t>
      </w:r>
    </w:p>
    <w:p w14:paraId="4F552C59" w14:textId="77777777" w:rsidR="00A901A8" w:rsidRPr="00242A60" w:rsidRDefault="00717EC6">
      <w:pPr>
        <w:pStyle w:val="BookBody"/>
      </w:pPr>
      <w:r w:rsidRPr="00242A60">
        <w:rPr>
          <w:szCs w:val="28"/>
        </w:rPr>
        <w:t xml:space="preserve">The book will therefore avoid using “nature” as a transparent name for whatever exists outside human artifice. At different moments, </w:t>
      </w:r>
      <w:r w:rsidRPr="00242A60">
        <w:rPr>
          <w:i/>
          <w:szCs w:val="28"/>
        </w:rPr>
        <w:t>nature</w:t>
      </w:r>
      <w:r w:rsidRPr="00242A60">
        <w:rPr>
          <w:szCs w:val="28"/>
        </w:rPr>
        <w:t xml:space="preserve"> will mean birth and growth, the intrinsic principle of a thing, the ordered whole of beings, a created regularity, a power partly concealed, a domain contrasted with grace, an object of experimental inquiry, a reservoir of resources, a field of evolutionary history, or a system of variables. These meanings overlap, compete, and alter one another. Maurice Merleau-Ponty returned to the word’s roots in birth, life, and self-arising in order to recover a “primordial, nonlexical meaning” beneath the accumulated doctrines: nature as a life that has sense without having first been planned by reflective thought.</w:t>
      </w:r>
      <w:r w:rsidRPr="00242A60">
        <w:rPr>
          <w:szCs w:val="28"/>
          <w:vertAlign w:val="superscript"/>
        </w:rPr>
        <w:t>4</w:t>
      </w:r>
      <w:r w:rsidRPr="00242A60">
        <w:rPr>
          <w:szCs w:val="28"/>
        </w:rPr>
        <w:t xml:space="preserve"> His formulation cannot simply be projected backward, but it reminds us that the word itself contains the history of a problem. Nature is neither one timeless object nor an empty label.</w:t>
      </w:r>
    </w:p>
    <w:p w14:paraId="11932BE0" w14:textId="77777777" w:rsidR="00A901A8" w:rsidRPr="00242A60" w:rsidRDefault="00717EC6">
      <w:pPr>
        <w:pStyle w:val="BookBody"/>
      </w:pPr>
      <w:r w:rsidRPr="00242A60">
        <w:rPr>
          <w:szCs w:val="28"/>
        </w:rPr>
        <w:t xml:space="preserve">The sequence traced in this book is therefore not a clean succession of synonyms. </w:t>
      </w:r>
      <w:r w:rsidRPr="00242A60">
        <w:rPr>
          <w:i/>
          <w:szCs w:val="28"/>
        </w:rPr>
        <w:t>Cosmos</w:t>
      </w:r>
      <w:r w:rsidRPr="00242A60">
        <w:rPr>
          <w:szCs w:val="28"/>
        </w:rPr>
        <w:t xml:space="preserve">, </w:t>
      </w:r>
      <w:r w:rsidRPr="00242A60">
        <w:rPr>
          <w:i/>
          <w:szCs w:val="28"/>
        </w:rPr>
        <w:t>creation</w:t>
      </w:r>
      <w:r w:rsidRPr="00242A60">
        <w:rPr>
          <w:szCs w:val="28"/>
        </w:rPr>
        <w:t xml:space="preserve">, </w:t>
      </w:r>
      <w:r w:rsidRPr="00242A60">
        <w:rPr>
          <w:i/>
          <w:szCs w:val="28"/>
        </w:rPr>
        <w:t>nature</w:t>
      </w:r>
      <w:r w:rsidRPr="00242A60">
        <w:rPr>
          <w:szCs w:val="28"/>
        </w:rPr>
        <w:t xml:space="preserve">, </w:t>
      </w:r>
      <w:r w:rsidRPr="00242A60">
        <w:rPr>
          <w:i/>
          <w:szCs w:val="28"/>
        </w:rPr>
        <w:t>matter</w:t>
      </w:r>
      <w:r w:rsidRPr="00242A60">
        <w:rPr>
          <w:szCs w:val="28"/>
        </w:rPr>
        <w:t xml:space="preserve">, </w:t>
      </w:r>
      <w:r w:rsidRPr="00242A60">
        <w:rPr>
          <w:i/>
          <w:szCs w:val="28"/>
        </w:rPr>
        <w:t>resource</w:t>
      </w:r>
      <w:r w:rsidRPr="00242A60">
        <w:rPr>
          <w:szCs w:val="28"/>
        </w:rPr>
        <w:t xml:space="preserve">, and </w:t>
      </w:r>
      <w:r w:rsidRPr="00242A60">
        <w:rPr>
          <w:i/>
          <w:szCs w:val="28"/>
        </w:rPr>
        <w:t>system</w:t>
      </w:r>
      <w:r w:rsidRPr="00242A60">
        <w:rPr>
          <w:szCs w:val="28"/>
        </w:rPr>
        <w:t xml:space="preserve"> mark changes in the questions that can be asked of reality and in the institutions authorized to answer them. Cosmos names an ordered qualitative whole. Creation names a world contingent upon and related to a Creator. Nature can name the powers and regularities through which beings arise and act. Matter can become the common measurable basis beneath qualitative differences. Resource names things under the aspect of availability for use. System names elements through their operational relations, inputs, outputs, feedbacks, and constraints. No term entirely erases the one before it. Their coexistence is one reason modern speech can invoke “nature” as fact, value, refuge, limit, commodity, and sacred whole, sometimes within a single argument.</w:t>
      </w:r>
    </w:p>
    <w:p w14:paraId="5606E62C" w14:textId="77777777" w:rsidR="00A901A8" w:rsidRPr="00242A60" w:rsidRDefault="00717EC6">
      <w:pPr>
        <w:pStyle w:val="BookBody"/>
      </w:pPr>
      <w:r w:rsidRPr="00242A60">
        <w:rPr>
          <w:szCs w:val="28"/>
        </w:rPr>
        <w:t>To follow this sequence is not to narrate a universal human history. It is to reconstruct a Western trajectory that became globally consequential through empire, commerce, mission, science, industrial production, administration, and technology. Other civilizations cannot be inserted as delayed or incomplete stages of the same development. Islamic astral sciences, for example, did not merely preserve Greek knowledge for a European future; they transformed observation, calculation, metaphysics, and criticism within their own intellectual and religious worlds. Indigenous and non-Western ontologies are not surviving illustrations of Europe’s past. They expose the contingency of distinctions that Europe later universalized.</w:t>
      </w:r>
    </w:p>
    <w:p w14:paraId="61B90FDB" w14:textId="77777777" w:rsidR="00A901A8" w:rsidRPr="00242A60" w:rsidRDefault="00717EC6">
      <w:pPr>
        <w:pStyle w:val="BookBody"/>
      </w:pPr>
      <w:r w:rsidRPr="00242A60">
        <w:rPr>
          <w:szCs w:val="28"/>
        </w:rPr>
        <w:t xml:space="preserve">The phrase “the death of the living cosmos” names this trajectory while remaining answerable to that limit. It does not claim that humanity once shared one enchanted worldview. It asks how one historically specific civilization, whose categories and instruments acquired extraordinary global reach, progressively restricted public reality to what could be observed, measured, modeled, lawfully related, administered, or technically mobilized. The narrative will remain comparative where comparison prevents false universality, but its central burden is genealogical: how did </w:t>
      </w:r>
      <w:r w:rsidRPr="00242A60">
        <w:rPr>
          <w:i/>
          <w:szCs w:val="28"/>
        </w:rPr>
        <w:t>this</w:t>
      </w:r>
      <w:r w:rsidRPr="00242A60">
        <w:rPr>
          <w:szCs w:val="28"/>
        </w:rPr>
        <w:t xml:space="preserve"> world become available as the world?</w:t>
      </w:r>
    </w:p>
    <w:p w14:paraId="13A237A7" w14:textId="77777777" w:rsidR="00A901A8" w:rsidRPr="00242A60" w:rsidRDefault="00717EC6">
      <w:pPr>
        <w:pStyle w:val="SectionHeading"/>
      </w:pPr>
      <w:r w:rsidRPr="00242A60">
        <w:t>Enlargement and Loss</w:t>
      </w:r>
    </w:p>
    <w:p w14:paraId="513DB525" w14:textId="77777777" w:rsidR="00A901A8" w:rsidRPr="00242A60" w:rsidRDefault="00717EC6">
      <w:pPr>
        <w:pStyle w:val="BookBody"/>
      </w:pPr>
      <w:r w:rsidRPr="00242A60">
        <w:rPr>
          <w:szCs w:val="28"/>
        </w:rPr>
        <w:t>Every genealogy of loss risks falsifying what was gained. The movement from an ordered cosmos to a physical universe produced not only disorientation but discovery. It broke the authority of appearances. The Earth’s apparent stability ceased to guarantee its rest. The unequal speed of falling bodies could be separated from the resistance of a medium. The wandering stars became worlds. The fixed stars became suns. Celestial and terrestrial motion could be described within one physics. Space no longer had to be divided between corruptible matter below and a more perfect substance above.</w:t>
      </w:r>
    </w:p>
    <w:p w14:paraId="475B1E1D" w14:textId="77777777" w:rsidR="00A901A8" w:rsidRPr="00242A60" w:rsidRDefault="00717EC6">
      <w:pPr>
        <w:pStyle w:val="BookBody"/>
      </w:pPr>
      <w:r w:rsidRPr="00242A60">
        <w:rPr>
          <w:szCs w:val="28"/>
        </w:rPr>
        <w:t>Koyré identified two linked transformations: the dissolution of a finite hierarchy of places and the mathematization of homogeneous space. In the older Aristotelian cosmos, place was not a neutral coordinate. Bodies possessed characteristic motions; the sublunary and celestial regions differed in kind; center and circumference carried physical and axiological force. In the new universe, the same basic laws and components could apply everywhere. What was lost in qualitative differentiation was gained in universality. A stone on Earth and a moon in orbit could become intelligible within the same account of motion.</w:t>
      </w:r>
    </w:p>
    <w:p w14:paraId="0D9F17EE" w14:textId="77777777" w:rsidR="00A901A8" w:rsidRPr="00242A60" w:rsidRDefault="00717EC6">
      <w:pPr>
        <w:pStyle w:val="BookBody"/>
      </w:pPr>
      <w:r w:rsidRPr="00242A60">
        <w:rPr>
          <w:szCs w:val="28"/>
        </w:rPr>
        <w:t>The power of this gain should not be understated. A law that holds without regard to rank, sacred geography, or inherited authority can expose superstition, arbitrary privilege, and false analogy. Instruments can correct the limits of the senses. Mathematics can reveal regularities no symbolic reading would have discovered. Prediction can protect life. Medicine can intervene in processes once attributed to fate or punishment. Agricultural, mechanical, and later electrical knowledge can reduce forms of suffering that no cosmic consolation removed. The world’s refusal to conform to inherited meanings is itself a source of truth.</w:t>
      </w:r>
    </w:p>
    <w:p w14:paraId="2B65AD53" w14:textId="77777777" w:rsidR="00A901A8" w:rsidRPr="00242A60" w:rsidRDefault="00717EC6">
      <w:pPr>
        <w:pStyle w:val="BookBody"/>
      </w:pPr>
      <w:r w:rsidRPr="00242A60">
        <w:rPr>
          <w:szCs w:val="28"/>
        </w:rPr>
        <w:t>But the same reorganization changed what counted as an adequate account of reality. When place became position, a body could be located without asking where it belonged. When time became a uniform variable, events could be ordered without asking whether an hour possessed a character not reducible to its coordinate in a sequence. When primary qualities were distinguished from colors, sounds, tastes, and textures dependent upon perceivers, physical description became more exact by excluding much of the world as lived. When motion was described through efficient relation, the question of intrinsic tendency or purpose could be set aside. None of these operations proved that value, character, purpose, or felt quality was unreal in every sense. They established that such determinations were unnecessary, and often obstructive, within the dominant explanatory practice.</w:t>
      </w:r>
    </w:p>
    <w:p w14:paraId="76B714E7" w14:textId="77777777" w:rsidR="00A901A8" w:rsidRPr="00242A60" w:rsidRDefault="00717EC6">
      <w:pPr>
        <w:pStyle w:val="BookBody"/>
      </w:pPr>
      <w:r w:rsidRPr="00242A60">
        <w:rPr>
          <w:szCs w:val="28"/>
        </w:rPr>
        <w:t>The death described here is thus not the disappearance of all qualitative experience. Red remained red; pain still hurt; places continued to gather memory; seasons still altered moods and practices; organisms still pursued what sustained them and avoided what threatened them. The change concerned public ontology. Qualities increasingly lacked standing in accounts of what the world was independently of human or animal experience. They could be studied as effects in subjects, conventions in cultures, adaptations in organisms, or variables in behavior. Their reality became conditional upon the system within which they appeared.</w:t>
      </w:r>
    </w:p>
    <w:p w14:paraId="68A9D442" w14:textId="77777777" w:rsidR="00A901A8" w:rsidRPr="00242A60" w:rsidRDefault="00717EC6">
      <w:pPr>
        <w:pStyle w:val="BookBody"/>
      </w:pPr>
      <w:r w:rsidRPr="00242A60">
        <w:rPr>
          <w:szCs w:val="28"/>
        </w:rPr>
        <w:t>Hans Blumenberg’s account of the Copernican world helps clarify why decentering cannot be reduced to humiliation. The loss of cosmic centrality was not experienced only as an empirical correction. It generated a long labor of interpretation through which human beings reworked the meaning of self-assertion, finitude, and worldhood. The Copernican transformation did not instantaneously produce modern consciousness. Its consequences had to be made livable. The new universe enlarged the field of possible knowledge while leaving inherited languages of human significance under pressure. Modernity answered not by one doctrine but through rival strategies: theological accommodation, philosophical grounding, technological mastery, aesthetic sublimity, historical progress, and psychological interiorization.</w:t>
      </w:r>
      <w:r w:rsidRPr="00242A60">
        <w:rPr>
          <w:szCs w:val="28"/>
          <w:vertAlign w:val="superscript"/>
        </w:rPr>
        <w:t>5</w:t>
      </w:r>
    </w:p>
    <w:p w14:paraId="5640C902" w14:textId="77777777" w:rsidR="00A901A8" w:rsidRPr="00242A60" w:rsidRDefault="00717EC6">
      <w:pPr>
        <w:pStyle w:val="BookBody"/>
      </w:pPr>
      <w:r w:rsidRPr="00242A60">
        <w:rPr>
          <w:szCs w:val="28"/>
        </w:rPr>
        <w:t xml:space="preserve">This is why the familiar word </w:t>
      </w:r>
      <w:r w:rsidRPr="00242A60">
        <w:rPr>
          <w:i/>
          <w:szCs w:val="28"/>
        </w:rPr>
        <w:t>disenchantment</w:t>
      </w:r>
      <w:r w:rsidRPr="00242A60">
        <w:rPr>
          <w:szCs w:val="28"/>
        </w:rPr>
        <w:t xml:space="preserve"> explains too little. It can name an effect, but not the processes that produced it. The world was not disenchanted by a single subtraction of spirits. Celestial powers were first subordinated to creation without the world becoming meaningless. Sacramental and analogical orders persisted amid sophisticated natural philosophy. Reformation attacks on images and rites altered presence differently from astronomical mathematization. Mechanical philosophy changed bodies and animals differently from cartography’s conversion of land into surveyed extension. Industrial energy changed time, labor, and matter differently from Kant’s account of the conditions of experience. The living cosmos died by transformations whose gains, violences, and residual possibilities cannot be compressed into one slogan.</w:t>
      </w:r>
    </w:p>
    <w:p w14:paraId="0E6C3430" w14:textId="77777777" w:rsidR="00A901A8" w:rsidRPr="00242A60" w:rsidRDefault="00717EC6">
      <w:pPr>
        <w:pStyle w:val="BookBody"/>
      </w:pPr>
      <w:r w:rsidRPr="00242A60">
        <w:rPr>
          <w:szCs w:val="28"/>
        </w:rPr>
        <w:t>Nor did “science” act as a single agent. Astronomers, physicians, artisans, miners, navigators, instrument makers, theologians, administrators, merchants, and states pursued different aims. A telescope is not merely a material expression of an idea; it creates new visible objects and new disputes over who may speak for appearances. A mechanical clock does not simply reflect abstract time; it helps coordinate worship, labor, trade, experiment, and discipline. A map does not merely represent land; it makes boundaries, routes, resources, and populations newly actionable. A statistical table does not only record a social world; it forms comparable groups and creates objects of administration.</w:t>
      </w:r>
    </w:p>
    <w:p w14:paraId="681ABC79" w14:textId="77777777" w:rsidR="00A901A8" w:rsidRPr="00242A60" w:rsidRDefault="00717EC6">
      <w:pPr>
        <w:pStyle w:val="BookBody"/>
      </w:pPr>
      <w:r w:rsidRPr="00242A60">
        <w:rPr>
          <w:szCs w:val="28"/>
        </w:rPr>
        <w:t>For this reason the world, not a procession of great thinkers, will be the protagonist of the chapters that follow. Philosophers matter because they clarify, intensify, contest, or redirect transformations already occurring through practices, institutions, and things. Plato and Aristotle articulate forms of cosmic order; they do not invent the experience of an ordered world. Descartes gives unsurpassed conceptual force to extension and mechanism; he does not single-handedly turn bodies into machines. Kant explains the subject’s constitutive role in experience; he does not by himself drive qualities inward. Heidegger diagnoses standing reserve; he does not substitute for the mine, grid, factory, satellite, platform, or data center.</w:t>
      </w:r>
    </w:p>
    <w:p w14:paraId="64BD6025" w14:textId="77777777" w:rsidR="00A901A8" w:rsidRPr="00242A60" w:rsidRDefault="00717EC6">
      <w:pPr>
        <w:pStyle w:val="BookBody"/>
      </w:pPr>
      <w:r w:rsidRPr="00242A60">
        <w:rPr>
          <w:szCs w:val="28"/>
        </w:rPr>
        <w:t>Each chapter will therefore be anchored by a material witness: tablet, horoscope, astrolabe, cathedral, vessel, map, clock, mine, telescope, microscope, fossil, electrical grid, satellite, or algorithm. These witnesses do not speak without interpretation. They prevent interpretation from floating free of the worlds in which people observed, built, feared, worshiped, measured, classified, and acted. The story concerns not only what thinkers said was real, but what a civilization learned to do with things and what those operations allowed things to become.</w:t>
      </w:r>
    </w:p>
    <w:p w14:paraId="501E64C0" w14:textId="77777777" w:rsidR="00A901A8" w:rsidRPr="00242A60" w:rsidRDefault="00717EC6">
      <w:pPr>
        <w:pStyle w:val="SectionHeading"/>
      </w:pPr>
      <w:r w:rsidRPr="00242A60">
        <w:t>The Migration of Significance</w:t>
      </w:r>
    </w:p>
    <w:p w14:paraId="390BF683" w14:textId="77777777" w:rsidR="00A901A8" w:rsidRPr="00242A60" w:rsidRDefault="00717EC6">
      <w:pPr>
        <w:pStyle w:val="BookBody"/>
      </w:pPr>
      <w:r w:rsidRPr="00242A60">
        <w:rPr>
          <w:szCs w:val="28"/>
        </w:rPr>
        <w:t>If significance did not vanish, where did it go? The simplest answer is that it migrated inward, but that formula is only a beginning. It risks treating “the subject” as a preexisting container waiting to receive abandoned cosmic meanings. The inward domain itself had to be formed. Conscience, will, intention, imagination, sentiment, taste, psyche, and consciousness acquired different responsibilities across religious, philosophical, medical, and political histories. What the world ceased to guarantee, persons and communities were increasingly required to interpret.</w:t>
      </w:r>
    </w:p>
    <w:p w14:paraId="1AFCD47C" w14:textId="77777777" w:rsidR="00A901A8" w:rsidRPr="00242A60" w:rsidRDefault="00717EC6">
      <w:pPr>
        <w:pStyle w:val="BookBody"/>
      </w:pPr>
      <w:r w:rsidRPr="00242A60">
        <w:rPr>
          <w:szCs w:val="28"/>
        </w:rPr>
        <w:t>Christian creation is a decisive moment in this redistribution, but not because it produced dead nature. Biblical and early Christian thought denied independent divinity to sun, sea, storm, fertility, and empire. The stars could be signs, creatures, or instruments of providence, but they could not claim ultimate sovereignty. This demythologization also protected the world’s goodness and intelligibility. Creation was contingent, dependent, ordered, and capable of praise. To deny that the stars ruled salvation or coerced the will was to enlarge moral freedom, not merely to diminish the sky. Yet the contest with astral fate began a long separation between celestial regularity and legitimate personal determination.</w:t>
      </w:r>
    </w:p>
    <w:p w14:paraId="70706B2A" w14:textId="77777777" w:rsidR="00A901A8" w:rsidRPr="00242A60" w:rsidRDefault="00717EC6">
      <w:pPr>
        <w:pStyle w:val="BookBody"/>
      </w:pPr>
      <w:r w:rsidRPr="00242A60">
        <w:rPr>
          <w:szCs w:val="28"/>
        </w:rPr>
        <w:t>Medieval sacramental and analogical worlds maintained forms of public significance under the authority of a transcendent Creator. Matter could mediate grace. The calendar joined cosmic cycles, liturgy, agricultural labor, fasting, feast, memory, and expectation. Architecture oriented bodies within a theological geography. Natural beings could carry literal properties, practical uses, moral lessons, and anagogical references without those senses appearing as arbitrary additions. Such a world was not univocal or uncontested. Its meanings depended upon institutions capable of authorizing interpretation, and those institutions could enforce hierarchy and exclusion. Public meaning always raises the question of public power.</w:t>
      </w:r>
    </w:p>
    <w:p w14:paraId="23CC2D76" w14:textId="77777777" w:rsidR="00A901A8" w:rsidRPr="00242A60" w:rsidRDefault="00717EC6">
      <w:pPr>
        <w:pStyle w:val="BookBody"/>
      </w:pPr>
      <w:r w:rsidRPr="00242A60">
        <w:rPr>
          <w:szCs w:val="28"/>
        </w:rPr>
        <w:t>Early modern transformations fractured this order without producing immediate uniformity. Nominalist and voluntarist currents altered the relation between divine will, created kinds, and human knowledge. Reformation controversies changed the status of image, sacrament, relic, calendar, and sacred place. Renaissance natural magic and alchemy intensified attention to hidden powers, sympathies, techniques, and transformations in matter. Cartography, navigation, mining, anatomy, collecting, and experiment made aspects of the world available in new ways. The mechanical philosophies did not descend upon a passive culture; they competed with dense practical and metaphysical alternatives.</w:t>
      </w:r>
    </w:p>
    <w:p w14:paraId="6AF8BD70" w14:textId="77777777" w:rsidR="00A901A8" w:rsidRPr="00242A60" w:rsidRDefault="00717EC6">
      <w:pPr>
        <w:pStyle w:val="BookBody"/>
      </w:pPr>
      <w:r w:rsidRPr="00242A60">
        <w:rPr>
          <w:szCs w:val="28"/>
        </w:rPr>
        <w:t>As the physical world became describable without intrinsic value or purpose, modern philosophy often preserved order by assigning constitutive work to the subject. The sensible world did not disappear, but its forms of appearance were increasingly understood through the conditions of experience. Color, sound, beauty, sublimity, causality, and purposiveness were redistributed across different faculties and judgments. This protected validity from simple arbitrariness, yet it also reinforced a division between the world as described by physics and the world as encountered in life.</w:t>
      </w:r>
    </w:p>
    <w:p w14:paraId="63886D05" w14:textId="77777777" w:rsidR="00A901A8" w:rsidRPr="00242A60" w:rsidRDefault="00717EC6">
      <w:pPr>
        <w:pStyle w:val="BookBody"/>
      </w:pPr>
      <w:r w:rsidRPr="00242A60">
        <w:rPr>
          <w:szCs w:val="28"/>
        </w:rPr>
        <w:t>Psychology inherited part of this divided field. Gods and planets could return as archetypes; mythic figures could name recurrent structures of fantasy or psychic life; symbolic correspondences could become meaningful without claiming physical causation. This move saved experiences that mechanism could not exhaust. It also placed the final authority for meaning within an interiority whose historical formation was easily forgotten. When celestial Mars becomes merely my aggression, or Saturn merely my depression, the cosmos survives only as a vocabulary for the self. The world supplies images; the psyche supplies reality.</w:t>
      </w:r>
    </w:p>
    <w:p w14:paraId="03CB320F" w14:textId="77777777" w:rsidR="00A901A8" w:rsidRPr="00242A60" w:rsidRDefault="00717EC6">
      <w:pPr>
        <w:pStyle w:val="BookBody"/>
      </w:pPr>
      <w:r w:rsidRPr="00242A60">
        <w:rPr>
          <w:szCs w:val="28"/>
        </w:rPr>
        <w:t>Culture became another authorized location. A quality could be real for a tradition, a community, or an identity without being treated as a feature of the common world. This pluralization rightly resisted the coercion of a single sacred order. It allowed rival memories and forms of life to speak. But “cultural meaning” could also function as a quarantine. Once a claim was classified as symbolic, religious, indigenous, or aesthetic, it could be respected precisely because it was no longer permitted to challenge the ontology of public knowledge.</w:t>
      </w:r>
    </w:p>
    <w:p w14:paraId="254C29BD" w14:textId="77777777" w:rsidR="00A901A8" w:rsidRPr="00242A60" w:rsidRDefault="00717EC6">
      <w:pPr>
        <w:pStyle w:val="BookBody"/>
      </w:pPr>
      <w:r w:rsidRPr="00242A60">
        <w:rPr>
          <w:szCs w:val="28"/>
        </w:rPr>
        <w:t>Technology introduced a further redistribution. Questions of what something meant could be displaced by what could be done with it. A river became head and flow; a forest became inventory and yield; a population became distributions and risks; attention became engagement; movement became location data; language became statistically tractable tokens. This operationalization is not the absence of values. Every system selects goals, tolerances, losses, and measures of success. But values enter as parameters, objectives, or preferences rather than as qualities disclosed by the beings involved.</w:t>
      </w:r>
    </w:p>
    <w:p w14:paraId="75EA0BA7" w14:textId="77777777" w:rsidR="00A901A8" w:rsidRPr="00242A60" w:rsidRDefault="00717EC6">
      <w:pPr>
        <w:pStyle w:val="BookBody"/>
      </w:pPr>
      <w:r w:rsidRPr="00242A60">
        <w:rPr>
          <w:szCs w:val="28"/>
        </w:rPr>
        <w:t>The contemporary world is therefore neither meaningless nor merely subjective. It is saturated with rankings, alerts, recommendations, scores, incentives, forecasts, and signals. It tells people where to go, what to buy, whom to watch, which route is fastest, what risk they represent, and what they will probably want next. In this sense the operational world can resemble an inverted cosmos. It surrounds the individual with an anticipatory order, assigns a position, correlates events, and forecasts outcomes. Yet its fate is statistical rather than meaningful. It predicts without providing orientation. It knows where the person is while remaining silent about where the person belongs.</w:t>
      </w:r>
    </w:p>
    <w:p w14:paraId="2ECDF743" w14:textId="77777777" w:rsidR="00A901A8" w:rsidRPr="00242A60" w:rsidRDefault="00717EC6">
      <w:pPr>
        <w:pStyle w:val="BookBody"/>
      </w:pPr>
      <w:r w:rsidRPr="00242A60">
        <w:rPr>
          <w:szCs w:val="28"/>
        </w:rPr>
        <w:t>This silence is not neutral. When public institutions cannot articulate qualitative goods except as aggregated preferences or measurable outcomes, operational systems inherit decisions they cannot justify. Efficiency answers how to optimize a goal, not why the goal deserves authority. Prediction estimates what will occur, not what ought to occur. Measurement reveals patterns, not the full significance of what is measured. The death of the living cosmos culminates not in an empty world but in a world dense with operations and poor in publicly answerable meaning.</w:t>
      </w:r>
    </w:p>
    <w:p w14:paraId="2E9386E7" w14:textId="77777777" w:rsidR="00A901A8" w:rsidRPr="00242A60" w:rsidRDefault="00717EC6">
      <w:pPr>
        <w:pStyle w:val="SectionHeading"/>
      </w:pPr>
      <w:r w:rsidRPr="00242A60">
        <w:t>Life Does Not Fit the Funeral</w:t>
      </w:r>
    </w:p>
    <w:p w14:paraId="6CAB2348" w14:textId="77777777" w:rsidR="00A901A8" w:rsidRPr="00242A60" w:rsidRDefault="00717EC6">
      <w:pPr>
        <w:pStyle w:val="BookBody"/>
      </w:pPr>
      <w:r w:rsidRPr="00242A60">
        <w:rPr>
          <w:szCs w:val="28"/>
        </w:rPr>
        <w:t>The story might seem to end here: a qualitative cosmos gives way to homogeneous matter; significance retreats into the subject; technology converts what remains into resources and systems. But life repeatedly interrupts this clean decline. An organism cannot be understood simply as a point receiving neutral inputs from a finished environment. It selects, responds, seeks, avoids, repairs, and establishes a field of relevance. Food is not merely matter with certain chemical properties; it is food for a form of life. A threat is not only a moving body; it is something to flee, resist, or conceal oneself from. A habitat is not a container; it is a structured set of possibilities and dangers.</w:t>
      </w:r>
    </w:p>
    <w:p w14:paraId="7C75796A" w14:textId="77777777" w:rsidR="00A901A8" w:rsidRPr="00242A60" w:rsidRDefault="00717EC6">
      <w:pPr>
        <w:pStyle w:val="BookBody"/>
      </w:pPr>
      <w:r w:rsidRPr="00242A60">
        <w:rPr>
          <w:szCs w:val="28"/>
        </w:rPr>
        <w:t xml:space="preserve">Jakob von Uexküll made this problem visible through the concept of </w:t>
      </w:r>
      <w:r w:rsidRPr="00242A60">
        <w:rPr>
          <w:i/>
          <w:szCs w:val="28"/>
        </w:rPr>
        <w:t>Umwelt</w:t>
      </w:r>
      <w:r w:rsidRPr="00242A60">
        <w:rPr>
          <w:szCs w:val="28"/>
        </w:rPr>
        <w:t>. Every animal inhabits a world constituted through the signs to which its body can respond and the actions it can perform. To imagine the meadow only as one objective environment containing many organisms is to miss the plurality of worlds active within it. Uexküll asks us to picture each animal enclosed within a “soap bubble” of perceptual and effective space.</w:t>
      </w:r>
      <w:r w:rsidRPr="00242A60">
        <w:rPr>
          <w:szCs w:val="28"/>
          <w:vertAlign w:val="superscript"/>
        </w:rPr>
        <w:t>6</w:t>
      </w:r>
      <w:r w:rsidRPr="00242A60">
        <w:rPr>
          <w:szCs w:val="28"/>
        </w:rPr>
        <w:t xml:space="preserve"> The metaphor does not imply that each creature invents an arbitrary private reality. The tick’s world is bound to actual features of mammals; the bee’s world to actual colors, odors, directions, and flowers. But what exists as significant is relational. The same branch can be perch, obstacle, support, path, or irrelevant background depending upon the organism whose world it enters.</w:t>
      </w:r>
    </w:p>
    <w:p w14:paraId="41BFC5E1" w14:textId="77777777" w:rsidR="00A901A8" w:rsidRPr="00242A60" w:rsidRDefault="00717EC6">
      <w:pPr>
        <w:pStyle w:val="BookBody"/>
      </w:pPr>
      <w:r w:rsidRPr="00242A60">
        <w:rPr>
          <w:szCs w:val="28"/>
        </w:rPr>
        <w:t>Uexküll’s worlds complicate the opposition between objectivity and subjectivity. A meaningful cue is neither a self-sufficient property identical for every observer nor a projection added to meaningless matter. It belongs to a fit between organism and surroundings, a relation shaped by bodily capacities and patterns of action. Meaning here precedes reflective consciousness. The animal need not formulate a judgment for something to count as prey, shelter, mate, or danger. Qualitative difference has not returned as a universal cosmic hierarchy. It has returned as an objective feature of living relation.</w:t>
      </w:r>
    </w:p>
    <w:p w14:paraId="751711A4" w14:textId="77777777" w:rsidR="00A901A8" w:rsidRPr="00242A60" w:rsidRDefault="00717EC6">
      <w:pPr>
        <w:pStyle w:val="BookBody"/>
      </w:pPr>
      <w:r w:rsidRPr="00242A60">
        <w:rPr>
          <w:szCs w:val="28"/>
        </w:rPr>
        <w:t>Georges Canguilhem radicalized the point by treating life as normative. An organism does not merely conform to averages. It distinguishes favorable from unfavorable conditions through its activity, tolerates variations, falls ill, and sometimes establishes new norms. Health is not perfect obedience to a fixed environment but the capacity to institute a workable relation with changing conditions. Disease is not simply numerical deviation; it is a contraction or alteration of the organism’s world. The distinction between normal and pathological therefore cannot be settled by statistics alone.</w:t>
      </w:r>
    </w:p>
    <w:p w14:paraId="110CB6AB" w14:textId="77777777" w:rsidR="00A901A8" w:rsidRPr="00242A60" w:rsidRDefault="00717EC6">
      <w:pPr>
        <w:pStyle w:val="BookBody"/>
      </w:pPr>
      <w:r w:rsidRPr="00242A60">
        <w:rPr>
          <w:szCs w:val="28"/>
        </w:rPr>
        <w:t xml:space="preserve">Canguilhem’s history of the concept of </w:t>
      </w:r>
      <w:r w:rsidRPr="00242A60">
        <w:rPr>
          <w:i/>
          <w:szCs w:val="28"/>
        </w:rPr>
        <w:t>milieu</w:t>
      </w:r>
      <w:r w:rsidRPr="00242A60">
        <w:rPr>
          <w:szCs w:val="28"/>
        </w:rPr>
        <w:t xml:space="preserve"> also exposes an ambiguity central to modernity. The term can name an abstract system of external relations in which any center is endlessly displaced, or it can name the lived surroundings relative to an organism that takes its own activity as a center of reference.</w:t>
      </w:r>
      <w:r w:rsidRPr="00242A60">
        <w:rPr>
          <w:szCs w:val="28"/>
          <w:vertAlign w:val="superscript"/>
        </w:rPr>
        <w:t>7</w:t>
      </w:r>
      <w:r w:rsidRPr="00242A60">
        <w:rPr>
          <w:szCs w:val="28"/>
        </w:rPr>
        <w:t xml:space="preserve"> Physics can legitimately describe a decentered field. Biology cannot forget that a living being encounters conditions from somewhere. The organism is not the metaphysical center of the universe, but it is a center of evaluation within its life.</w:t>
      </w:r>
    </w:p>
    <w:p w14:paraId="2FC87BCA" w14:textId="77777777" w:rsidR="00A901A8" w:rsidRPr="00242A60" w:rsidRDefault="00717EC6">
      <w:pPr>
        <w:pStyle w:val="BookBody"/>
      </w:pPr>
      <w:r w:rsidRPr="00242A60">
        <w:rPr>
          <w:szCs w:val="28"/>
        </w:rPr>
        <w:t>This distinction matters far beyond biology. Modern thought often assumes that decentering is synonymous with truth. To remove the human being from cosmic centrality, the observer from physical description, intention from mechanism, and value from fact appears as a continuous progress toward objectivity. Much of that decentering is indispensable. Yet life reveals that centeredness and error are not identical. Every organism acts from a situated body. Every perception opens a field around orientations and capacities. A view from nowhere may be a necessary construction for certain kinds of knowledge, but no living being inhabits it.</w:t>
      </w:r>
    </w:p>
    <w:p w14:paraId="3941BAAB" w14:textId="77777777" w:rsidR="00A901A8" w:rsidRPr="00242A60" w:rsidRDefault="00717EC6">
      <w:pPr>
        <w:pStyle w:val="BookBody"/>
      </w:pPr>
      <w:r w:rsidRPr="00242A60">
        <w:rPr>
          <w:szCs w:val="28"/>
        </w:rPr>
        <w:t>Merleau-Ponty’s philosophy of nature and embodiment carries this insight into perception. The perceiver is not a spectator facing an external inventory, nor a sovereign consciousness composing sensations into a world. The body is already among things, exposed to them and capable of them. Vision occurs from within the visible. Touch reveals a reversible relation: the hand touching can itself be touched. Nature, for Merleau-Ponty, is not only the object opposed to consciousness; it is the older field from which consciousness has arisen, a productivity and sense not first authored by reflection.</w:t>
      </w:r>
      <w:r w:rsidRPr="00242A60">
        <w:rPr>
          <w:szCs w:val="28"/>
          <w:vertAlign w:val="superscript"/>
        </w:rPr>
        <w:t>8</w:t>
      </w:r>
    </w:p>
    <w:p w14:paraId="29A2F422" w14:textId="77777777" w:rsidR="00A901A8" w:rsidRPr="00242A60" w:rsidRDefault="00717EC6">
      <w:pPr>
        <w:pStyle w:val="BookBody"/>
      </w:pPr>
      <w:r w:rsidRPr="00242A60">
        <w:rPr>
          <w:szCs w:val="28"/>
        </w:rPr>
        <w:t>These arguments do not prove that the universe as a whole possesses purpose. Biological normativity is not providence. The fact that organisms inhabit meaningful worlds does not validate astrology. The intertwining of perceiver and perceived does not make every symbolic correspondence true. To convert these discoveries into a generalized reenchantment would repeat, in reverse, the very confusion this book seeks to avoid. It would move without argument from meaning in living relation to meaning in every cosmic event.</w:t>
      </w:r>
    </w:p>
    <w:p w14:paraId="6B7C972A" w14:textId="77777777" w:rsidR="00A901A8" w:rsidRPr="00242A60" w:rsidRDefault="00717EC6">
      <w:pPr>
        <w:pStyle w:val="BookBody"/>
      </w:pPr>
      <w:r w:rsidRPr="00242A60">
        <w:rPr>
          <w:szCs w:val="28"/>
        </w:rPr>
        <w:t>They do, however, prevent the dominant physical description from becoming a complete ontology by default. Physics can describe the molecular composition of food without describing its significance for hunger. It can analyze wavelengths without exhausting the visible world of an animal. It can model forces acting on a body without accounting for the norm by which that body experiences an action as injury. The incompleteness is not a defect in physics; it appears only when a successful method is mistaken for an exhaustive inventory of the real.</w:t>
      </w:r>
    </w:p>
    <w:p w14:paraId="25C005CB" w14:textId="77777777" w:rsidR="00A901A8" w:rsidRPr="00242A60" w:rsidRDefault="00717EC6">
      <w:pPr>
        <w:pStyle w:val="BookBody"/>
      </w:pPr>
      <w:r w:rsidRPr="00242A60">
        <w:rPr>
          <w:szCs w:val="28"/>
        </w:rPr>
        <w:t>Life therefore preserves qualitative determination in a form neither ancient nor merely subjective. Organism and milieu arise in relation. Perception discloses without creating from nothing. Values can be immanent to the activity of a living being without being written as a single hierarchy into the universe. These claims will become central late in the book, after the histories of cosmos, creation, matter, mechanism, subjectivity, and deep time have established why such a recovery cannot be simple.</w:t>
      </w:r>
    </w:p>
    <w:p w14:paraId="52AB0700" w14:textId="77777777" w:rsidR="00A901A8" w:rsidRPr="00242A60" w:rsidRDefault="00717EC6">
      <w:pPr>
        <w:pStyle w:val="BookBody"/>
      </w:pPr>
      <w:r w:rsidRPr="00242A60">
        <w:rPr>
          <w:szCs w:val="28"/>
        </w:rPr>
        <w:t>At planetary scale, the same caution applies. Life has transformed the atmosphere, soils, oceans, and cycles that make further life possible. Symbiosis and microbial activity unsettle the image of self-contained individuals competing against a neutral background. Earth-system science reveals feedback, dependency, thresholds, and planetary vulnerability. But a living planet need not be a person, and system regulation need not be intention. The strongest recovery of relation will be the one least dependent upon metaphorical inflation.</w:t>
      </w:r>
    </w:p>
    <w:p w14:paraId="06386511" w14:textId="77777777" w:rsidR="00A901A8" w:rsidRPr="00242A60" w:rsidRDefault="00717EC6">
      <w:pPr>
        <w:pStyle w:val="SectionHeading"/>
      </w:pPr>
      <w:r w:rsidRPr="00242A60">
        <w:t>Neither Restoration nor Relativism</w:t>
      </w:r>
    </w:p>
    <w:p w14:paraId="3C89FD64" w14:textId="77777777" w:rsidR="00A901A8" w:rsidRPr="00242A60" w:rsidRDefault="00717EC6">
      <w:pPr>
        <w:pStyle w:val="BookBody"/>
      </w:pPr>
      <w:r w:rsidRPr="00242A60">
        <w:rPr>
          <w:szCs w:val="28"/>
        </w:rPr>
        <w:t>The old cosmos cannot be restored by preference. Historical consciousness cannot unknow the distances of astronomy, the age of the Earth, biological evolution, religious plurality, textual criticism, colonial violence, or the coercions authorized by inherited orders. Even if an ancient scheme could be reconstructed in perfect detail, reconstruction would not confer authority. A cosmos lives publicly only when its qualitative distinctions are more than objects of antiquarian admiration or private selection.</w:t>
      </w:r>
    </w:p>
    <w:p w14:paraId="14CAB25B" w14:textId="77777777" w:rsidR="00A901A8" w:rsidRPr="00242A60" w:rsidRDefault="00717EC6">
      <w:pPr>
        <w:pStyle w:val="BookBody"/>
      </w:pPr>
      <w:r w:rsidRPr="00242A60">
        <w:rPr>
          <w:szCs w:val="28"/>
        </w:rPr>
        <w:t>Nostalgia is therefore inadequate both historically and philosophically. There was no single age of cosmic harmony. Mesopotamian celestial divination, Platonic order, Stoic sympathy, Christian creation, Islamic astral science, medieval sacrament, Renaissance magic, and early modern vitalism cannot be assembled into one lost worldview without destroying their disagreements. Each distributed agency, freedom, fate, divinity, matter, and interpretation differently. Their public meanings were sustained by institutions and forms of life that included exclusions no responsible recovery should conceal.</w:t>
      </w:r>
    </w:p>
    <w:p w14:paraId="3F291C68" w14:textId="77777777" w:rsidR="00A901A8" w:rsidRPr="00242A60" w:rsidRDefault="00717EC6">
      <w:pPr>
        <w:pStyle w:val="BookBody"/>
      </w:pPr>
      <w:r w:rsidRPr="00242A60">
        <w:rPr>
          <w:szCs w:val="28"/>
        </w:rPr>
        <w:t>An attack on science would be equally inadequate. Science did not merely strip qualities from the world; it disclosed relations concealed by appearances and traditions. It made nature answerable to procedures that could be repeated, criticized, and revised. It freed inquiry from many inherited authorities and provided forms of public agreement across religious and cultural difference. Any account of qualitative truth that cannot survive confrontation with scientific evidence has not recovered a cosmos. It has evaded the common world.</w:t>
      </w:r>
    </w:p>
    <w:p w14:paraId="2733A956" w14:textId="77777777" w:rsidR="00A901A8" w:rsidRPr="00242A60" w:rsidRDefault="00717EC6">
      <w:pPr>
        <w:pStyle w:val="BookBody"/>
      </w:pPr>
      <w:r w:rsidRPr="00242A60">
        <w:rPr>
          <w:szCs w:val="28"/>
        </w:rPr>
        <w:t>Yet the opposite settlement - that measurement alone determines reality while meaning remains a matter of private or cultural choice - also fails. It confuses methodological discipline with metaphysical completeness. Human beings cannot live without qualitative judgments, and institutions cannot operate without them. Decisions about health, education, land, technology, risk, and justice require accounts of flourishing, harm, obligation, and acceptable loss. If such judgments are declared unreal because they are not reducible to physical description, they do not disappear. They become hidden inside procedures, markets, bureaucracies, and machines.</w:t>
      </w:r>
    </w:p>
    <w:p w14:paraId="03F3FCC5" w14:textId="77777777" w:rsidR="00A901A8" w:rsidRPr="00242A60" w:rsidRDefault="00717EC6">
      <w:pPr>
        <w:pStyle w:val="BookBody"/>
      </w:pPr>
      <w:r w:rsidRPr="00242A60">
        <w:rPr>
          <w:szCs w:val="28"/>
        </w:rPr>
        <w:t>The alternative cannot be a relaxed pluralism in which every worldview is “true for” those who hold it. Such tolerance protects difference at the price of public answerability. Some claims conflict. Some practices harm. Some interpretations illuminate their objects; others distort them. If significance is never more than communal construction, no meaning can address a person from beyond the identity or preference already possessed. The world becomes material for rival authorships.</w:t>
      </w:r>
    </w:p>
    <w:p w14:paraId="4234D1B5" w14:textId="77777777" w:rsidR="00A901A8" w:rsidRPr="00242A60" w:rsidRDefault="00717EC6">
      <w:pPr>
        <w:pStyle w:val="BookBody"/>
      </w:pPr>
      <w:r w:rsidRPr="00242A60">
        <w:rPr>
          <w:szCs w:val="28"/>
        </w:rPr>
        <w:t>The problem may be stated as a double refusal. Qualitative truth cannot require restoration of a closed and authoritative cosmic hierarchy; nor can it dissolve into relativism, where qualities are whatever subjects or cultures project. What is needed is an account of mediation without sovereign authorship. A perceiver is necessary for color to appear, but does not arbitrarily invent the visible. An organism is necessary for a cue to function as food or threat, but the relation can succeed or fail. A historical community is necessary for symbols to become legible, but interpretation remains answerable to texts, events, bodies, and consequences it does not simply create.</w:t>
      </w:r>
    </w:p>
    <w:p w14:paraId="7F5DD2CF" w14:textId="77777777" w:rsidR="00A901A8" w:rsidRPr="00242A60" w:rsidRDefault="00717EC6">
      <w:pPr>
        <w:pStyle w:val="BookBody"/>
      </w:pPr>
      <w:r w:rsidRPr="00242A60">
        <w:rPr>
          <w:szCs w:val="28"/>
        </w:rPr>
        <w:t>This model of mediated realism will guide the book without being imposed as its foregone conclusion. It distinguishes dependence upon a perspective from unreality. It asks which qualitative determinations belong to stable relations, which depend upon historical institutions, which express symbolic insight, which function as projections, and which make metaphysical claims exceeding available evidence. It allows a relation to be real without assuming that the universe intended it. It allows uncertainty without surrendering judgment.</w:t>
      </w:r>
    </w:p>
    <w:p w14:paraId="4D6D4908" w14:textId="77777777" w:rsidR="00A901A8" w:rsidRPr="00242A60" w:rsidRDefault="00717EC6">
      <w:pPr>
        <w:pStyle w:val="BookBody"/>
      </w:pPr>
      <w:r w:rsidRPr="00242A60">
        <w:rPr>
          <w:szCs w:val="28"/>
        </w:rPr>
        <w:t>Astrology will provide the final and most difficult test. Historically, astrology articulated a cosmos in which time was qualitatively differentiated and birth occurred within a celestial configuration. Modern astrology survives across traditional, psychological, evolutionary, archetypal, commercial, and popular forms. It can preserve technical disciplines, disclose symbolic patterns, organize identity, predict events, or offer consoling narratives. These functions must not be confused. Symbolic fruitfulness is not statistical evidence; failed causal models do not prove every acausal alternative; personal resonance is not yet public truth.</w:t>
      </w:r>
    </w:p>
    <w:p w14:paraId="74979F3B" w14:textId="77777777" w:rsidR="00A901A8" w:rsidRPr="00242A60" w:rsidRDefault="00717EC6">
      <w:pPr>
        <w:pStyle w:val="BookBody"/>
      </w:pPr>
      <w:r w:rsidRPr="00242A60">
        <w:rPr>
          <w:szCs w:val="28"/>
        </w:rPr>
        <w:t>To treat astrology seriously is neither to endorse it nor to dismiss it before its claims have been separated. The chart is not the soul. Character is not consciousness. A celestial configuration is not automatically a cause. Interpretation is not self-validating. Yet astrology presses the governing question in its most exposed form: can a birth participate in qualitative relations that are neither conventional physical forces nor inventions of the sovereign subject? The history of the living cosmos prepares this question; it does not predetermine the answer.</w:t>
      </w:r>
    </w:p>
    <w:p w14:paraId="77C486C7" w14:textId="77777777" w:rsidR="00A901A8" w:rsidRPr="00242A60" w:rsidRDefault="00717EC6">
      <w:pPr>
        <w:pStyle w:val="BookBody"/>
      </w:pPr>
      <w:r w:rsidRPr="00242A60">
        <w:rPr>
          <w:szCs w:val="28"/>
        </w:rPr>
        <w:t>The same discipline applies to ecology, quantum theory, synchronicity, and systems language. Scientific strangeness is not proof of cosmic purpose. Interdependence does not entail harmony. Indeterminacy does not validate every symbolic claim. Feedback is not intention. A responsible recovery must be able to say that a relation is scientifically established, phenomenologically disclosed, historically meaningful, symbolically powerful, metaphysically possible, or presently unproven - and to resist sliding among these descriptions.</w:t>
      </w:r>
    </w:p>
    <w:p w14:paraId="4973734F" w14:textId="77777777" w:rsidR="00A901A8" w:rsidRPr="00242A60" w:rsidRDefault="00717EC6">
      <w:pPr>
        <w:pStyle w:val="BookBody"/>
      </w:pPr>
      <w:r w:rsidRPr="00242A60">
        <w:rPr>
          <w:szCs w:val="28"/>
        </w:rPr>
        <w:t>What may be recoverable is therefore less than the old cosmos and more than subjective consolation. The person is not self-created. Time is not experienced as empty succession alone. Life establishes norms. Perception is participation in a world that precedes it. Earth is not raw material merely because it can be treated as such. Technical orders embody judgments about cosmos, morality, and collective existence even when they present themselves as neutral. Reality exceeds use and possession.</w:t>
      </w:r>
    </w:p>
    <w:p w14:paraId="6D1B70A4" w14:textId="77777777" w:rsidR="00A901A8" w:rsidRPr="00242A60" w:rsidRDefault="00717EC6">
      <w:pPr>
        <w:pStyle w:val="SectionHeading"/>
      </w:pPr>
      <w:r w:rsidRPr="00242A60">
        <w:t>The Route Through the World</w:t>
      </w:r>
    </w:p>
    <w:p w14:paraId="50BD46B4" w14:textId="77777777" w:rsidR="00A901A8" w:rsidRPr="00242A60" w:rsidRDefault="00717EC6">
      <w:pPr>
        <w:pStyle w:val="BookBody"/>
      </w:pPr>
      <w:r w:rsidRPr="00242A60">
        <w:rPr>
          <w:szCs w:val="28"/>
        </w:rPr>
        <w:t xml:space="preserve">The chapters that follow trace a sequence of transformations rather than a steady decline. The first part asks what it meant for a cosmos to live before the modern category of nature organized the field. Cuneiform tablets, temple orientations, calendars, omens, and horoscopes show observation and significance joined in practices that cannot be divided retrospectively into science plus superstition. Greek philosophy gives </w:t>
      </w:r>
      <w:r w:rsidRPr="00242A60">
        <w:rPr>
          <w:i/>
          <w:szCs w:val="28"/>
        </w:rPr>
        <w:t>kosmos</w:t>
      </w:r>
      <w:r w:rsidRPr="00242A60">
        <w:rPr>
          <w:szCs w:val="28"/>
        </w:rPr>
        <w:t xml:space="preserve"> conceptual articulation through number, form, soul, motion, place, and purpose. Ancient astrology supplies the most exact grammar of a qualitatively differentiated heaven.</w:t>
      </w:r>
    </w:p>
    <w:p w14:paraId="084E3C70" w14:textId="77777777" w:rsidR="00A901A8" w:rsidRPr="00242A60" w:rsidRDefault="00717EC6">
      <w:pPr>
        <w:pStyle w:val="BookBody"/>
      </w:pPr>
      <w:r w:rsidRPr="00242A60">
        <w:rPr>
          <w:szCs w:val="28"/>
        </w:rPr>
        <w:t>The second part follows the movement from cosmos to creation. Biblical and Christian traditions deprive cosmic powers of ultimate divinity while preserving a good, intelligible, and sacramental world. Providence and freedom contest astral sovereignty. Islamic astronomy and astrology transform Greek, Persian, and Indian inheritances within new scientific and theological debates. Medieval sacrament and hierarchy make matter, liturgy, architecture, and celestial causation participate in created order. Creation is not dead nature; it is the first great reorganization of cosmic life.</w:t>
      </w:r>
    </w:p>
    <w:p w14:paraId="3C714E62" w14:textId="77777777" w:rsidR="00A901A8" w:rsidRPr="00242A60" w:rsidRDefault="00717EC6">
      <w:pPr>
        <w:pStyle w:val="BookBody"/>
      </w:pPr>
      <w:r w:rsidRPr="00242A60">
        <w:rPr>
          <w:szCs w:val="28"/>
        </w:rPr>
        <w:t>The third part examines fracture and the last living matter. Controversies over presence, image, word, calendar, and landscape alter the public density of the sacred. Natural magic and sympathy search for hidden relations. Alchemy places transformation in vessels, furnaces, substances, colors, and procedures. Matter remains active, internally differentiated, and technically responsive even as new forms of experiment prepare a different objectivity. These chapters will resist the temptation to read alchemy solely as immature chemistry or projected psychology.</w:t>
      </w:r>
    </w:p>
    <w:p w14:paraId="61D8DA32" w14:textId="77777777" w:rsidR="00A901A8" w:rsidRPr="00242A60" w:rsidRDefault="00717EC6">
      <w:pPr>
        <w:pStyle w:val="BookBody"/>
      </w:pPr>
      <w:r w:rsidRPr="00242A60">
        <w:rPr>
          <w:szCs w:val="28"/>
        </w:rPr>
        <w:t>The fourth part turns to the making of the universe. Maps, telescopes, microscopes, collections, and mechanical models do not merely add facts to an inherited world; they produce new objects and scales of reality. The Earth loses cosmological centrality. Space becomes geometrically homogeneous. Bodies become mechanisms and animals difficult boundary cases. Yet alternative philosophies of living matter persist, especially in thinkers whose exclusion from the standard canon makes mechanism appear more unanimous than it was.</w:t>
      </w:r>
    </w:p>
    <w:p w14:paraId="57378CC6" w14:textId="77777777" w:rsidR="00A901A8" w:rsidRPr="00242A60" w:rsidRDefault="00717EC6">
      <w:pPr>
        <w:pStyle w:val="BookBody"/>
      </w:pPr>
      <w:r w:rsidRPr="00242A60">
        <w:rPr>
          <w:szCs w:val="28"/>
        </w:rPr>
        <w:t>The fifth part follows the exile of qualities. The distinction between primary and secondary qualities, the subject’s role in constituting experience, and the division between fact and value relocate much of the sensible world. Romantic science and natural history attempt forms of wholeness without returning unchanged to the old cosmos. Fossils, strata, engines, mines, and energy systems place life within deep and industrial time. The heavens are no longer the only scale at which human centrality is broken.</w:t>
      </w:r>
    </w:p>
    <w:p w14:paraId="09207541" w14:textId="77777777" w:rsidR="00A901A8" w:rsidRPr="00242A60" w:rsidRDefault="00717EC6">
      <w:pPr>
        <w:pStyle w:val="BookBody"/>
      </w:pPr>
      <w:r w:rsidRPr="00242A60">
        <w:rPr>
          <w:szCs w:val="28"/>
        </w:rPr>
        <w:t>The sixth part asks how living relation returns. The gods and planets survive psychologically, but psyche cannot be allowed to become the sole author of significance. Uexküll’s organism-specific worlds, Canguilhem’s biological normativity, and Merleau-Ponty’s embodied perception make qualitative relation real without restoring cosmic predetermination. Vernadsky, Margulis, and Gaia theory extend life’s transformative activity to planetary scale while requiring careful distinctions among model, metaphor, feedback, agency, and purpose.</w:t>
      </w:r>
    </w:p>
    <w:p w14:paraId="3D3EF29D" w14:textId="77777777" w:rsidR="00A901A8" w:rsidRPr="00242A60" w:rsidRDefault="00717EC6">
      <w:pPr>
        <w:pStyle w:val="BookBody"/>
      </w:pPr>
      <w:r w:rsidRPr="00242A60">
        <w:rPr>
          <w:szCs w:val="28"/>
        </w:rPr>
        <w:t>The final part enters the operational world. Statistics, standards, public health, insurance, cybernetics, technical objects, satellites, GPS, platforms, recommendation systems, risk scores, and artificial intelligence render Earth and its inhabitants as variables in systems of prediction and intervention. This is not a generic denunciation of technology. Operational knowledge can save lives, coordinate complexity, and disclose planetary processes. But it also establishes equivalences and goals that reorganize reality. The final return to astrology tests whether qualitative determination can become publicly answerable after both the inherited cosmos and sovereign subjectivity have failed.</w:t>
      </w:r>
    </w:p>
    <w:p w14:paraId="32EE4D20" w14:textId="77777777" w:rsidR="00A901A8" w:rsidRPr="00242A60" w:rsidRDefault="00717EC6">
      <w:pPr>
        <w:pStyle w:val="BookBody"/>
      </w:pPr>
      <w:r w:rsidRPr="00242A60">
        <w:rPr>
          <w:szCs w:val="28"/>
        </w:rPr>
        <w:t>Across this route, every gain must remain visible beside every loss. The ancient cosmos gave orientation but could bind persons through fate and hierarchy. Creation broke the sovereignty of stars while retaining an intelligible world. Modern science disclosed an older, larger, and more exact universe while restricting public description to measurable relations. Modern subjectivity protected freedom and validity while inheriting meanings once borne by the world. Technology did not complete a simple disenchantment; it replaced many questions of significance with operation, prediction, optimization, and control. Biology and phenomenology recovered relation without proving providence.</w:t>
      </w:r>
    </w:p>
    <w:p w14:paraId="7B11812A" w14:textId="77777777" w:rsidR="00A901A8" w:rsidRPr="00242A60" w:rsidRDefault="00717EC6">
      <w:pPr>
        <w:pStyle w:val="BookBody"/>
      </w:pPr>
      <w:r w:rsidRPr="00242A60">
        <w:rPr>
          <w:szCs w:val="28"/>
        </w:rPr>
        <w:t>This history ends not with a verdict that the universe is alive or dead, but with a more disciplined question: which forms of qualitative determination can be understood as belonging to reality without being insulated from evidence, imposed through inherited authority, or reduced to private invention? The answer may differ across physical law, biological norm, perceptual quality, sacred symbol, historical meaning, and metaphysical possibility. There may be no single procedure capable of adjudicating them all. But refusing their distinctions is no longer intellectually innocent.</w:t>
      </w:r>
    </w:p>
    <w:p w14:paraId="69951F77" w14:textId="77777777" w:rsidR="00A901A8" w:rsidRPr="00242A60" w:rsidRDefault="00717EC6">
      <w:pPr>
        <w:pStyle w:val="BookBody"/>
      </w:pPr>
      <w:r w:rsidRPr="00242A60">
        <w:rPr>
          <w:szCs w:val="28"/>
        </w:rPr>
        <w:t>Return, then, to the person beneath the night sky. Astronomy has not taken the sky away. It has replaced the apparent dome with a history of light, gravity, matter, and time more astonishing than the old appearance could disclose. Yet the observer still stands somewhere. The body still finds an above and below. The season still matters to living things. The darkness still gathers memory, fear, desire, and orientation. The person knows that these meanings are mediated, historical, and embodied. The question is whether mediation confines them to the person or is the way a world becomes present at all.</w:t>
      </w:r>
    </w:p>
    <w:p w14:paraId="18E51823" w14:textId="77777777" w:rsidR="00A901A8" w:rsidRPr="00242A60" w:rsidRDefault="00717EC6">
      <w:pPr>
        <w:pStyle w:val="BookBody"/>
      </w:pPr>
      <w:r w:rsidRPr="00242A60">
        <w:rPr>
          <w:szCs w:val="28"/>
        </w:rPr>
        <w:t>The two skies cannot be collapsed into one. The visible night is not a rival physics, and the astronomical universe is not the whole of lived reality. To choose either as the sole truth would repeat the division this book investigates. We need to understand how a civilization came to possess an objective universe without a public cosmos, how significance survived that achievement, and why the operational systems now surrounding us cannot by themselves answer the need for orientation they increasingly manage.</w:t>
      </w:r>
    </w:p>
    <w:p w14:paraId="27DBAC84" w14:textId="77777777" w:rsidR="00A901A8" w:rsidRPr="00242A60" w:rsidRDefault="00717EC6">
      <w:pPr>
        <w:pStyle w:val="BookBody"/>
      </w:pPr>
      <w:r w:rsidRPr="00242A60">
        <w:rPr>
          <w:szCs w:val="28"/>
        </w:rPr>
        <w:t>Before that history can be told, its lost object must be made precise. We must enter worlds in which sky, river, temple, city, body, season, and obligation had not yet been sorted into nature and culture, fact and value, object and subject. We must allow those worlds to speak without treating them as either childish error or recovered salvation. Only then can we understand what died, what deserved to die, what never disappeared, and what may still be waiting for a language adequate to its reality.</w:t>
      </w:r>
    </w:p>
    <w:p w14:paraId="31760777" w14:textId="77777777" w:rsidR="00A901A8" w:rsidRPr="00242A60" w:rsidRDefault="00717EC6">
      <w:pPr>
        <w:pStyle w:val="NotesHeading"/>
      </w:pPr>
      <w:r w:rsidRPr="00242A60">
        <w:t>Notes</w:t>
      </w:r>
    </w:p>
    <w:p w14:paraId="18092CF6" w14:textId="77777777" w:rsidR="00A901A8" w:rsidRPr="00242A60" w:rsidRDefault="00717EC6">
      <w:pPr>
        <w:pStyle w:val="NoteEntry"/>
      </w:pPr>
      <w:r w:rsidRPr="00242A60">
        <w:rPr>
          <w:szCs w:val="28"/>
        </w:rPr>
        <w:t xml:space="preserve">1. Alexandre Koyré, </w:t>
      </w:r>
      <w:r w:rsidRPr="00242A60">
        <w:rPr>
          <w:i/>
          <w:szCs w:val="28"/>
        </w:rPr>
        <w:t>From the Closed World to the Infinite Universe</w:t>
      </w:r>
      <w:r w:rsidRPr="00242A60">
        <w:rPr>
          <w:szCs w:val="28"/>
        </w:rPr>
        <w:t xml:space="preserve"> (Baltimore: Johns Hopkins Press, 1957), viii; PDF 4 in the supplied edition.</w:t>
      </w:r>
    </w:p>
    <w:p w14:paraId="330E8CD8" w14:textId="77777777" w:rsidR="00A901A8" w:rsidRPr="00242A60" w:rsidRDefault="00717EC6">
      <w:pPr>
        <w:pStyle w:val="NoteEntry"/>
      </w:pPr>
      <w:r w:rsidRPr="00242A60">
        <w:rPr>
          <w:szCs w:val="28"/>
        </w:rPr>
        <w:t xml:space="preserve">2. Francesca Rochberg, </w:t>
      </w:r>
      <w:r w:rsidRPr="00242A60">
        <w:rPr>
          <w:i/>
          <w:szCs w:val="28"/>
        </w:rPr>
        <w:t>Before Nature: Cuneiform Knowledge and the History of Science</w:t>
      </w:r>
      <w:r w:rsidRPr="00242A60">
        <w:rPr>
          <w:szCs w:val="28"/>
        </w:rPr>
        <w:t xml:space="preserve"> (Chicago: University of Chicago Press, 2016), introduction; PDF 14 in the supplied edition.</w:t>
      </w:r>
    </w:p>
    <w:p w14:paraId="503E0C24" w14:textId="77777777" w:rsidR="00A901A8" w:rsidRPr="00242A60" w:rsidRDefault="00717EC6">
      <w:pPr>
        <w:pStyle w:val="NoteEntry"/>
      </w:pPr>
      <w:r w:rsidRPr="00242A60">
        <w:rPr>
          <w:szCs w:val="28"/>
        </w:rPr>
        <w:t xml:space="preserve">3. Philippe Descola, </w:t>
      </w:r>
      <w:r w:rsidRPr="00242A60">
        <w:rPr>
          <w:i/>
          <w:szCs w:val="28"/>
        </w:rPr>
        <w:t>Beyond Nature and Culture</w:t>
      </w:r>
      <w:r w:rsidRPr="00242A60">
        <w:rPr>
          <w:szCs w:val="28"/>
        </w:rPr>
        <w:t>, trans. Janet Lloyd (Chicago: University of Chicago Press, 2013), 30-31; PDF 27 in the supplied edition.</w:t>
      </w:r>
    </w:p>
    <w:p w14:paraId="77649A77" w14:textId="77777777" w:rsidR="00A901A8" w:rsidRPr="00242A60" w:rsidRDefault="00717EC6">
      <w:pPr>
        <w:pStyle w:val="NoteEntry"/>
      </w:pPr>
      <w:r w:rsidRPr="00242A60">
        <w:rPr>
          <w:szCs w:val="28"/>
        </w:rPr>
        <w:t xml:space="preserve">4. Maurice Merleau-Ponty, </w:t>
      </w:r>
      <w:r w:rsidRPr="00242A60">
        <w:rPr>
          <w:i/>
          <w:szCs w:val="28"/>
        </w:rPr>
        <w:t>Nature: Course Notes from the Collège de France</w:t>
      </w:r>
      <w:r w:rsidRPr="00242A60">
        <w:rPr>
          <w:szCs w:val="28"/>
        </w:rPr>
        <w:t>, comp. Dominique Séglard, trans. Robert Vallier (Evanston, IL: Northwestern University Press, 2003), 3; PDF 25 in the supplied edition.</w:t>
      </w:r>
    </w:p>
    <w:p w14:paraId="6986BBD1" w14:textId="77777777" w:rsidR="00A901A8" w:rsidRPr="00242A60" w:rsidRDefault="00717EC6">
      <w:pPr>
        <w:pStyle w:val="NoteEntry"/>
      </w:pPr>
      <w:r w:rsidRPr="00242A60">
        <w:rPr>
          <w:szCs w:val="28"/>
        </w:rPr>
        <w:t xml:space="preserve">5. Hans Blumenberg, </w:t>
      </w:r>
      <w:r w:rsidRPr="00242A60">
        <w:rPr>
          <w:i/>
          <w:szCs w:val="28"/>
        </w:rPr>
        <w:t>The Genesis of the Copernican World</w:t>
      </w:r>
      <w:r w:rsidRPr="00242A60">
        <w:rPr>
          <w:szCs w:val="28"/>
        </w:rPr>
        <w:t>, trans. Robert M. Wallace (Cambridge, MA: MIT Press, 1987). This framing will require page-specific supplementation during the Draft 2 citation audit.</w:t>
      </w:r>
    </w:p>
    <w:p w14:paraId="70E0330A" w14:textId="77777777" w:rsidR="00A901A8" w:rsidRPr="00242A60" w:rsidRDefault="00717EC6">
      <w:pPr>
        <w:pStyle w:val="NoteEntry"/>
      </w:pPr>
      <w:r w:rsidRPr="00242A60">
        <w:rPr>
          <w:szCs w:val="28"/>
        </w:rPr>
        <w:t xml:space="preserve">6. Jakob von Uexküll, </w:t>
      </w:r>
      <w:r w:rsidRPr="00242A60">
        <w:rPr>
          <w:i/>
          <w:szCs w:val="28"/>
        </w:rPr>
        <w:t>A Foray into the Worlds of Animals and Humans, with A Theory of Meaning</w:t>
      </w:r>
      <w:r w:rsidRPr="00242A60">
        <w:rPr>
          <w:szCs w:val="28"/>
        </w:rPr>
        <w:t>, trans. Joseph D. O’Neil (Minneapolis: University of Minnesota Press, 2010), 69; PDF 73 in the supplied edition.</w:t>
      </w:r>
    </w:p>
    <w:p w14:paraId="6412F8F9" w14:textId="77777777" w:rsidR="00A901A8" w:rsidRPr="00242A60" w:rsidRDefault="00717EC6">
      <w:pPr>
        <w:pStyle w:val="NoteEntry"/>
      </w:pPr>
      <w:r w:rsidRPr="00242A60">
        <w:rPr>
          <w:szCs w:val="28"/>
        </w:rPr>
        <w:t xml:space="preserve">7. Georges Canguilhem, </w:t>
      </w:r>
      <w:r w:rsidRPr="00242A60">
        <w:rPr>
          <w:i/>
          <w:szCs w:val="28"/>
        </w:rPr>
        <w:t>Knowledge of Life</w:t>
      </w:r>
      <w:r w:rsidRPr="00242A60">
        <w:rPr>
          <w:szCs w:val="28"/>
        </w:rPr>
        <w:t>, trans. Stefanos Geroulanos and Daniela Ginsburg (New York: Fordham University Press, 2008), “The Living and Its Milieu,” 98-120; see especially PDF 124 in the supplied edition.</w:t>
      </w:r>
    </w:p>
    <w:p w14:paraId="46E6497D" w14:textId="77777777" w:rsidR="00A901A8" w:rsidRPr="00242A60" w:rsidRDefault="00717EC6">
      <w:pPr>
        <w:pStyle w:val="NoteEntry"/>
      </w:pPr>
      <w:r w:rsidRPr="00242A60">
        <w:rPr>
          <w:szCs w:val="28"/>
        </w:rPr>
        <w:t xml:space="preserve">8. Merleau-Ponty, </w:t>
      </w:r>
      <w:r w:rsidRPr="00242A60">
        <w:rPr>
          <w:i/>
          <w:szCs w:val="28"/>
        </w:rPr>
        <w:t>Nature</w:t>
      </w:r>
      <w:r w:rsidRPr="00242A60">
        <w:rPr>
          <w:szCs w:val="28"/>
        </w:rPr>
        <w:t xml:space="preserve">. The formulations concerning nature’s priority and the body’s participation anticipate arguments developed across the course notes and in </w:t>
      </w:r>
      <w:r w:rsidRPr="00242A60">
        <w:rPr>
          <w:i/>
          <w:szCs w:val="28"/>
        </w:rPr>
        <w:t>The Visible and the Invisible</w:t>
      </w:r>
      <w:r w:rsidRPr="00242A60">
        <w:rPr>
          <w:szCs w:val="28"/>
        </w:rPr>
        <w:t>; exact cross-references should be added in Draft 2.</w:t>
      </w:r>
    </w:p>
    <w:p w14:paraId="0B9E22DF" w14:textId="77777777" w:rsidR="00F93551" w:rsidRDefault="00DD7D58">
      <w:pPr>
        <w:pStyle w:val="PartHeading"/>
      </w:pPr>
      <w:bookmarkStart w:id="1" w:name="toc_part_1"/>
      <w:r>
        <w:t>Part I</w:t>
      </w:r>
      <w:r>
        <w:br/>
      </w:r>
      <w:r>
        <w:rPr>
          <w:sz w:val="40"/>
        </w:rPr>
        <w:t>The World Before Nature</w:t>
      </w:r>
      <w:bookmarkEnd w:id="1"/>
    </w:p>
    <w:p w14:paraId="4CAC6C0D" w14:textId="77777777" w:rsidR="009F7E3A" w:rsidRPr="00242A60" w:rsidRDefault="009F7E3A">
      <w:pPr>
        <w:pStyle w:val="ChapterHeading"/>
      </w:pPr>
      <w:bookmarkStart w:id="2" w:name="toc_chapter_1"/>
      <w:r>
        <w:rPr>
          <w:sz w:val="28"/>
        </w:rPr>
        <w:t>Chapter 1</w:t>
      </w:r>
      <w:r>
        <w:rPr>
          <w:sz w:val="28"/>
        </w:rPr>
        <w:br/>
      </w:r>
      <w:r>
        <w:t>What It Meant for a Cosmos to Live</w:t>
      </w:r>
      <w:bookmarkEnd w:id="2"/>
    </w:p>
    <w:p w14:paraId="0DB9FA8E" w14:textId="77777777" w:rsidR="009F7E3A" w:rsidRPr="00242A60" w:rsidRDefault="009F7E3A">
      <w:pPr>
        <w:pStyle w:val="SectionHeading"/>
      </w:pPr>
      <w:r w:rsidRPr="00242A60">
        <w:t>Beneath a Sky That Was Not a Backdrop</w:t>
      </w:r>
    </w:p>
    <w:p w14:paraId="32CDC62B" w14:textId="77777777" w:rsidR="009F7E3A" w:rsidRPr="00242A60" w:rsidRDefault="009F7E3A">
      <w:pPr>
        <w:pStyle w:val="BookBody"/>
      </w:pPr>
      <w:r w:rsidRPr="00242A60">
        <w:rPr>
          <w:szCs w:val="28"/>
        </w:rPr>
        <w:t>Leave the electric road and walk until the last porch light has disappeared behind the land. At first the darkness seems to subtract. Trees lose their color, distance becomes uncertain, and the ground immediately before the feet acquires an importance it did not possess during the day. Then the sky begins to add what the darkness removed. Stars appear where nothing had been visible. The faint band of the Milky Way separates itself from the black. The horizon becomes a boundary between two kinds of presence: the earth that supports the body and the moving heaven under which the body finds its direction.</w:t>
      </w:r>
    </w:p>
    <w:p w14:paraId="1B383C63" w14:textId="77777777" w:rsidR="009F7E3A" w:rsidRPr="00242A60" w:rsidRDefault="009F7E3A">
      <w:pPr>
        <w:pStyle w:val="BookBody"/>
      </w:pPr>
      <w:r w:rsidRPr="00242A60">
        <w:rPr>
          <w:szCs w:val="28"/>
        </w:rPr>
        <w:t>Nothing in this experience by itself establishes an ancient cosmology. The modern observer may know that the apparent dome is not a surface, that the Earth is rotating, that the stars occupy incomparable distances, and that the pale band is the accumulated light of a galaxy seen from within. Knowledge does not abolish the visible situation. The body still stands here rather than everywhere. It faces one direction rather than all directions. A planet rises, a constellation passes behind a ridge, and the season makes itself visible in the hour and position of their appearance. The observer inhabits a local world even while knowing that astronomy describes a universe without a privileged up or down.</w:t>
      </w:r>
    </w:p>
    <w:p w14:paraId="5771507F" w14:textId="77777777" w:rsidR="009F7E3A" w:rsidRPr="00242A60" w:rsidRDefault="009F7E3A">
      <w:pPr>
        <w:pStyle w:val="BookBody"/>
      </w:pPr>
      <w:r w:rsidRPr="00242A60">
        <w:rPr>
          <w:szCs w:val="28"/>
        </w:rPr>
        <w:t>Place beside this sky a modern astronomical image. It may be a field of galaxies assembled from exposures no unaided eye could receive, a false-color image in which invisible wavelengths have been translated into visible differences, or a reconstruction of structures whose distance overwhelms every bodily measure. The image discloses more than the night sky. It also requires an apparatus, an institution, a history of calibration, and a learned practice of reading. The ancient sky was not unmediated and the modern image is not unreal. Both are given through practices. The difference lies partly in what those practices authorize the observer to say is there.</w:t>
      </w:r>
    </w:p>
    <w:p w14:paraId="3129EA42" w14:textId="77777777" w:rsidR="009F7E3A" w:rsidRPr="00242A60" w:rsidRDefault="009F7E3A">
      <w:pPr>
        <w:pStyle w:val="BookBody"/>
      </w:pPr>
      <w:r w:rsidRPr="00242A60">
        <w:rPr>
          <w:szCs w:val="28"/>
        </w:rPr>
        <w:t>For a modern astronomy, the celestial field can be investigated without asking what claim its arrangement makes upon a city, a king, a birth, or a season of obligation. Its objects possess masses, spectra, velocities, temperatures, and histories. They enter lawful relations whether or not human beings interpret them. The discipline gains its public authority precisely by refusing to let symbolic suitability decide physical fact. The heavens need not address anyone in order to be real.</w:t>
      </w:r>
    </w:p>
    <w:p w14:paraId="300CC2D0" w14:textId="77777777" w:rsidR="009F7E3A" w:rsidRPr="00242A60" w:rsidRDefault="009F7E3A">
      <w:pPr>
        <w:pStyle w:val="BookBody"/>
      </w:pPr>
      <w:r w:rsidRPr="00242A60">
        <w:rPr>
          <w:szCs w:val="28"/>
        </w:rPr>
        <w:t>In a living cosmos, the refusal would not yet organize reality in the same way. This does not mean that every event was imagined as a spoken message, that every star was a god, or that ancient people confused material occurrence with fantasy. It means that the physical, political, ritual, and divine dimensions of an event had not been separated into domains whose claims were judged by entirely different authorities. A flood could be water, season, fertility, danger, royal responsibility, and divine manifestation without one description being treated as the real event and the others as meanings subsequently attached to it. An eclipse could be calculated and ominous. A temple could be a building, a dwelling of divine presence, an image of order, an economic institution, and a site at which that order was renewed. The joining of these dimensions did not eliminate disagreement. It established the field within which disagreement occurred.</w:t>
      </w:r>
    </w:p>
    <w:p w14:paraId="749A816C" w14:textId="77777777" w:rsidR="009F7E3A" w:rsidRPr="00242A60" w:rsidRDefault="009F7E3A">
      <w:pPr>
        <w:pStyle w:val="BookBody"/>
      </w:pPr>
      <w:r w:rsidRPr="00242A60">
        <w:rPr>
          <w:szCs w:val="28"/>
        </w:rPr>
        <w:t>The living cosmos must therefore be distinguished from an animated universe. Animation is one possible doctrine within such a cosmos, not its definition. Plato will describe the ordered whole as a living creature endowed with soul and intelligence, but Egyptian, Mesopotamian, Aristotelian, Stoic, and later Christian orders do not all depend upon the same account of cosmic life. What joins them is more basic: qualitative differences belong to publicly intelligible reality. Places, times, bodies, directions, motions, substances, rites, and celestial configurations bear kinds of significance that do not wait for an isolated subject to confer them.</w:t>
      </w:r>
    </w:p>
    <w:p w14:paraId="66640099" w14:textId="77777777" w:rsidR="009F7E3A" w:rsidRPr="00242A60" w:rsidRDefault="009F7E3A">
      <w:pPr>
        <w:pStyle w:val="BookBody"/>
      </w:pPr>
      <w:r w:rsidRPr="00242A60">
        <w:rPr>
          <w:szCs w:val="28"/>
        </w:rPr>
        <w:t>The distinction is difficult because modern language distributes the older unity among several vocabularies. Physics describes motion. Anthropology describes ritual. Political history describes kingship. Religious studies describes the gods. Psychology describes fear, expectation, and projection. Each division can disclose something the older order concealed. Yet once the divisions have become habitual, the world before them is easily reconstructed as a confused version of the one we inhabit. We imagine one external nature surrounded by different beliefs. The task of this chapter is to suspend that reconstruction long enough to understand the lost object of the book: not a scientific theory later falsified, but an order in which the question of what is real had a different shape.</w:t>
      </w:r>
    </w:p>
    <w:p w14:paraId="2577CADF" w14:textId="77777777" w:rsidR="009F7E3A" w:rsidRPr="00242A60" w:rsidRDefault="009F7E3A">
      <w:pPr>
        <w:pStyle w:val="SectionHeading"/>
      </w:pPr>
      <w:r w:rsidRPr="00242A60">
        <w:t>Cosmos and Universe</w:t>
      </w:r>
    </w:p>
    <w:p w14:paraId="7FAE85F4" w14:textId="77777777" w:rsidR="009F7E3A" w:rsidRPr="00242A60" w:rsidRDefault="009F7E3A">
      <w:pPr>
        <w:pStyle w:val="BookBody"/>
      </w:pPr>
      <w:r w:rsidRPr="00242A60">
        <w:rPr>
          <w:szCs w:val="28"/>
        </w:rPr>
        <w:t xml:space="preserve">The Greek word </w:t>
      </w:r>
      <w:r w:rsidRPr="00242A60">
        <w:rPr>
          <w:i/>
          <w:szCs w:val="28"/>
        </w:rPr>
        <w:t>kosmos</w:t>
      </w:r>
      <w:r w:rsidRPr="00242A60">
        <w:rPr>
          <w:szCs w:val="28"/>
        </w:rPr>
        <w:t xml:space="preserve"> carried senses of order, arrangement, and adornment before it became a name for the world as an ordered whole. The word does not merely total everything that exists. It says that the whole possesses an intelligible disposition, that difference occurs within arrangement, and that arrangement can be apprehended as fitting. Rémi Brague calls attention to a feature easily lost when cosmology is treated only as an early stage of physics: the order of the world could also serve as a model by which human beings understood how life ought to be ordered. Cosmology and ethics were not identical, but the beauty and intelligibility of the whole could bear normative weight.</w:t>
      </w:r>
      <w:r w:rsidRPr="00242A60">
        <w:rPr>
          <w:szCs w:val="28"/>
          <w:vertAlign w:val="superscript"/>
        </w:rPr>
        <w:t>1</w:t>
      </w:r>
    </w:p>
    <w:p w14:paraId="6555E3A4" w14:textId="77777777" w:rsidR="009F7E3A" w:rsidRPr="00242A60" w:rsidRDefault="009F7E3A">
      <w:pPr>
        <w:pStyle w:val="BookBody"/>
      </w:pPr>
      <w:r w:rsidRPr="00242A60">
        <w:rPr>
          <w:szCs w:val="28"/>
        </w:rPr>
        <w:t>“Universe” can name the total physical domain without making this further claim. Its unity may consist in common laws, common components, a shared causal history, or the fact that every physical event belongs to one connected space-time. These are profound forms of unity. None requires that the arrangement of the whole provide a pattern for justice, ritual, character, or the good life. A universe can be intelligible without being exemplary. It can contain life without itself possessing the form of a living order. It can be one without addressing those who inhabit it.</w:t>
      </w:r>
    </w:p>
    <w:p w14:paraId="2B0AEA1D" w14:textId="77777777" w:rsidR="009F7E3A" w:rsidRPr="00242A60" w:rsidRDefault="009F7E3A">
      <w:pPr>
        <w:pStyle w:val="BookBody"/>
      </w:pPr>
      <w:r w:rsidRPr="00242A60">
        <w:rPr>
          <w:szCs w:val="28"/>
        </w:rPr>
        <w:t>The opposition should not be made absolute. Ancient writers did not agree about whether the whole was finite, ensouled, providential, eternal, created, or governed by fate. Modern persons do not encounter only a quantitative universe. They inhabit landscapes, remember anniversaries, distinguish home from location, and experience some hours as charged while clocks continue to divide them evenly. Nor is the modern physical universe sheer aggregation. Relativity, quantum field theory, evolutionary history, and cosmology reveal structures of dependence that defeat the picture of isolated bits of matter. The distinction concerns authorized sufficiency. A physical account can now be complete for its purpose without including the qualitative address of the things described. Whitehead later criticized the “bifurcation of nature” that made the nature known through perception appear secondary to the nature described by physical science; his retrospective diagnosis helps name the division without serving as evidence about antiquity.</w:t>
      </w:r>
      <w:r w:rsidRPr="00242A60">
        <w:rPr>
          <w:szCs w:val="28"/>
          <w:vertAlign w:val="superscript"/>
        </w:rPr>
        <w:t>17</w:t>
      </w:r>
    </w:p>
    <w:p w14:paraId="5CC424B6" w14:textId="77777777" w:rsidR="009F7E3A" w:rsidRPr="00242A60" w:rsidRDefault="009F7E3A">
      <w:pPr>
        <w:pStyle w:val="BookBody"/>
      </w:pPr>
      <w:r w:rsidRPr="00242A60">
        <w:rPr>
          <w:szCs w:val="28"/>
        </w:rPr>
        <w:t>Alexandre Koyré named the early modern transformation “the destruction of the cosmos” and “the geometrization of space.” His contrast was between a finite, hierarchically ordered whole, whose places differed in value and kind, and an indefinite or infinite universe unified by common laws and components.</w:t>
      </w:r>
      <w:r w:rsidRPr="00242A60">
        <w:rPr>
          <w:szCs w:val="28"/>
          <w:vertAlign w:val="superscript"/>
        </w:rPr>
        <w:t>2</w:t>
      </w:r>
      <w:r w:rsidRPr="00242A60">
        <w:rPr>
          <w:szCs w:val="28"/>
        </w:rPr>
        <w:t xml:space="preserve"> The formulation remains indispensable because it identifies more than a change in astronomical opinion. When the Earth moves, when celestial and terrestrial matter become subject to one physics, and when place becomes position in homogeneous space, the world’s order changes. Center and circumference cease to bear the same physical and axiological force.</w:t>
      </w:r>
    </w:p>
    <w:p w14:paraId="6BC15393" w14:textId="77777777" w:rsidR="009F7E3A" w:rsidRPr="00242A60" w:rsidRDefault="009F7E3A">
      <w:pPr>
        <w:pStyle w:val="BookBody"/>
      </w:pPr>
      <w:r w:rsidRPr="00242A60">
        <w:rPr>
          <w:szCs w:val="28"/>
        </w:rPr>
        <w:t xml:space="preserve">But the living cosmos did not begin with the Greek arrangement Koyré describes, and it did not die in one seventeenth-century event. Cuneiform scholars worked within organized fields of knowledge long before Greek </w:t>
      </w:r>
      <w:r w:rsidRPr="00242A60">
        <w:rPr>
          <w:i/>
          <w:szCs w:val="28"/>
        </w:rPr>
        <w:t>kosmos</w:t>
      </w:r>
      <w:r w:rsidRPr="00242A60">
        <w:rPr>
          <w:szCs w:val="28"/>
        </w:rPr>
        <w:t xml:space="preserve"> became a philosophical term. Egyptian order bound divine presence, Ma’at, kingship, temple, body, land, and afterlife in forms not reducible to Aristotle’s concentric heavens. The later movement from cosmos to universe passed through creation, providence, sacrament, nominalism, reform, experiment, colonial encounter, industrial extraction, and technical administration. Koyré identifies a decisive crossing, not the whole journey.</w:t>
      </w:r>
    </w:p>
    <w:p w14:paraId="72B01919" w14:textId="77777777" w:rsidR="009F7E3A" w:rsidRPr="00242A60" w:rsidRDefault="009F7E3A">
      <w:pPr>
        <w:pStyle w:val="BookBody"/>
      </w:pPr>
      <w:r w:rsidRPr="00242A60">
        <w:rPr>
          <w:szCs w:val="28"/>
        </w:rPr>
        <w:t>A cosmos also differs from an environment understood as an external surround. An environment can be described as the total set of conditions affecting an organism or population. The term becomes relational when those conditions are specified relative to a form of life, but it can also imply a neutral field in which beings happen to be located. A cosmos is not a container plus inhabitants. Its regions, beings, and activities possess their identity within relations that help constitute what they are. River, city, god, king, season, and rite do not first exist as independent units and then enter an interpretive network. Their identities are partly formed within the order that joins them.</w:t>
      </w:r>
    </w:p>
    <w:p w14:paraId="68BFC718" w14:textId="77777777" w:rsidR="009F7E3A" w:rsidRPr="00242A60" w:rsidRDefault="009F7E3A">
      <w:pPr>
        <w:pStyle w:val="BookBody"/>
      </w:pPr>
      <w:r w:rsidRPr="00242A60">
        <w:rPr>
          <w:szCs w:val="28"/>
        </w:rPr>
        <w:t>Nor is a cosmos a collection of objects. The object is not absent from ancient experience; tools can be handled, lands measured, animals classified, and celestial events recorded. The difference is that objecthood has not yet become the default form of reality. A thing may be present as power, sign, agent, gift, office, ancestor, danger, or participant without these modes being secondary descriptions of an underlying neutral object. To ask whether the river is “really” water or “really” a god already demands a division the older order may not grant. The difficulty is not that no distinction can be made. It is that our distinction between physical reality and attributed significance cannot be allowed to decide in advance what the river was.</w:t>
      </w:r>
    </w:p>
    <w:p w14:paraId="2045DD08" w14:textId="77777777" w:rsidR="009F7E3A" w:rsidRPr="00242A60" w:rsidRDefault="009F7E3A">
      <w:pPr>
        <w:pStyle w:val="SectionHeading"/>
      </w:pPr>
      <w:r w:rsidRPr="00242A60">
        <w:t>Before Nature</w:t>
      </w:r>
    </w:p>
    <w:p w14:paraId="333D324E" w14:textId="77777777" w:rsidR="009F7E3A" w:rsidRPr="00242A60" w:rsidRDefault="009F7E3A">
      <w:pPr>
        <w:pStyle w:val="BookBody"/>
      </w:pPr>
      <w:r w:rsidRPr="00242A60">
        <w:rPr>
          <w:szCs w:val="28"/>
        </w:rPr>
        <w:t xml:space="preserve">Francesca Rochberg’s title </w:t>
      </w:r>
      <w:r w:rsidRPr="00242A60">
        <w:rPr>
          <w:i/>
          <w:szCs w:val="28"/>
        </w:rPr>
        <w:t>Before Nature</w:t>
      </w:r>
      <w:r w:rsidRPr="00242A60">
        <w:rPr>
          <w:szCs w:val="28"/>
        </w:rPr>
        <w:t xml:space="preserve"> names the methodological break required here. Babylonian scholars observed the heavens, preserved records, calculated recurring phenomena, classified signs, diagnosed illnesses, and transmitted demanding technical disciplines. Yet their sciences did not require an object equivalent to the modern Western category of nature: a self-contained physical domain standing over against human culture, divine agency, and symbolic interpretation. The absence is not a deficiency waiting to be repaired. It reveals that exact inquiry can occur within another organization of reality.</w:t>
      </w:r>
      <w:r w:rsidRPr="00242A60">
        <w:rPr>
          <w:szCs w:val="28"/>
          <w:vertAlign w:val="superscript"/>
        </w:rPr>
        <w:t>3</w:t>
      </w:r>
    </w:p>
    <w:p w14:paraId="4DBFAF3B" w14:textId="77777777" w:rsidR="009F7E3A" w:rsidRPr="00242A60" w:rsidRDefault="009F7E3A">
      <w:pPr>
        <w:pStyle w:val="BookBody"/>
      </w:pPr>
      <w:r w:rsidRPr="00242A60">
        <w:rPr>
          <w:szCs w:val="28"/>
        </w:rPr>
        <w:t>This point does not make eclipses cultural creations. Celestial bodies moved independently of what Babylonian scholars said about them. Predictions could fail. Records could be corrected. Techniques could become more exact. Historical ontology does not abolish resistance from what is known. It asks how phenomena become identifiable objects of knowledge, which relations are treated as relevant, and which practices establish their reality. Rochberg’s recent language of “worldmaking” joins epistemology and ontology: ways of knowing are inseparable from the classifications of the things known and from the material and conceptual worlds within which knowledge is made.</w:t>
      </w:r>
      <w:r w:rsidRPr="00242A60">
        <w:rPr>
          <w:szCs w:val="28"/>
          <w:vertAlign w:val="superscript"/>
        </w:rPr>
        <w:t>4</w:t>
      </w:r>
    </w:p>
    <w:p w14:paraId="4DB23C8E" w14:textId="77777777" w:rsidR="009F7E3A" w:rsidRPr="00242A60" w:rsidRDefault="009F7E3A">
      <w:pPr>
        <w:pStyle w:val="BookBody"/>
      </w:pPr>
      <w:r w:rsidRPr="00242A60">
        <w:rPr>
          <w:szCs w:val="28"/>
        </w:rPr>
        <w:t>The word can provoke an immediate misunderstanding. If worlds are made, it may seem that scholars or cultures manufacture reality by agreement. But a maker does not necessarily create from nothing, and a world is not whatever an interpreter wishes it to be. Cuneiform practitioners inherited languages, lists, tablets, offices, celestial series, procedures, institutional obligations, and phenomena that constrained what they could do. Their worldmaking was answerable to recurrences, anomalies, traditions, political demands, and rival judgments. The point is not sovereign construction. It is that the world available to knowledge is articulated through practices that select, join, and stabilize some differences rather than others.</w:t>
      </w:r>
    </w:p>
    <w:p w14:paraId="49C9F06C" w14:textId="77777777" w:rsidR="009F7E3A" w:rsidRPr="00242A60" w:rsidRDefault="009F7E3A">
      <w:pPr>
        <w:pStyle w:val="BookBody"/>
      </w:pPr>
      <w:r w:rsidRPr="00242A60">
        <w:rPr>
          <w:szCs w:val="28"/>
        </w:rPr>
        <w:t>Modern science also makes objects in this disciplined sense. A galaxy in a deep-field image is not invented by the instruments that disclose it, but neither is it simply present to ordinary vision. Detectors, wavelengths, exposure times, mathematical corrections, and classificatory histories help make it available as a scientific object. The resulting knowledge can be more exact than unaided perception because mediation is not the opposite of truth. The error arises only when the successful mediation of one world is treated as proof that every other organization of phenomena was merely belief surrounding the same ready-made objects.</w:t>
      </w:r>
    </w:p>
    <w:p w14:paraId="63193B18" w14:textId="77777777" w:rsidR="009F7E3A" w:rsidRPr="00242A60" w:rsidRDefault="009F7E3A">
      <w:pPr>
        <w:pStyle w:val="BookBody"/>
      </w:pPr>
      <w:r w:rsidRPr="00242A60">
        <w:rPr>
          <w:szCs w:val="28"/>
        </w:rPr>
        <w:t>Philippe Descola widens the challenge beyond cuneiform history. The modern Western ontology he calls naturalism joins human and nonhuman beings through continuity of physical composition while separating them through interiority. Human bodies belong to nature with other bodies, but the distinctive interior life of persons becomes the basis of cultures that interpret that nature differently. Nature is one; cultures are many. Descola’s comparisons show that this distribution cannot be assumed as the universal starting point of human thought.</w:t>
      </w:r>
      <w:r w:rsidRPr="00242A60">
        <w:rPr>
          <w:szCs w:val="28"/>
          <w:vertAlign w:val="superscript"/>
        </w:rPr>
        <w:t>5</w:t>
      </w:r>
    </w:p>
    <w:p w14:paraId="59FCFC15" w14:textId="77777777" w:rsidR="009F7E3A" w:rsidRPr="00242A60" w:rsidRDefault="009F7E3A">
      <w:pPr>
        <w:pStyle w:val="BookBody"/>
      </w:pPr>
      <w:r w:rsidRPr="00242A60">
        <w:rPr>
          <w:szCs w:val="28"/>
        </w:rPr>
        <w:t>The comparison does not establish that other peoples inhabited a more harmonious reality. An ontology can authorize predation, sacrifice, hierarchy, fear, and violence. Nor does plurality make incompatible accounts equally successful. Bodies fall, diseases spread, and planets move across ontological boundaries. Descola’s importance for this book is disciplinary. He prevents the Western nature-culture settlement from being projected backward as the permanent architecture of reason. The history we are following is not humanity awakening to an object that had always possessed the same boundaries. It is also the history by which those boundaries acquired their authority.</w:t>
      </w:r>
    </w:p>
    <w:p w14:paraId="595F8ED7" w14:textId="77777777" w:rsidR="009F7E3A" w:rsidRPr="00242A60" w:rsidRDefault="009F7E3A">
      <w:pPr>
        <w:pStyle w:val="BookBody"/>
      </w:pPr>
      <w:r w:rsidRPr="00242A60">
        <w:rPr>
          <w:szCs w:val="28"/>
        </w:rPr>
        <w:t>“Before nature” therefore does not mean before plants, animals, weather, birth, growth, or regularity. It means before these phenomena were gathered within a domain whose autonomy defined what could count as publicly real. Ancient terms could distinguish wilderness from city, divine from human, cultivated from uncultivated, and spontaneous growth from artifice without arranging all those differences under our master opposition. The world was differentiated, but not along the same seam. Hadot’s history of the idea of nature is useful here because it preserves the older senses of emergence, growth, concealment, and disclosure that later definitions often compress into one external domain.</w:t>
      </w:r>
      <w:r w:rsidRPr="00242A60">
        <w:rPr>
          <w:szCs w:val="28"/>
          <w:vertAlign w:val="superscript"/>
        </w:rPr>
        <w:t>16</w:t>
      </w:r>
    </w:p>
    <w:p w14:paraId="41F7A672" w14:textId="77777777" w:rsidR="009F7E3A" w:rsidRPr="00242A60" w:rsidRDefault="009F7E3A">
      <w:pPr>
        <w:pStyle w:val="BookBody"/>
      </w:pPr>
      <w:r w:rsidRPr="00242A60">
        <w:rPr>
          <w:szCs w:val="28"/>
        </w:rPr>
        <w:t>The distinction keeps the opening chapter from making two opposite mistakes. The first is to call the ancient cosmos “nature alive,” as though a modern physical domain had once been decorated with spirit. The second is to call it a projection, as though natural objects were already present beneath meanings imposed by imagination. Both preserve nature as the hidden constant. The living cosmos becomes visible only when the constancy is surrendered.</w:t>
      </w:r>
    </w:p>
    <w:p w14:paraId="54B9432C" w14:textId="77777777" w:rsidR="009F7E3A" w:rsidRPr="00242A60" w:rsidRDefault="009F7E3A">
      <w:pPr>
        <w:pStyle w:val="SectionHeading"/>
      </w:pPr>
      <w:r w:rsidRPr="00242A60">
        <w:t>Participation and Correspondence</w:t>
      </w:r>
    </w:p>
    <w:p w14:paraId="6252CE11" w14:textId="77777777" w:rsidR="009F7E3A" w:rsidRPr="00242A60" w:rsidRDefault="009F7E3A">
      <w:pPr>
        <w:pStyle w:val="BookBody"/>
      </w:pPr>
      <w:r w:rsidRPr="00242A60">
        <w:rPr>
          <w:szCs w:val="28"/>
        </w:rPr>
        <w:t>Participation names a relation in which a being is what it is partly through belonging to an order larger than itself. The term does not require that every ancient culture possess a Platonic theory of Forms. It identifies a family of relations in which local and general, visible and invisible, human and divine, or earthly and celestial realities are neither simply identical nor wholly external to one another. A rite can participate in an event it commemorates; a temple can present in limited form an order exceeding it; a king can bear an office whose meaning is not exhausted by his private personality; a material image can mediate a presence without being confused with the total being of the god.</w:t>
      </w:r>
    </w:p>
    <w:p w14:paraId="1DB84F46" w14:textId="77777777" w:rsidR="009F7E3A" w:rsidRPr="00242A60" w:rsidRDefault="009F7E3A">
      <w:pPr>
        <w:pStyle w:val="BookBody"/>
      </w:pPr>
      <w:r w:rsidRPr="00242A60">
        <w:rPr>
          <w:szCs w:val="28"/>
        </w:rPr>
        <w:t>Modern explanation often translates participation into representation. The rite represents a myth, the temple symbolizes the cosmos, the king stands for the state, and the image expresses communal belief. These translations can be useful, but each risks making the participating term an external sign of something absent. Participation claims a stronger relation. What exceeds the local thing becomes operative through it without being reduced to it. The rite does not merely describe order; it helps maintain order. The image does not merely remind the viewer of a deity; within the instituted practice it becomes a site at which divine presence can be approached. Jacobsen’s reconstruction of Mesopotamian religion is most illuminating when it follows this experienced presence of power through storm, fertility, city, temple, and divine form, though his broader developmental scheme must be checked against later scholarship.</w:t>
      </w:r>
      <w:r w:rsidRPr="00242A60">
        <w:rPr>
          <w:szCs w:val="28"/>
          <w:vertAlign w:val="superscript"/>
        </w:rPr>
        <w:t>15</w:t>
      </w:r>
    </w:p>
    <w:p w14:paraId="42C5F5E3" w14:textId="77777777" w:rsidR="009F7E3A" w:rsidRPr="00242A60" w:rsidRDefault="009F7E3A">
      <w:pPr>
        <w:pStyle w:val="BookBody"/>
      </w:pPr>
      <w:r w:rsidRPr="00242A60">
        <w:rPr>
          <w:szCs w:val="28"/>
        </w:rPr>
        <w:t>Jan Assmann’s accounts of Egyptian religion are particularly valuable here because they resist reducing Egyptian gods either to natural objects or to invisible persons concealed behind them. Divine identity could appear through names, images, cultic forms, celestial bodies, animals, cities, and myths without being exhausted by any one manifestation. The god was not simply identical with the sun, but neither was the sun a merely arbitrary emblem attached to a being located elsewhere. Manifestation allowed difference and presence to coexist.</w:t>
      </w:r>
      <w:r w:rsidRPr="00242A60">
        <w:rPr>
          <w:szCs w:val="28"/>
          <w:vertAlign w:val="superscript"/>
        </w:rPr>
        <w:t>6</w:t>
      </w:r>
    </w:p>
    <w:p w14:paraId="3F76EDEA" w14:textId="77777777" w:rsidR="009F7E3A" w:rsidRPr="00242A60" w:rsidRDefault="009F7E3A">
      <w:pPr>
        <w:pStyle w:val="BookBody"/>
      </w:pPr>
      <w:r w:rsidRPr="00242A60">
        <w:rPr>
          <w:szCs w:val="28"/>
        </w:rPr>
        <w:t>Correspondence names another mode of ordered relation. Two things correspond when a difference in one register is intelligibly related to a difference in another. Celestial and terrestrial, bodily and political, spatial and ritual orders may be read together without being causally identical. Correspondence can be analogical, sacramental, divinatory, mathematical, or metaphysical. It does not name one universal doctrine. Its importance lies in the assumption that qualitative differences can cross levels of reality without becoming private association.</w:t>
      </w:r>
    </w:p>
    <w:p w14:paraId="50920BCA" w14:textId="77777777" w:rsidR="009F7E3A" w:rsidRPr="00242A60" w:rsidRDefault="009F7E3A">
      <w:pPr>
        <w:pStyle w:val="BookBody"/>
      </w:pPr>
      <w:r w:rsidRPr="00242A60">
        <w:rPr>
          <w:szCs w:val="28"/>
        </w:rPr>
        <w:t>This assumption made knowledge possible and dangerous. If celestial signs correspond to political events, then skilled observation can inform action. If bodily processes correspond to cosmic powers, diagnosis can place suffering within an intelligible order. But correspondence can also expand authority beyond correction. A ruler can identify his order with cosmic order. A social hierarchy can be made to appear as the earthly expression of permanent differences. A feared event can be interpreted through a system whose failures are insulated by further interpretation.</w:t>
      </w:r>
    </w:p>
    <w:p w14:paraId="0DDB1FCC" w14:textId="77777777" w:rsidR="009F7E3A" w:rsidRPr="00242A60" w:rsidRDefault="009F7E3A">
      <w:pPr>
        <w:pStyle w:val="BookBody"/>
      </w:pPr>
      <w:r w:rsidRPr="00242A60">
        <w:rPr>
          <w:szCs w:val="28"/>
        </w:rPr>
        <w:t>The modern reaction against correspondence therefore preserved a genuine gain. Analogy cannot decide physical causation. Resemblance is cheap, and an interpreter can always discover patterns after an event. Experimental controls, statistical comparison, and independent replication impose demands that symbolic fitness does not satisfy. A chapter defining the living cosmos must not convert the historical power of correspondence into evidence that its every claimed relation was true.</w:t>
      </w:r>
    </w:p>
    <w:p w14:paraId="2A5F9FAA" w14:textId="77777777" w:rsidR="009F7E3A" w:rsidRPr="00242A60" w:rsidRDefault="009F7E3A">
      <w:pPr>
        <w:pStyle w:val="BookBody"/>
      </w:pPr>
      <w:r w:rsidRPr="00242A60">
        <w:rPr>
          <w:szCs w:val="28"/>
        </w:rPr>
        <w:t>Yet the defeat of undisciplined correspondence does not make all correspondence imaginary. A map corresponds to a territory through conventions answerable to spatial relations. A biological signal corresponds to conditions relevant to an organism. A ritual calendar can correspond to seasonal changes through observation accumulated across generations. The philosophical question is not whether correspondence exists, but which relations sustain it, what kind of claim is being made, and how failure becomes visible. The living cosmos authorized a wider range of correspondences as publicly real. Modernity would progressively restrict that range, relocate much of it to symbolism and psychology, and preserve it operationally wherever prediction could be secured.</w:t>
      </w:r>
    </w:p>
    <w:p w14:paraId="317D0C55" w14:textId="77777777" w:rsidR="009F7E3A" w:rsidRPr="00242A60" w:rsidRDefault="009F7E3A">
      <w:pPr>
        <w:pStyle w:val="BookBody"/>
      </w:pPr>
      <w:r w:rsidRPr="00242A60">
        <w:rPr>
          <w:szCs w:val="28"/>
        </w:rPr>
        <w:t>Participation and correspondence together explain why the cosmos cannot be reconstructed as a heap of personified objects. The whole is not alive merely because individual things are treated as agents. It lives because identities and differences circulate through relations that carry consequence. A star, a season, a rite, and a political decision can belong to one intelligible field. Their connection may be disputed, interpreted, or ritually negotiated, but it is not excluded from reality before inquiry begins.</w:t>
      </w:r>
    </w:p>
    <w:p w14:paraId="254EEEF9" w14:textId="77777777" w:rsidR="009F7E3A" w:rsidRPr="00242A60" w:rsidRDefault="009F7E3A">
      <w:pPr>
        <w:pStyle w:val="SectionHeading"/>
      </w:pPr>
      <w:r w:rsidRPr="00242A60">
        <w:t>Qualitative Place and Time</w:t>
      </w:r>
    </w:p>
    <w:p w14:paraId="603294FB" w14:textId="77777777" w:rsidR="009F7E3A" w:rsidRPr="00242A60" w:rsidRDefault="009F7E3A">
      <w:pPr>
        <w:pStyle w:val="BookBody"/>
      </w:pPr>
      <w:r w:rsidRPr="00242A60">
        <w:rPr>
          <w:szCs w:val="28"/>
        </w:rPr>
        <w:t>Stand at the center of a modern coordinate grid. Every location can be specified by values within the same formal system. The grid does not ask whether one point is sacred, polluted, ancestral, royal, dangerous, or fit for burial. Those qualities may be entered as additional data, but they do not alter what it means for the point to possess a location. Homogeneous space gains its extraordinary power by abstracting from the character of places.</w:t>
      </w:r>
    </w:p>
    <w:p w14:paraId="0F8A48D0" w14:textId="77777777" w:rsidR="009F7E3A" w:rsidRPr="00242A60" w:rsidRDefault="009F7E3A">
      <w:pPr>
        <w:pStyle w:val="BookBody"/>
      </w:pPr>
      <w:r w:rsidRPr="00242A60">
        <w:rPr>
          <w:szCs w:val="28"/>
        </w:rPr>
        <w:t>A qualitative place is not merely a coordinate bearing a subjective feeling. Its location within a world carries differences of access, obligation, power, and identity. A threshold is not a thin strip of flooring arbitrarily invested with symbolism. It separates and joins domains. The act of crossing can change who may do what, which speech is appropriate, and which powers are encountered. A temple’s orientation, an altar’s position, a city’s relation to a river, and a tomb’s direction can belong to the efficacy of the practices performed there.</w:t>
      </w:r>
    </w:p>
    <w:p w14:paraId="47180F0E" w14:textId="77777777" w:rsidR="009F7E3A" w:rsidRPr="00242A60" w:rsidRDefault="009F7E3A">
      <w:pPr>
        <w:pStyle w:val="BookBody"/>
      </w:pPr>
      <w:r w:rsidRPr="00242A60">
        <w:rPr>
          <w:szCs w:val="28"/>
        </w:rPr>
        <w:t>Cassirer described mythical space not as an empty container but as an organization of qualitative oppositions: sacred and profane, near and far, right and left, above and below, center and boundary. Such differences are not first geometrical measurements that later acquire feeling. They provide axes by which a world becomes articulable.</w:t>
      </w:r>
      <w:r w:rsidRPr="00242A60">
        <w:rPr>
          <w:szCs w:val="28"/>
          <w:vertAlign w:val="superscript"/>
        </w:rPr>
        <w:t>7</w:t>
      </w:r>
      <w:r w:rsidRPr="00242A60">
        <w:rPr>
          <w:szCs w:val="28"/>
        </w:rPr>
        <w:t xml:space="preserve"> Cassirer’s account is theoretical and comparative rather than a substitute for local history, but it captures what homogeneous space leaves out. A body can orient itself only because directions are not experientially interchangeable.</w:t>
      </w:r>
    </w:p>
    <w:p w14:paraId="01066E79" w14:textId="77777777" w:rsidR="009F7E3A" w:rsidRPr="00242A60" w:rsidRDefault="009F7E3A">
      <w:pPr>
        <w:pStyle w:val="BookBody"/>
      </w:pPr>
      <w:r w:rsidRPr="00242A60">
        <w:rPr>
          <w:szCs w:val="28"/>
        </w:rPr>
        <w:t>Eliade made the contrast more dramatically. Sacred space interrupts homogeneity and establishes a fixed point, a center from which a world can be founded. Sacred time likewise permits return to origins through rite and festival.</w:t>
      </w:r>
      <w:r w:rsidRPr="00242A60">
        <w:rPr>
          <w:szCs w:val="28"/>
          <w:vertAlign w:val="superscript"/>
        </w:rPr>
        <w:t>8</w:t>
      </w:r>
      <w:r w:rsidRPr="00242A60">
        <w:rPr>
          <w:szCs w:val="28"/>
        </w:rPr>
        <w:t xml:space="preserve"> His formulations illuminate real features of many traditions, but their apparent universality must be resisted. Not every center means the same thing, not every festival abolishes ordinary time, and no single “archaic man” stands behind historical differences. The value of the distinction survives the generalization: place and time can carry kinds of reality not captured by position and succession alone.</w:t>
      </w:r>
    </w:p>
    <w:p w14:paraId="6EC8B806" w14:textId="77777777" w:rsidR="009F7E3A" w:rsidRPr="00242A60" w:rsidRDefault="009F7E3A">
      <w:pPr>
        <w:pStyle w:val="BookBody"/>
      </w:pPr>
      <w:r w:rsidRPr="00242A60">
        <w:rPr>
          <w:szCs w:val="28"/>
        </w:rPr>
        <w:t>Qualitative time is not merely a mood attached to uniform duration. Agricultural seasons, ritual calendars, celestial cycles, royal anniversaries, periods of mourning, and auspicious or ominous moments organize action through differences internal to time. The hour is not empty until an event fills it. It may already be appropriate or forbidden, opening or closing, dangerous or fertile. Recurrence does not simply repeat an identical unit. The return of a season brings a structured resemblance in which the present participates in earlier events without becoming numerically the same event.</w:t>
      </w:r>
    </w:p>
    <w:p w14:paraId="2548B47F" w14:textId="77777777" w:rsidR="009F7E3A" w:rsidRPr="00242A60" w:rsidRDefault="009F7E3A">
      <w:pPr>
        <w:pStyle w:val="BookBody"/>
      </w:pPr>
      <w:r w:rsidRPr="00242A60">
        <w:rPr>
          <w:szCs w:val="28"/>
        </w:rPr>
        <w:t>Modern clock time reveals relations that qualitative calendars cannot. It coordinates strangers, compares durations, disciplines experiments, calculates motion, and supports institutions across distance. Its units do not change length according to the dignity of what occurs. That indifference is a gain wherever rank or ritual privilege would otherwise decide measurement. It becomes a loss when the measurable interval is treated as the full reality of time and every other difference as private experience.</w:t>
      </w:r>
    </w:p>
    <w:p w14:paraId="714123F5" w14:textId="77777777" w:rsidR="009F7E3A" w:rsidRPr="00242A60" w:rsidRDefault="009F7E3A">
      <w:pPr>
        <w:pStyle w:val="BookBody"/>
      </w:pPr>
      <w:r w:rsidRPr="00242A60">
        <w:rPr>
          <w:szCs w:val="28"/>
        </w:rPr>
        <w:t>Even modern life refuses that reduction. A diagnosis divides time into before and after. A death changes an anniversary. A promise makes a future date binding. Childhood and old age are not merely quantities of elapsed time. These differences depend upon bodies, histories, and institutions, but dependence does not make them arbitrary. The older cosmos publicly stabilized such differences through calendars, rites, offices, and celestial observation. Modernity did not destroy qualitative time; it pluralized and privatized its authorities while installing uniform time as the common measure.</w:t>
      </w:r>
    </w:p>
    <w:p w14:paraId="6B0D5434" w14:textId="77777777" w:rsidR="009F7E3A" w:rsidRPr="00242A60" w:rsidRDefault="009F7E3A">
      <w:pPr>
        <w:pStyle w:val="BookBody"/>
      </w:pPr>
      <w:r w:rsidRPr="00242A60">
        <w:rPr>
          <w:szCs w:val="28"/>
        </w:rPr>
        <w:t>The night sky joins qualitative place and time with unusual clarity. A star is visible from here at this season and hour. Its rising marks direction and recurrence. Long before precision instruments, the sky made temporal difference spatially legible. But the living cosmos exceeds practical calendrics. The celestial order could determine when action was fitting, not only when an interval had passed. Time possessed character because the world’s differences arrived together.</w:t>
      </w:r>
    </w:p>
    <w:p w14:paraId="796445CC" w14:textId="77777777" w:rsidR="009F7E3A" w:rsidRPr="00242A60" w:rsidRDefault="009F7E3A">
      <w:pPr>
        <w:pStyle w:val="SectionHeading"/>
      </w:pPr>
      <w:r w:rsidRPr="00242A60">
        <w:t>Ritual and the Body</w:t>
      </w:r>
    </w:p>
    <w:p w14:paraId="16D6AD81" w14:textId="77777777" w:rsidR="009F7E3A" w:rsidRPr="00242A60" w:rsidRDefault="009F7E3A">
      <w:pPr>
        <w:pStyle w:val="BookBody"/>
      </w:pPr>
      <w:r w:rsidRPr="00242A60">
        <w:rPr>
          <w:szCs w:val="28"/>
        </w:rPr>
        <w:t>If qualitative order belonged to reality, it still required practices through which human beings entered, maintained, repaired, or contested it. A cosmos does not live by propositions alone. It lives through bodies that turn toward a direction, carry objects, wash, fast, speak names, make offerings, trace boundaries, keep festivals, bury the dead, and repeat inherited gestures. Ritual is where an order becomes practical before it becomes a theory.</w:t>
      </w:r>
    </w:p>
    <w:p w14:paraId="44CAF439" w14:textId="77777777" w:rsidR="009F7E3A" w:rsidRPr="00242A60" w:rsidRDefault="009F7E3A">
      <w:pPr>
        <w:pStyle w:val="BookBody"/>
      </w:pPr>
      <w:r w:rsidRPr="00242A60">
        <w:rPr>
          <w:szCs w:val="28"/>
        </w:rPr>
        <w:t>The familiar description of ritual as the expression of belief places an inward conviction first and an outward action second. A person believes that a place is sacred and therefore behaves differently there. Sometimes that sequence is accurate. But it misses the extent to which practice forms the distinctions it appears merely to express. Kneeling changes bodily relation before a doctrine about humility is articulated. A procession joins route, rank, memory, sound, and collective attention. Repetition trains perception so that some differences become immediately salient.</w:t>
      </w:r>
    </w:p>
    <w:p w14:paraId="3907F7B0" w14:textId="77777777" w:rsidR="009F7E3A" w:rsidRPr="00242A60" w:rsidRDefault="009F7E3A">
      <w:pPr>
        <w:pStyle w:val="BookBody"/>
      </w:pPr>
      <w:r w:rsidRPr="00242A60">
        <w:rPr>
          <w:szCs w:val="28"/>
        </w:rPr>
        <w:t>Catherine Bell’s concept of ritualization helps avoid treating ritual as a timeless class of special actions. Ritualization is a strategic way of differentiating activities from others and of producing a practical sense of the order those distinctions embody.</w:t>
      </w:r>
      <w:r w:rsidRPr="00242A60">
        <w:rPr>
          <w:szCs w:val="28"/>
          <w:vertAlign w:val="superscript"/>
        </w:rPr>
        <w:t>9</w:t>
      </w:r>
      <w:r w:rsidRPr="00242A60">
        <w:rPr>
          <w:szCs w:val="28"/>
        </w:rPr>
        <w:t xml:space="preserve"> The body is not a blank surface upon which cosmic ideas are written. Through patterned action it acquires dispositions, expectations, and a sense of what belongs where. Ritual order becomes persuasive because it is enacted in space, time, posture, sequence, and authority.</w:t>
      </w:r>
    </w:p>
    <w:p w14:paraId="01B5F1A2" w14:textId="77777777" w:rsidR="009F7E3A" w:rsidRPr="00242A60" w:rsidRDefault="009F7E3A">
      <w:pPr>
        <w:pStyle w:val="BookBody"/>
      </w:pPr>
      <w:r w:rsidRPr="00242A60">
        <w:rPr>
          <w:szCs w:val="28"/>
        </w:rPr>
        <w:t>This account also reveals power within cosmic participation. Those who control calendars, temples, rites, purity rules, and authorized interpretations can control access to reality’s public order. Ritual may unite a community, carry memory, and coordinate action; it may also naturalize exclusion and distribute rank. A hierarchy enacted by bodies can feel inevitable precisely because it is experienced before it is argued.</w:t>
      </w:r>
    </w:p>
    <w:p w14:paraId="3C038D66" w14:textId="77777777" w:rsidR="009F7E3A" w:rsidRPr="00242A60" w:rsidRDefault="009F7E3A">
      <w:pPr>
        <w:pStyle w:val="BookBody"/>
      </w:pPr>
      <w:r w:rsidRPr="00242A60">
        <w:rPr>
          <w:szCs w:val="28"/>
        </w:rPr>
        <w:t>The recognition does not reduce ritual to domination. Bell resists explanations that place meaning entirely in either doctrine or social control. Ritual practice negotiates power rather than mechanically transmitting it. Participants can appropriate, reinterpret, evade, or intensify a rite. Performance can fail. Competing rites can organize the same event differently. The living cosmos was never a perfectly integrated symbolic system accepted without friction.</w:t>
      </w:r>
    </w:p>
    <w:p w14:paraId="6F5448B6" w14:textId="77777777" w:rsidR="009F7E3A" w:rsidRPr="00242A60" w:rsidRDefault="009F7E3A">
      <w:pPr>
        <w:pStyle w:val="BookBody"/>
      </w:pPr>
      <w:r w:rsidRPr="00242A60">
        <w:rPr>
          <w:szCs w:val="28"/>
        </w:rPr>
        <w:t>Egyptian temple practice makes the stronger claim of ritual visible. Offerings, hymns, images, purification, and daily service did not merely display a worldview to spectators. They sustained relations through which divine presence and Ma’at remained operative. The maintenance of order was not guaranteed by abstract belief. It required recurrent work. The cosmos was living partly because it could be nourished, endangered, restored, and renewed.</w:t>
      </w:r>
    </w:p>
    <w:p w14:paraId="0F7669FA" w14:textId="77777777" w:rsidR="009F7E3A" w:rsidRPr="00242A60" w:rsidRDefault="009F7E3A">
      <w:pPr>
        <w:pStyle w:val="BookBody"/>
      </w:pPr>
      <w:r w:rsidRPr="00242A60">
        <w:rPr>
          <w:szCs w:val="28"/>
        </w:rPr>
        <w:t>This work could be materially exact. Vessels, garments, incense, food, water, architecture, inscriptions, and gestures mattered. The material element was not an inert vehicle for a separable spiritual meaning. A substance’s suitability, an image’s form, and a site’s orientation belonged to the rite’s intelligibility. Later histories will show how matter gradually became more available for descriptions that excluded such participation. At this opening stage, it is enough to see that ritual joins qualitative order to things and bodies.</w:t>
      </w:r>
    </w:p>
    <w:p w14:paraId="4CCC5909" w14:textId="77777777" w:rsidR="009F7E3A" w:rsidRPr="00242A60" w:rsidRDefault="009F7E3A">
      <w:pPr>
        <w:pStyle w:val="BookBody"/>
      </w:pPr>
      <w:r w:rsidRPr="00242A60">
        <w:rPr>
          <w:szCs w:val="28"/>
        </w:rPr>
        <w:t>Ritual also gives public meaning a durability that private experience lacks. An individual’s awe beneath the stars may vanish by morning. A calendar, temple, priesthood, archive, or festival preserves distinctions beyond the life of one observer. Their continuity makes a cosmos socially real. It also makes revision difficult. What orients one generation can bind the next.</w:t>
      </w:r>
    </w:p>
    <w:p w14:paraId="56809778" w14:textId="77777777" w:rsidR="009F7E3A" w:rsidRPr="00242A60" w:rsidRDefault="009F7E3A">
      <w:pPr>
        <w:pStyle w:val="SectionHeading"/>
      </w:pPr>
      <w:r w:rsidRPr="00242A60">
        <w:t>Ma’at, Hierarchy, and Obligation</w:t>
      </w:r>
    </w:p>
    <w:p w14:paraId="1E3FB156" w14:textId="77777777" w:rsidR="009F7E3A" w:rsidRPr="00242A60" w:rsidRDefault="009F7E3A">
      <w:pPr>
        <w:pStyle w:val="BookBody"/>
      </w:pPr>
      <w:r w:rsidRPr="00242A60">
        <w:rPr>
          <w:szCs w:val="28"/>
        </w:rPr>
        <w:t>No concept better displays the union of cosmic, social, ethical, and political order than Egyptian Ma’at. Translation divides its meanings among truth, justice, rightness, order, balance, and proper measure. The range is not verbal imprecision. It indicates a world in which these dimensions have not become independent subjects. To speak truth, judge rightly, maintain cult, govern justly, and preserve the ordered land could belong to one task.</w:t>
      </w:r>
    </w:p>
    <w:p w14:paraId="0C82E273" w14:textId="77777777" w:rsidR="009F7E3A" w:rsidRPr="00242A60" w:rsidRDefault="009F7E3A">
      <w:pPr>
        <w:pStyle w:val="BookBody"/>
      </w:pPr>
      <w:r w:rsidRPr="00242A60">
        <w:rPr>
          <w:szCs w:val="28"/>
        </w:rPr>
        <w:t xml:space="preserve">Miriam Lichtheim’s translations show Ma’at appearing not as an abstract cosmological diagram but within instruction, praise, complaint, royal declaration, and accounts of conduct. The </w:t>
      </w:r>
      <w:r w:rsidRPr="00242A60">
        <w:rPr>
          <w:i/>
          <w:szCs w:val="28"/>
        </w:rPr>
        <w:t>Instruction of Ptahhotep</w:t>
      </w:r>
      <w:r w:rsidRPr="00242A60">
        <w:rPr>
          <w:szCs w:val="28"/>
        </w:rPr>
        <w:t xml:space="preserve"> counsels action within an order whose justice exceeds immediate advantage. The </w:t>
      </w:r>
      <w:r w:rsidRPr="00242A60">
        <w:rPr>
          <w:i/>
          <w:szCs w:val="28"/>
        </w:rPr>
        <w:t>Instruction for King Merikare</w:t>
      </w:r>
      <w:r w:rsidRPr="00242A60">
        <w:rPr>
          <w:szCs w:val="28"/>
        </w:rPr>
        <w:t xml:space="preserve"> joins royal prudence, judgment, care for subjects, and theological reflection. Literary laments imagine the reversal of order into chaos by pairing social, natural, and political inversions.</w:t>
      </w:r>
      <w:r w:rsidRPr="00242A60">
        <w:rPr>
          <w:szCs w:val="28"/>
          <w:vertAlign w:val="superscript"/>
        </w:rPr>
        <w:t>10</w:t>
      </w:r>
      <w:r w:rsidRPr="00242A60">
        <w:rPr>
          <w:szCs w:val="28"/>
        </w:rPr>
        <w:t xml:space="preserve"> Cosmic order is lived through speech, office, distribution, and the vulnerability of the land.</w:t>
      </w:r>
    </w:p>
    <w:p w14:paraId="1435FDB8" w14:textId="77777777" w:rsidR="009F7E3A" w:rsidRPr="00242A60" w:rsidRDefault="009F7E3A">
      <w:pPr>
        <w:pStyle w:val="BookBody"/>
      </w:pPr>
      <w:r w:rsidRPr="00242A60">
        <w:rPr>
          <w:szCs w:val="28"/>
        </w:rPr>
        <w:t xml:space="preserve">Assmann describes Egyptian history as a history of meaning because political events and institutions were interpreted within a symbolic order that made continuity intelligible. Ma’at was not maintained once and for all. It had to be realized against </w:t>
      </w:r>
      <w:r w:rsidRPr="00242A60">
        <w:rPr>
          <w:i/>
          <w:szCs w:val="28"/>
        </w:rPr>
        <w:t>isfet</w:t>
      </w:r>
      <w:r w:rsidRPr="00242A60">
        <w:rPr>
          <w:szCs w:val="28"/>
        </w:rPr>
        <w:t>: falsehood, disorder, violence, and disruption. Kingship carried a cosmic responsibility because government was one of the practices through which the order of the world was preserved.</w:t>
      </w:r>
      <w:r w:rsidRPr="00242A60">
        <w:rPr>
          <w:szCs w:val="28"/>
          <w:vertAlign w:val="superscript"/>
        </w:rPr>
        <w:t>11</w:t>
      </w:r>
    </w:p>
    <w:p w14:paraId="76532833" w14:textId="77777777" w:rsidR="009F7E3A" w:rsidRPr="00242A60" w:rsidRDefault="009F7E3A">
      <w:pPr>
        <w:pStyle w:val="BookBody"/>
      </w:pPr>
      <w:r w:rsidRPr="00242A60">
        <w:rPr>
          <w:szCs w:val="28"/>
        </w:rPr>
        <w:t>The grandeur of the conception should not conceal its danger. When political authority presents itself as the guarantor of cosmic order, opposition can appear not merely illegal but unreal, impious, or chaotic. The distance between a ruler’s office and his conduct may disappear inside the symbolism of kingship. Labor supporting temple and monument can be absorbed into an image of universal harmony. Rank becomes easier to defend when hierarchy is not a contingent arrangement but the visible form of things.</w:t>
      </w:r>
    </w:p>
    <w:p w14:paraId="6F3A1ABF" w14:textId="77777777" w:rsidR="009F7E3A" w:rsidRPr="00242A60" w:rsidRDefault="009F7E3A">
      <w:pPr>
        <w:pStyle w:val="BookBody"/>
      </w:pPr>
      <w:r w:rsidRPr="00242A60">
        <w:rPr>
          <w:szCs w:val="28"/>
        </w:rPr>
        <w:t>A living cosmos is therefore not synonymous with a just society. Public meaning can orient, but it can also close. Qualitative difference can preserve the dignity of place, time, body, and obligation; it can also assign persons to unequal stations whose alteration appears to threaten the whole. The modern separation of fact from inherited value would make criticism possible in new ways. A social order could be exposed as historical rather than cosmically necessary.</w:t>
      </w:r>
    </w:p>
    <w:p w14:paraId="2320F2B8" w14:textId="77777777" w:rsidR="009F7E3A" w:rsidRPr="00242A60" w:rsidRDefault="009F7E3A">
      <w:pPr>
        <w:pStyle w:val="BookBody"/>
      </w:pPr>
      <w:r w:rsidRPr="00242A60">
        <w:rPr>
          <w:szCs w:val="28"/>
        </w:rPr>
        <w:t>Yet modernity did not escape the fusion of description and norm. Statistics can make an average appear natural. Markets can present prices as neutral facts while hiding political choices. Technical systems can encode priorities as operational requirements. The difference is that normativity often becomes less visible when cosmic language disappears. Ma’at speaks its joining of reality and obligation openly. The operational world will frequently deny that such a joining has occurred.</w:t>
      </w:r>
    </w:p>
    <w:p w14:paraId="420C54E2" w14:textId="77777777" w:rsidR="009F7E3A" w:rsidRPr="00242A60" w:rsidRDefault="009F7E3A">
      <w:pPr>
        <w:pStyle w:val="BookBody"/>
      </w:pPr>
      <w:r w:rsidRPr="00242A60">
        <w:rPr>
          <w:szCs w:val="28"/>
        </w:rPr>
        <w:t>Hierarchy itself requires distinction. Every organized whole contains relations of level, inclusion, dependence, or priority. A body has differentiated organs; an argument has premises and conclusions; an institution has roles. Cosmic hierarchy becomes ethically dangerous when descriptive difference fixes social worth or when mediation becomes domination. The ancient cosmos often crossed that boundary. But the alternative cannot be a world in which every difference is unreal unless chosen. The historical problem is to separate intelligible order from the inherited authority that claimed to embody it.</w:t>
      </w:r>
    </w:p>
    <w:p w14:paraId="6E214C59" w14:textId="77777777" w:rsidR="009F7E3A" w:rsidRPr="00242A60" w:rsidRDefault="009F7E3A">
      <w:pPr>
        <w:pStyle w:val="BookBody"/>
      </w:pPr>
      <w:r w:rsidRPr="00242A60">
        <w:rPr>
          <w:szCs w:val="28"/>
        </w:rPr>
        <w:t>The Egyptian witness prevents the chapter’s definition from becoming sentimental. A cosmos lives when truth and order can make claims upon action before private preference. That possibility is also the possibility that institutions will identify themselves with truth. Public significance is powerful because it does not wait for consent. It is dangerous for the same reason.</w:t>
      </w:r>
    </w:p>
    <w:p w14:paraId="0E7AE1E7" w14:textId="77777777" w:rsidR="009F7E3A" w:rsidRPr="00242A60" w:rsidRDefault="009F7E3A">
      <w:pPr>
        <w:pStyle w:val="SectionHeading"/>
      </w:pPr>
      <w:r w:rsidRPr="00242A60">
        <w:t>Purpose, Tendency, and the Kinds of Things</w:t>
      </w:r>
    </w:p>
    <w:p w14:paraId="1B39203B" w14:textId="77777777" w:rsidR="009F7E3A" w:rsidRPr="00242A60" w:rsidRDefault="009F7E3A">
      <w:pPr>
        <w:pStyle w:val="BookBody"/>
      </w:pPr>
      <w:r w:rsidRPr="00242A60">
        <w:rPr>
          <w:szCs w:val="28"/>
        </w:rPr>
        <w:t>Teleology is often summarized as the belief that everything happens for a purpose. The summary collapses several different claims. An artisan acts for an intended end. An organ contributes to an activity of a living being. A seed develops toward a mature form under suitable conditions. A celestial order may be judged good or beautiful. Providence may direct events toward an end known by God. None of these statements is identical with the claim that every occurrence was designed for the sake of human beings.</w:t>
      </w:r>
    </w:p>
    <w:p w14:paraId="79962B95" w14:textId="77777777" w:rsidR="009F7E3A" w:rsidRPr="00242A60" w:rsidRDefault="009F7E3A">
      <w:pPr>
        <w:pStyle w:val="BookBody"/>
      </w:pPr>
      <w:r w:rsidRPr="00242A60">
        <w:rPr>
          <w:szCs w:val="28"/>
        </w:rPr>
        <w:t>In a living cosmos, purpose or tendency belongs to the intelligibility of beings rather than being confined to conscious plans. Aristotle will give the most influential conceptual articulation. Nature is an internal principle of motion and rest; natural processes can be understood through what they characteristically become; explanation asks not only from what and by what motion a thing arises but what it is and for the sake of what.</w:t>
      </w:r>
      <w:r w:rsidRPr="00242A60">
        <w:rPr>
          <w:szCs w:val="28"/>
          <w:vertAlign w:val="superscript"/>
        </w:rPr>
        <w:t>12</w:t>
      </w:r>
      <w:r w:rsidRPr="00242A60">
        <w:rPr>
          <w:szCs w:val="28"/>
        </w:rPr>
        <w:t xml:space="preserve"> A stone and an animal do not occupy the same kind of trajectory because their natures differ.</w:t>
      </w:r>
    </w:p>
    <w:p w14:paraId="1112DD28" w14:textId="77777777" w:rsidR="009F7E3A" w:rsidRPr="00242A60" w:rsidRDefault="009F7E3A">
      <w:pPr>
        <w:pStyle w:val="BookBody"/>
      </w:pPr>
      <w:r w:rsidRPr="00242A60">
        <w:rPr>
          <w:szCs w:val="28"/>
        </w:rPr>
        <w:t>Aristotle’s framework should not be projected backward onto Mesopotamia or Egypt. Their orders were not undeveloped versions of his physics. He matters here as a hinge figure who converts qualities of a lived cosmos into systematic questions of form, place, motion, and end. His conceptual achievement will later make the loss of teleology describable as a change in explanation itself.</w:t>
      </w:r>
    </w:p>
    <w:p w14:paraId="1BBAFBE9" w14:textId="77777777" w:rsidR="009F7E3A" w:rsidRPr="00242A60" w:rsidRDefault="009F7E3A">
      <w:pPr>
        <w:pStyle w:val="BookBody"/>
      </w:pPr>
      <w:r w:rsidRPr="00242A60">
        <w:rPr>
          <w:szCs w:val="28"/>
        </w:rPr>
        <w:t>Modern science displaced many teleological accounts with extraordinary success. The fall of a body does not require a desire for its natural place. Planetary motion does not require celestial aspiration. Species can acquire adaptations through variation and selection without a plan directing each change. Efficient mechanisms allow prediction where references to purpose explain too easily and test too little.</w:t>
      </w:r>
    </w:p>
    <w:p w14:paraId="6F5ECBD8" w14:textId="77777777" w:rsidR="009F7E3A" w:rsidRPr="00242A60" w:rsidRDefault="009F7E3A">
      <w:pPr>
        <w:pStyle w:val="BookBody"/>
      </w:pPr>
      <w:r w:rsidRPr="00242A60">
        <w:rPr>
          <w:szCs w:val="28"/>
        </w:rPr>
        <w:t>But the removal of cosmic intention does not settle every question of tendency. Living beings remain organized in ways for which function is indispensable. An eye can fail as an eye; an organism can flourish or become pathological; behavior can be directed toward conditions required for life. Later chapters will ask whether biological normativity recovers a kind of immanent meaning without restoring universal purpose. At this stage, teleology marks a feature of the older order: beings were intelligible through characteristic ways of acting and becoming, not only through externally imposed motion.</w:t>
      </w:r>
    </w:p>
    <w:p w14:paraId="22BF1222" w14:textId="77777777" w:rsidR="009F7E3A" w:rsidRPr="00242A60" w:rsidRDefault="009F7E3A">
      <w:pPr>
        <w:pStyle w:val="BookBody"/>
      </w:pPr>
      <w:r w:rsidRPr="00242A60">
        <w:rPr>
          <w:szCs w:val="28"/>
        </w:rPr>
        <w:t>This difference bears upon ethics. If a thing has a nature, the question of what fulfills or damages it can appear to have an objective basis. If reality contains only neutral material arrangements, value must enter through preference, command, convention, or the interests of living beings. The modern liberation from fixed natural purposes makes room for unprecedented freedom. It also increases the burden placed upon subjects and institutions to justify ends the world no longer publicly supplies.</w:t>
      </w:r>
    </w:p>
    <w:p w14:paraId="17277526" w14:textId="77777777" w:rsidR="009F7E3A" w:rsidRPr="00242A60" w:rsidRDefault="009F7E3A">
      <w:pPr>
        <w:pStyle w:val="BookBody"/>
      </w:pPr>
      <w:r w:rsidRPr="00242A60">
        <w:rPr>
          <w:szCs w:val="28"/>
        </w:rPr>
        <w:t>The living cosmos distributed this burden differently. Human purposes were situated within natural, celestial, divine, and political orders that could correct individual desire. Yet because those orders were interpreted through inherited authorities, they could also mistake convention for nature. Teleology oriented and constrained. Its death would release possibility and expose the question of purpose in a new form.</w:t>
      </w:r>
    </w:p>
    <w:p w14:paraId="5FC601A1" w14:textId="77777777" w:rsidR="009F7E3A" w:rsidRPr="00242A60" w:rsidRDefault="009F7E3A">
      <w:pPr>
        <w:pStyle w:val="SectionHeading"/>
      </w:pPr>
      <w:r w:rsidRPr="00242A60">
        <w:t>Symbol Without Sovereign Projection</w:t>
      </w:r>
    </w:p>
    <w:p w14:paraId="4A395AA0" w14:textId="77777777" w:rsidR="009F7E3A" w:rsidRPr="00242A60" w:rsidRDefault="009F7E3A">
      <w:pPr>
        <w:pStyle w:val="BookBody"/>
      </w:pPr>
      <w:r w:rsidRPr="00242A60">
        <w:rPr>
          <w:szCs w:val="28"/>
        </w:rPr>
        <w:t>The word “symbol” often arrives after the division between reality and meaning has already occurred. A physical object is real; a community then uses it to represent something else. The symbol belongs to culture, while the object belongs to nature. This definition cannot adequately describe a living cosmos because it assumes the separation under investigation.</w:t>
      </w:r>
    </w:p>
    <w:p w14:paraId="15567D80" w14:textId="77777777" w:rsidR="009F7E3A" w:rsidRPr="00242A60" w:rsidRDefault="009F7E3A">
      <w:pPr>
        <w:pStyle w:val="BookBody"/>
      </w:pPr>
      <w:r w:rsidRPr="00242A60">
        <w:rPr>
          <w:szCs w:val="28"/>
        </w:rPr>
        <w:t>A symbol within a participatory order is not merely an arbitrary marker. Its material form, place, history, resemblance, or ritual use can belong to its power. Water cleanses physically and can therefore mediate purification without the symbolic meaning being reducible to chemistry. Light makes sight possible and can bear relations to knowledge or divine manifestation without every use being an interchangeable convention. The relation is mediated and historically formed, but it is answerable to qualities not simply invented by the interpreter.</w:t>
      </w:r>
    </w:p>
    <w:p w14:paraId="32195504" w14:textId="77777777" w:rsidR="009F7E3A" w:rsidRPr="00242A60" w:rsidRDefault="009F7E3A">
      <w:pPr>
        <w:pStyle w:val="BookBody"/>
      </w:pPr>
      <w:r w:rsidRPr="00242A60">
        <w:rPr>
          <w:szCs w:val="28"/>
        </w:rPr>
        <w:t>Cassirer understood symbolic forms as world-forming activities rather than decorations placed upon an already complete reality. Myth, language, art, and science articulate different worlds of significance. His approach breaks the crude opposition between objective fact and subjective fantasy. Human beings do not first encounter meaningless sensations and then attach symbols. Perception and thought are already organized through forms that disclose objects in particular ways.</w:t>
      </w:r>
      <w:r w:rsidRPr="00242A60">
        <w:rPr>
          <w:szCs w:val="28"/>
          <w:vertAlign w:val="superscript"/>
        </w:rPr>
        <w:t>13</w:t>
      </w:r>
    </w:p>
    <w:p w14:paraId="10DF592A" w14:textId="77777777" w:rsidR="009F7E3A" w:rsidRPr="00242A60" w:rsidRDefault="009F7E3A">
      <w:pPr>
        <w:pStyle w:val="BookBody"/>
      </w:pPr>
      <w:r w:rsidRPr="00242A60">
        <w:rPr>
          <w:szCs w:val="28"/>
        </w:rPr>
        <w:t>The strength of the account is also its danger. If every world is symbolically articulated, reality may appear to dissolve into forms of human making. The book’s governing distinction between mediation and authorship must therefore be preserved. A symbol requires interpreters, practices, and histories, but these do not guarantee its truth. Symbols can disclose, distort, conceal, or fail. Their meanings are not physical properties detachable from interpretation, yet interpretation is not sovereign.</w:t>
      </w:r>
    </w:p>
    <w:p w14:paraId="636C6A83" w14:textId="77777777" w:rsidR="009F7E3A" w:rsidRPr="00242A60" w:rsidRDefault="009F7E3A">
      <w:pPr>
        <w:pStyle w:val="BookBody"/>
      </w:pPr>
      <w:r w:rsidRPr="00242A60">
        <w:rPr>
          <w:szCs w:val="28"/>
        </w:rPr>
        <w:t>Ancient images clarify the point. To call a divine image “only symbolic” can imply that informed ancient practitioners knew the object was not really the god, while naive ones confused representation with reality. Assmann’s accounts show a more complex field of presence, manifestation, and differentiation. The image could become a site of relation through consecration and cult without containing the god as a physical object contains material. Neither identity nor absence exhausts the claim.</w:t>
      </w:r>
    </w:p>
    <w:p w14:paraId="513EFDA7" w14:textId="77777777" w:rsidR="009F7E3A" w:rsidRPr="00242A60" w:rsidRDefault="009F7E3A">
      <w:pPr>
        <w:pStyle w:val="BookBody"/>
      </w:pPr>
      <w:r w:rsidRPr="00242A60">
        <w:rPr>
          <w:szCs w:val="28"/>
        </w:rPr>
        <w:t>Modern consciousness often preserves this structure while denying it publicly. A flag is treated as fabric in one context and as the presence of a political community in another. A wedding ring is materially replaceable yet not simply interchangeable. A grave is a location containing remains and a place whose violation can wound the living. These examples do not restore ancient cosmic symbolism. They show that mediation remains constitutive of social reality.</w:t>
      </w:r>
    </w:p>
    <w:p w14:paraId="7895D63E" w14:textId="77777777" w:rsidR="009F7E3A" w:rsidRPr="00242A60" w:rsidRDefault="009F7E3A">
      <w:pPr>
        <w:pStyle w:val="BookBody"/>
      </w:pPr>
      <w:r w:rsidRPr="00242A60">
        <w:rPr>
          <w:szCs w:val="28"/>
        </w:rPr>
        <w:t>The death of the living cosmos will progressively change the presumption under which symbolic claims enter public life. Instead of belonging to reality unless refuted, cosmic significance will increasingly require translation into belief, culture, aesthetics, or psychology. The symbol survives, sometimes with enormous force, but the world to which it refers becomes harder to establish in common.</w:t>
      </w:r>
    </w:p>
    <w:p w14:paraId="2748FBEA" w14:textId="77777777" w:rsidR="009F7E3A" w:rsidRPr="00242A60" w:rsidRDefault="009F7E3A">
      <w:pPr>
        <w:pStyle w:val="SectionHeading"/>
      </w:pPr>
      <w:r w:rsidRPr="00242A60">
        <w:t>Character, Kind, and the Texture of Difference</w:t>
      </w:r>
    </w:p>
    <w:p w14:paraId="35F50F5C" w14:textId="77777777" w:rsidR="009F7E3A" w:rsidRPr="00242A60" w:rsidRDefault="009F7E3A">
      <w:pPr>
        <w:pStyle w:val="BookBody"/>
      </w:pPr>
      <w:r w:rsidRPr="00242A60">
        <w:rPr>
          <w:szCs w:val="28"/>
        </w:rPr>
        <w:t>The living cosmos was qualitative not only because some places were sacred or some times ritually charged. Things themselves could possess character. Character names more than a list of measurable properties and less than a private personality hidden inside an object. It is the recognizable way a being appears, acts, affects others, and belongs within a field of relations. A substance can be warming or cooling, a planet benefic or malefic, an animal noble or impure, a direction auspicious or threatening. Such determinations combine observation, inherited classification, practical consequence, and symbolic judgment.</w:t>
      </w:r>
    </w:p>
    <w:p w14:paraId="155AFD9D" w14:textId="77777777" w:rsidR="009F7E3A" w:rsidRPr="00242A60" w:rsidRDefault="009F7E3A">
      <w:pPr>
        <w:pStyle w:val="BookBody"/>
      </w:pPr>
      <w:r w:rsidRPr="00242A60">
        <w:rPr>
          <w:szCs w:val="28"/>
        </w:rPr>
        <w:t>Modern analysis separates these components in order to test them. Temperature can be measured independently of a substance’s ritual use. Toxicity can be distinguished from disgust. An animal’s behavior can be studied without deciding its moral rank. This separation is indispensable wherever character has allowed association to masquerade as causation. But the success of separation can make the original phenomenon difficult to see. The older quality was not always a crude physical property awaiting correction. It situated a being within a world of possible relations.</w:t>
      </w:r>
    </w:p>
    <w:p w14:paraId="5EC0248F" w14:textId="77777777" w:rsidR="009F7E3A" w:rsidRPr="00242A60" w:rsidRDefault="009F7E3A">
      <w:pPr>
        <w:pStyle w:val="BookBody"/>
      </w:pPr>
      <w:r w:rsidRPr="00242A60">
        <w:rPr>
          <w:szCs w:val="28"/>
        </w:rPr>
        <w:t>Consider color. Physics can specify wavelengths and surfaces; physiology can describe receptors and neural processing; history can recover pigments, classifications, and social uses. None of these descriptions alone is the color as encountered in a world. Red can attract attention, mark danger, distinguish rank, indicate ripeness, or belong to a deity or region. These significances are not all universal, and none follows automatically from wavelength. Yet neither are they sovereign inventions. They develop through bodily capacities, material affordances, recurring circumstances, and historical practices.</w:t>
      </w:r>
    </w:p>
    <w:p w14:paraId="0C476874" w14:textId="77777777" w:rsidR="009F7E3A" w:rsidRPr="00242A60" w:rsidRDefault="009F7E3A">
      <w:pPr>
        <w:pStyle w:val="BookBody"/>
      </w:pPr>
      <w:r w:rsidRPr="00242A60">
        <w:rPr>
          <w:szCs w:val="28"/>
        </w:rPr>
        <w:t>The same layered reality appears in ancient classifications. A list of stones, plants, stars, or symptoms does not merely arrange neutral items under subjective names. Classification makes differences durable and actionable. It tells the practitioner which resemblance matters, which sequence predicts, which substance belongs in a rite, and which anomaly requires attention. Rochberg’s worldmaking is concrete at precisely this point: lexical lists, series, diagrams, calculations, and records articulate kinds of things and relations among them.</w:t>
      </w:r>
      <w:r w:rsidRPr="00242A60">
        <w:rPr>
          <w:szCs w:val="28"/>
          <w:vertAlign w:val="superscript"/>
        </w:rPr>
        <w:t>4</w:t>
      </w:r>
      <w:r w:rsidRPr="00242A60">
        <w:rPr>
          <w:szCs w:val="28"/>
        </w:rPr>
        <w:t xml:space="preserve"> A world is made inhabitable by such disciplined distinctions.</w:t>
      </w:r>
    </w:p>
    <w:p w14:paraId="2A7EF033" w14:textId="77777777" w:rsidR="009F7E3A" w:rsidRPr="00242A60" w:rsidRDefault="009F7E3A">
      <w:pPr>
        <w:pStyle w:val="BookBody"/>
      </w:pPr>
      <w:r w:rsidRPr="00242A60">
        <w:rPr>
          <w:szCs w:val="28"/>
        </w:rPr>
        <w:t>Kinds establish expectations. To know what something is means knowing something of how it characteristically behaves and what responses it permits. This does not make classification infallible. Anomalies expose its limits, traditions preserve mistakes, and power influences which distinctions receive institutional support. But a world without kinds would not be more objective. It would be unintelligible. Modern science depends upon categories as surely as cuneiform scholarship did, even when it revises them through different procedures.</w:t>
      </w:r>
    </w:p>
    <w:p w14:paraId="62D1A7FF" w14:textId="77777777" w:rsidR="009F7E3A" w:rsidRPr="00242A60" w:rsidRDefault="009F7E3A">
      <w:pPr>
        <w:pStyle w:val="BookBody"/>
      </w:pPr>
      <w:r w:rsidRPr="00242A60">
        <w:rPr>
          <w:szCs w:val="28"/>
        </w:rPr>
        <w:t>The historical change concerns which qualities can enter a public definition of the kind. A modern chemical substance is identified through composition and structure, not through planetary correspondence or ritual suitability. A species is classified through descent and biological relation, not moral dignity. A disease is defined through pathology, syndrome, cause, or statistical pattern, not divine displeasure. Each restriction can increase reliability by excluding relations that cannot be demonstrated. It also leaves a remainder. The patient must still ask what illness means for a life. The community must still decide which forms of suffering demand attention. The excluded qualities return, but under different authorities.</w:t>
      </w:r>
    </w:p>
    <w:p w14:paraId="2026C8D1" w14:textId="77777777" w:rsidR="009F7E3A" w:rsidRPr="00242A60" w:rsidRDefault="009F7E3A">
      <w:pPr>
        <w:pStyle w:val="BookBody"/>
      </w:pPr>
      <w:r w:rsidRPr="00242A60">
        <w:rPr>
          <w:szCs w:val="28"/>
        </w:rPr>
        <w:t>Character is especially important for the history of astrology. A planet in an ancient or traditional astrological order was not merely a distant body believed to push events through an unknown force. It possessed a range of qualities made legible through color, motion, brightness, mythic identity, temporal cycle, and accumulated interpretation. Those qualities could be mapped onto metals, temperaments, plants, occupations, bodily regions, and political events. The resulting system often exceeded what observation could warrant, but its grammar depended upon character and correspondence rather than efficient causation alone.</w:t>
      </w:r>
    </w:p>
    <w:p w14:paraId="0AF2B1FA" w14:textId="77777777" w:rsidR="009F7E3A" w:rsidRPr="00242A60" w:rsidRDefault="009F7E3A">
      <w:pPr>
        <w:pStyle w:val="BookBody"/>
      </w:pPr>
      <w:r w:rsidRPr="00242A60">
        <w:rPr>
          <w:szCs w:val="28"/>
        </w:rPr>
        <w:t>Later chapters will separate these claims with care. Here astrology serves only as an exposed example of what changes when character is exiled from publicly describable reality. The physical planet remains. Its symbolic character migrates into cultural history, archetypal interpretation, personal resonance, or commercial prediction. The modern question becomes whether any relation survives between the planet’s physical reality and its attributed character. The ancient cosmos did not begin from their separation.</w:t>
      </w:r>
    </w:p>
    <w:p w14:paraId="1BA27234" w14:textId="77777777" w:rsidR="009F7E3A" w:rsidRPr="00242A60" w:rsidRDefault="009F7E3A">
      <w:pPr>
        <w:pStyle w:val="BookBody"/>
      </w:pPr>
      <w:r w:rsidRPr="00242A60">
        <w:rPr>
          <w:szCs w:val="28"/>
        </w:rPr>
        <w:t>To recover character philosophically would not mean restoring inherited classifications. It would mean acknowledging that beings enter lived relations through more than measurable quantity while keeping every qualitative claim answerable to its mode of evidence. A poisonous mushroom is dangerous through biochemical relations. A family heirloom bears character through history and memory. A predator has significance for prey through evolved capacities. A temple stone acquires ritual character through institution and practice. These qualities are not real in one identical way.</w:t>
      </w:r>
    </w:p>
    <w:p w14:paraId="4203F913" w14:textId="77777777" w:rsidR="009F7E3A" w:rsidRPr="00242A60" w:rsidRDefault="009F7E3A">
      <w:pPr>
        <w:pStyle w:val="BookBody"/>
      </w:pPr>
      <w:r w:rsidRPr="00242A60">
        <w:rPr>
          <w:szCs w:val="28"/>
        </w:rPr>
        <w:t>The living cosmos often joined such modes before their differences could be policed. Its density came from the joining; its errors came from the same source. Modernity will gain clarity by separating physical property, biological significance, symbolic meaning, and private association. The unfinished task is to prevent clarity from becoming ontological erasure.</w:t>
      </w:r>
    </w:p>
    <w:p w14:paraId="2D7732FB" w14:textId="77777777" w:rsidR="009F7E3A" w:rsidRPr="00242A60" w:rsidRDefault="009F7E3A">
      <w:pPr>
        <w:pStyle w:val="SectionHeading"/>
      </w:pPr>
      <w:r w:rsidRPr="00242A60">
        <w:t>Worldhood and the Limits of a View from Nowhere</w:t>
      </w:r>
    </w:p>
    <w:p w14:paraId="50EBA24C" w14:textId="77777777" w:rsidR="009F7E3A" w:rsidRPr="00242A60" w:rsidRDefault="009F7E3A">
      <w:pPr>
        <w:pStyle w:val="BookBody"/>
      </w:pPr>
      <w:r w:rsidRPr="00242A60">
        <w:rPr>
          <w:szCs w:val="28"/>
        </w:rPr>
        <w:t>“World” names more than everything that exists. It names the field within which beings can appear as relevant, usable, dangerous, divine, familiar, or unknown. A universe may be described without reference to an inhabitant. A world is always disclosed from somewhere, though it need not be created by the being to whom it is disclosed.</w:t>
      </w:r>
    </w:p>
    <w:p w14:paraId="7ABE12A6" w14:textId="77777777" w:rsidR="009F7E3A" w:rsidRPr="00242A60" w:rsidRDefault="009F7E3A">
      <w:pPr>
        <w:pStyle w:val="BookBody"/>
      </w:pPr>
      <w:r w:rsidRPr="00242A60">
        <w:rPr>
          <w:szCs w:val="28"/>
        </w:rPr>
        <w:t>This dependence upon a standpoint is easily confused with subjectivity. If a world appears relative to bodily capacity, historical language, or communal practice, it may seem less real than the universe described from no privileged position. Yet every actual inquiry begins from instruments, questions, scales, and capacities located somewhere. Objectivity is not achieved by literally occupying no standpoint. It is achieved by constructing procedures through which the limitations of particular standpoints can be identified, compared, and corrected.</w:t>
      </w:r>
    </w:p>
    <w:p w14:paraId="68DE70B9" w14:textId="77777777" w:rsidR="009F7E3A" w:rsidRPr="00242A60" w:rsidRDefault="009F7E3A">
      <w:pPr>
        <w:pStyle w:val="BookBody"/>
      </w:pPr>
      <w:r w:rsidRPr="00242A60">
        <w:rPr>
          <w:szCs w:val="28"/>
        </w:rPr>
        <w:t>The astronomical image paired with the night sky makes the distinction visible. The image may disclose objects no human eye can see, but it does so by translating registered differences into a form human beings can inspect. A false-color image is not false because its colors are assigned. Its truth depends upon whether the translation preserves relations in the data and whether its conventions are stated. Mediation permits disclosure when it remains answerable to what it mediates.</w:t>
      </w:r>
    </w:p>
    <w:p w14:paraId="38976451" w14:textId="77777777" w:rsidR="009F7E3A" w:rsidRPr="00242A60" w:rsidRDefault="009F7E3A">
      <w:pPr>
        <w:pStyle w:val="BookBody"/>
      </w:pPr>
      <w:r w:rsidRPr="00242A60">
        <w:rPr>
          <w:szCs w:val="28"/>
        </w:rPr>
        <w:t>An ancient celestial series also mediated. It selected events, arranged observations, preserved precedents, and established relations through which later practitioners interpreted the sky. Its standards of success differed from those of modern astronomy, especially where omens joined celestial and political events. But it was not an unstructured gaze. The sky became a learned world through techniques of attention.</w:t>
      </w:r>
    </w:p>
    <w:p w14:paraId="22F03B9D" w14:textId="77777777" w:rsidR="009F7E3A" w:rsidRPr="00242A60" w:rsidRDefault="009F7E3A">
      <w:pPr>
        <w:pStyle w:val="BookBody"/>
      </w:pPr>
      <w:r w:rsidRPr="00242A60">
        <w:rPr>
          <w:szCs w:val="28"/>
        </w:rPr>
        <w:t>Worldhood therefore protects two truths that are often divided. Reality exceeds every disclosure of it, and reality appears only through determinate relations. The first prevents a world from becoming a closed construction. The second prevents the physical universe from being treated as though its most abstract description were the only form in which reality can be present.</w:t>
      </w:r>
    </w:p>
    <w:p w14:paraId="752BB4BF" w14:textId="77777777" w:rsidR="009F7E3A" w:rsidRPr="00242A60" w:rsidRDefault="009F7E3A">
      <w:pPr>
        <w:pStyle w:val="BookBody"/>
      </w:pPr>
      <w:r w:rsidRPr="00242A60">
        <w:rPr>
          <w:szCs w:val="28"/>
        </w:rPr>
        <w:t>A living cosmos joins worldhood to public institutions. The orientations of bodies, the recurrences of seasons, the classifications of scribes, the rites of temples, and the decisions of rulers establish a shared field of salience. Some beings and events appear with common consequence. The public world is never complete, and it is never equally shared. A laborer, priest, ruler, captive, foreigner, and child do not inhabit an identical field even when they live under the same cosmic order.</w:t>
      </w:r>
    </w:p>
    <w:p w14:paraId="28C204DD" w14:textId="77777777" w:rsidR="009F7E3A" w:rsidRPr="00242A60" w:rsidRDefault="009F7E3A">
      <w:pPr>
        <w:pStyle w:val="BookBody"/>
      </w:pPr>
      <w:r w:rsidRPr="00242A60">
        <w:rPr>
          <w:szCs w:val="28"/>
        </w:rPr>
        <w:t>This internal plurality is another defense against nostalgia. “The Egyptian world” or “the Mesopotamian world” is a necessary shorthand and a dangerous abstraction. Empires change, cities compete, languages endure and disappear, offices divide knowledge, and persons encounter institutions from unequal positions. A world can be publicly organized without being homogeneous. Its order may be experienced as protection by one person and exaction by another.</w:t>
      </w:r>
    </w:p>
    <w:p w14:paraId="36416754" w14:textId="77777777" w:rsidR="009F7E3A" w:rsidRPr="00242A60" w:rsidRDefault="009F7E3A">
      <w:pPr>
        <w:pStyle w:val="BookBody"/>
      </w:pPr>
      <w:r w:rsidRPr="00242A60">
        <w:rPr>
          <w:szCs w:val="28"/>
        </w:rPr>
        <w:t>The phrase “living cosmos” consequently names an authorized structure rather than a total psychological state. It concerns the categories, practices, and institutions through which qualitative relations could count as real in common. It does not require that every person experience constant enchantment. An ancient farmer could be bored, skeptical, practical, or resentful beneath a heaven publicly understood through divine and royal order. A modern astronomer can experience profound belonging within a universe publicly described without cosmic purpose.</w:t>
      </w:r>
    </w:p>
    <w:p w14:paraId="0625E194" w14:textId="77777777" w:rsidR="009F7E3A" w:rsidRPr="00242A60" w:rsidRDefault="009F7E3A">
      <w:pPr>
        <w:pStyle w:val="BookBody"/>
      </w:pPr>
      <w:r w:rsidRPr="00242A60">
        <w:rPr>
          <w:szCs w:val="28"/>
        </w:rPr>
        <w:t>Authorization is decisive. What can be taught as knowledge? What can justify public action? Which differences can be entered into law, medicine, calendar, architecture, and rule? Which claims must be translated into preference or belief? The death of the living cosmos is a history of changing answers. Its subject is not the private intensity of experience but the location of legitimate significance.</w:t>
      </w:r>
    </w:p>
    <w:p w14:paraId="764B98FE" w14:textId="77777777" w:rsidR="009F7E3A" w:rsidRPr="00242A60" w:rsidRDefault="009F7E3A">
      <w:pPr>
        <w:pStyle w:val="BookBody"/>
      </w:pPr>
      <w:r w:rsidRPr="00242A60">
        <w:rPr>
          <w:szCs w:val="28"/>
        </w:rPr>
        <w:t>This definition also explains why the cosmos can die without meaning disappearing. Human beings continue to inhabit worlds. Bodies orient, languages differentiate, rituals endure, and places carry memory. What changes is the relation between these qualitative worlds and the publicly authoritative description of reality. Meaning survives, often abundantly, while losing the right to describe what things are independently of those who mean them.</w:t>
      </w:r>
    </w:p>
    <w:p w14:paraId="4D394B3F" w14:textId="77777777" w:rsidR="009F7E3A" w:rsidRPr="00242A60" w:rsidRDefault="009F7E3A">
      <w:pPr>
        <w:pStyle w:val="BookBody"/>
      </w:pPr>
      <w:r w:rsidRPr="00242A60">
        <w:rPr>
          <w:szCs w:val="28"/>
        </w:rPr>
        <w:t>The later recovery of organism, milieu, embodied perception, and planetary relation will return to this problem under new conditions. It will show that situatedness need not be a defect and that significance can arise within real relations. But those arguments cannot simply revive the old cosmos. They emerge after criticism, scientific universality, historical pluralism, and the exposure of hierarchy. The world that might live again cannot close around one inherited order.</w:t>
      </w:r>
    </w:p>
    <w:p w14:paraId="2A089D35" w14:textId="77777777" w:rsidR="009F7E3A" w:rsidRPr="00242A60" w:rsidRDefault="009F7E3A">
      <w:pPr>
        <w:pStyle w:val="SectionHeading"/>
      </w:pPr>
      <w:r w:rsidRPr="00242A60">
        <w:t>The Greek Articulation</w:t>
      </w:r>
    </w:p>
    <w:p w14:paraId="2783D49F" w14:textId="77777777" w:rsidR="009F7E3A" w:rsidRPr="00242A60" w:rsidRDefault="009F7E3A">
      <w:pPr>
        <w:pStyle w:val="BookBody"/>
      </w:pPr>
      <w:r w:rsidRPr="00242A60">
        <w:rPr>
          <w:szCs w:val="28"/>
        </w:rPr>
        <w:t xml:space="preserve">Mesopotamian and Egyptian worlds did not wait for philosophy to become ordered. Greek philosophy nevertheless gave </w:t>
      </w:r>
      <w:r w:rsidRPr="00242A60">
        <w:rPr>
          <w:i/>
          <w:szCs w:val="28"/>
        </w:rPr>
        <w:t>kosmos</w:t>
      </w:r>
      <w:r w:rsidRPr="00242A60">
        <w:rPr>
          <w:szCs w:val="28"/>
        </w:rPr>
        <w:t xml:space="preserve"> a conceptual articulation whose afterlife shaped Western accounts of nature for centuries. Plato’s </w:t>
      </w:r>
      <w:r w:rsidRPr="00242A60">
        <w:rPr>
          <w:i/>
          <w:szCs w:val="28"/>
        </w:rPr>
        <w:t>Timaeus</w:t>
      </w:r>
      <w:r w:rsidRPr="00242A60">
        <w:rPr>
          <w:szCs w:val="28"/>
        </w:rPr>
        <w:t xml:space="preserve"> presents the visible whole as generated according to an intelligible model. Because the maker is good, he orders disorder and gives the cosmos soul and intelligence, making it “a living creature endowed with soul and intelligence” and a single visible living being containing the others.</w:t>
      </w:r>
      <w:r w:rsidRPr="00242A60">
        <w:rPr>
          <w:szCs w:val="28"/>
          <w:vertAlign w:val="superscript"/>
        </w:rPr>
        <w:t>14</w:t>
      </w:r>
    </w:p>
    <w:p w14:paraId="07808D7D" w14:textId="77777777" w:rsidR="009F7E3A" w:rsidRPr="00242A60" w:rsidRDefault="009F7E3A">
      <w:pPr>
        <w:pStyle w:val="BookBody"/>
      </w:pPr>
      <w:r w:rsidRPr="00242A60">
        <w:rPr>
          <w:szCs w:val="28"/>
        </w:rPr>
        <w:t>The passage gathers several features of cosmic life: intelligibility, goodness, order, visibility, soul, and the relation of parts to a whole. It does not merely animate matter. It makes the world’s order answerable to form and value. Time itself arises with the moving image of eternity through celestial motions. Astronomy belongs to the education of reason because the visible cycles mediate intelligible order.</w:t>
      </w:r>
    </w:p>
    <w:p w14:paraId="69C0B0F3" w14:textId="77777777" w:rsidR="009F7E3A" w:rsidRPr="00242A60" w:rsidRDefault="009F7E3A">
      <w:pPr>
        <w:pStyle w:val="BookBody"/>
      </w:pPr>
      <w:r w:rsidRPr="00242A60">
        <w:rPr>
          <w:szCs w:val="28"/>
        </w:rPr>
        <w:t>Yet Plato’s cosmos is already a philosophical reorganization of inherited materials. Mythic narration is submitted to questions of model, cause, proportion, and intelligibility. The public world is not simply described as received; it is argued into a particular form. Philosophy participates in the cosmos while creating a distance from traditional stories about divine powers.</w:t>
      </w:r>
    </w:p>
    <w:p w14:paraId="2051517E" w14:textId="77777777" w:rsidR="009F7E3A" w:rsidRPr="00242A60" w:rsidRDefault="009F7E3A">
      <w:pPr>
        <w:pStyle w:val="BookBody"/>
      </w:pPr>
      <w:r w:rsidRPr="00242A60">
        <w:rPr>
          <w:szCs w:val="28"/>
        </w:rPr>
        <w:t>Aristotle rejects decisive features of Plato’s account while preserving qualitative order. The cosmos is not generated in time. Natural beings contain principles of motion. Place is not empty extension; bodies have characteristic motions within a finite whole. The celestial region and sublunary region differ. Explanation includes form and end. The world becomes more immanent and systematically differentiated.</w:t>
      </w:r>
    </w:p>
    <w:p w14:paraId="6AB001DF" w14:textId="77777777" w:rsidR="009F7E3A" w:rsidRPr="00242A60" w:rsidRDefault="009F7E3A">
      <w:pPr>
        <w:pStyle w:val="BookBody"/>
      </w:pPr>
      <w:r w:rsidRPr="00242A60">
        <w:rPr>
          <w:szCs w:val="28"/>
        </w:rPr>
        <w:t>Neither thinker should be treated as the origin of worldhood. Their importance is that later Western histories can name through them what early modern mechanism will oppose: intrinsic natures, natural places, formal causes, final causes, cosmic hierarchy, and an intelligible relation between human reason and the order of the whole. The philosophical cosmos becomes a structured inheritance capable of being transformed by creation and eventually dismantled by a new physics.</w:t>
      </w:r>
    </w:p>
    <w:p w14:paraId="7D44C391" w14:textId="77777777" w:rsidR="009F7E3A" w:rsidRPr="00242A60" w:rsidRDefault="009F7E3A">
      <w:pPr>
        <w:pStyle w:val="BookBody"/>
      </w:pPr>
      <w:r w:rsidRPr="00242A60">
        <w:rPr>
          <w:szCs w:val="28"/>
        </w:rPr>
        <w:t>The Greek articulation also deepens the danger already visible in Egypt. If the order of the whole provides a model of the good, political and social arrangements may claim cosmic warrant. Plato’s own political philosophy makes the relation unmistakable. The harmony of differentiated parts can illuminate justice, but it can also make hierarchy appear necessary. Cosmic intelligibility does not decide who is entitled to interpret the pattern.</w:t>
      </w:r>
    </w:p>
    <w:p w14:paraId="520F7FAB" w14:textId="77777777" w:rsidR="009F7E3A" w:rsidRPr="00242A60" w:rsidRDefault="009F7E3A">
      <w:pPr>
        <w:pStyle w:val="BookBody"/>
      </w:pPr>
      <w:r w:rsidRPr="00242A60">
        <w:rPr>
          <w:szCs w:val="28"/>
        </w:rPr>
        <w:t>This is why the chapter cannot end with the image of a world perfectly gathered into meaning. The ancient cosmos contained contesting cities, gods, schools, rites, and claims to authority. Philosophy did not merely express a shared worldview; it disputed what order was. The cosmos lived not because everyone agreed, but because the disagreement concerned qualities and purposes publicly located in reality.</w:t>
      </w:r>
    </w:p>
    <w:p w14:paraId="37A1B5D6" w14:textId="77777777" w:rsidR="009F7E3A" w:rsidRPr="00242A60" w:rsidRDefault="009F7E3A">
      <w:pPr>
        <w:pStyle w:val="SectionHeading"/>
      </w:pPr>
      <w:r w:rsidRPr="00242A60">
        <w:t>What Lived, What Bound</w:t>
      </w:r>
    </w:p>
    <w:p w14:paraId="51C9B01A" w14:textId="77777777" w:rsidR="009F7E3A" w:rsidRPr="00242A60" w:rsidRDefault="009F7E3A">
      <w:pPr>
        <w:pStyle w:val="BookBody"/>
      </w:pPr>
      <w:r w:rsidRPr="00242A60">
        <w:rPr>
          <w:szCs w:val="28"/>
        </w:rPr>
        <w:t>We can now state the definition more precisely. A living cosmos is a publicly intelligible order in which qualitative differences of place, time, body, motion, kind, rank, rite, and celestial configuration belong to reality before they become private interpretations. Its life does not depend upon imagining the universe as one organism. It consists in relations of participation, correspondence, tendency, manifestation, and obligation through which beings acquire character within a whole.</w:t>
      </w:r>
    </w:p>
    <w:p w14:paraId="4175BBB9" w14:textId="77777777" w:rsidR="009F7E3A" w:rsidRPr="00242A60" w:rsidRDefault="009F7E3A">
      <w:pPr>
        <w:pStyle w:val="BookBody"/>
      </w:pPr>
      <w:r w:rsidRPr="00242A60">
        <w:rPr>
          <w:szCs w:val="28"/>
        </w:rPr>
        <w:t>“Publicly intelligible” does not mean universally accepted. Babylonian specialists could disagree about signs. Egyptian texts could lament the collapse of Ma’at. Greek philosophers could dispute whether the cosmos was generated, ensouled, eternal, or providential. Publicity means that the claims concerned a shared order and could be argued through recognized practices. They were not confined in advance to personal significance.</w:t>
      </w:r>
    </w:p>
    <w:p w14:paraId="5CAF7FB9" w14:textId="77777777" w:rsidR="009F7E3A" w:rsidRPr="00242A60" w:rsidRDefault="009F7E3A">
      <w:pPr>
        <w:pStyle w:val="BookBody"/>
      </w:pPr>
      <w:r w:rsidRPr="00242A60">
        <w:rPr>
          <w:szCs w:val="28"/>
        </w:rPr>
        <w:t>“Qualitative” does not mean vague. A qualitative distinction can be exact within a practice. Auspicious and inauspicious times, pure and impure spaces, ranks of divine manifestation, kinds of motion, and forms of ritual eligibility can be classified with great precision. Measurement and quality were not enemies. Cuneiform astronomy is decisive because technical calculation and divinatory significance could inhabit one learned field.</w:t>
      </w:r>
    </w:p>
    <w:p w14:paraId="53C3BC0A" w14:textId="77777777" w:rsidR="009F7E3A" w:rsidRPr="00242A60" w:rsidRDefault="009F7E3A">
      <w:pPr>
        <w:pStyle w:val="BookBody"/>
      </w:pPr>
      <w:r w:rsidRPr="00242A60">
        <w:rPr>
          <w:szCs w:val="28"/>
        </w:rPr>
        <w:t>“Order” does not mean harmony. Flood, plague, eclipse, failed harvest, foreign invasion, illness, and death belonged to the cosmos as much as regular seasons and royal festivals. A world can be intelligible through conflict and danger. The gods themselves need not form a morally unified government. Living order can be precarious, demanding recurrent maintenance.</w:t>
      </w:r>
    </w:p>
    <w:p w14:paraId="1711B1B0" w14:textId="77777777" w:rsidR="009F7E3A" w:rsidRPr="00242A60" w:rsidRDefault="009F7E3A">
      <w:pPr>
        <w:pStyle w:val="BookBody"/>
      </w:pPr>
      <w:r w:rsidRPr="00242A60">
        <w:rPr>
          <w:szCs w:val="28"/>
        </w:rPr>
        <w:t>“Before private interpretation” does not mean without mediation. Scribes, priests, rulers, artisans, diviners, poets, and philosophers mediated the cosmos. Their practices selected and stabilized its differences. The world was not immediately transparent. Signs required reading, rites required instruction, and images required consecration. Mediation was an office within reality, not proof that reality was authored by the mediator.</w:t>
      </w:r>
    </w:p>
    <w:p w14:paraId="1CDA6F8D" w14:textId="77777777" w:rsidR="009F7E3A" w:rsidRPr="00242A60" w:rsidRDefault="009F7E3A">
      <w:pPr>
        <w:pStyle w:val="BookBody"/>
      </w:pPr>
      <w:r w:rsidRPr="00242A60">
        <w:rPr>
          <w:szCs w:val="28"/>
        </w:rPr>
        <w:t>The gains of such a cosmos are now visible. It situates persons within relations they did not choose. It gives public form to obligation. It binds knowledge to practice and place. It prevents the surrounding world from appearing as neutral material awaiting use. It recognizes that time, body, and land can bear claims exceeding preference.</w:t>
      </w:r>
    </w:p>
    <w:p w14:paraId="02F63A0F" w14:textId="77777777" w:rsidR="009F7E3A" w:rsidRPr="00242A60" w:rsidRDefault="009F7E3A">
      <w:pPr>
        <w:pStyle w:val="BookBody"/>
      </w:pPr>
      <w:r w:rsidRPr="00242A60">
        <w:rPr>
          <w:szCs w:val="28"/>
        </w:rPr>
        <w:t>Its losses are inseparable from those gains. The order that precedes choice can become fate. The public meaning of rank can make domination sacred. The authority to interpret signs can concentrate power. A correspondence protected from disconfirmation can govern action through fear. A person born into a station can be told that the whole requires the limits imposed upon him or her. The living cosmos did not need modern disenchantment merely because it was false. Some of its death answered genuine demands for freedom, criticism, equality, and knowledge.</w:t>
      </w:r>
    </w:p>
    <w:p w14:paraId="3B1E1004" w14:textId="77777777" w:rsidR="009F7E3A" w:rsidRPr="00242A60" w:rsidRDefault="009F7E3A">
      <w:pPr>
        <w:pStyle w:val="BookBody"/>
      </w:pPr>
      <w:r w:rsidRPr="00242A60">
        <w:rPr>
          <w:szCs w:val="28"/>
        </w:rPr>
        <w:t>Nor can its truth be recovered by adopting its conclusions. Historical distance has changed the conditions of authority. We cannot make a place sacred for everyone by describing how another civilization experienced it. We cannot restore qualitative time by preferring a calendar. We cannot establish celestial character by showing that astrology once joined observation and public meaning. Reconstruction can recover intelligibility; it cannot confer validity.</w:t>
      </w:r>
    </w:p>
    <w:p w14:paraId="0B5936A3" w14:textId="77777777" w:rsidR="009F7E3A" w:rsidRPr="00242A60" w:rsidRDefault="009F7E3A">
      <w:pPr>
        <w:pStyle w:val="BookBody"/>
      </w:pPr>
      <w:r w:rsidRPr="00242A60">
        <w:rPr>
          <w:szCs w:val="28"/>
        </w:rPr>
        <w:t>The chapter’s task has been narrower and more necessary. Before asking how the cosmos died, we had to prevent its life from being mistaken for ornament placed upon nature. The sequence that follows will move through cosmos, creation, nature, matter, resource, and system. These are not six names for one permanent external reality. They mark transformations in what beings are permitted to be, which relations count as knowledge, and where significance can reside.</w:t>
      </w:r>
    </w:p>
    <w:p w14:paraId="7891B2C6" w14:textId="77777777" w:rsidR="009F7E3A" w:rsidRPr="00242A60" w:rsidRDefault="009F7E3A">
      <w:pPr>
        <w:pStyle w:val="BookBody"/>
      </w:pPr>
      <w:r w:rsidRPr="00242A60">
        <w:rPr>
          <w:szCs w:val="28"/>
        </w:rPr>
        <w:t>The next step is historical. General definitions must enter the archives and practices that sustain them. Clay tablets recorded celestial appearances and their consequences. Temples joined architecture, economy, sacrifice, divine presence, and political order. Rivers made fertility and danger inseparable. Kingship claimed responsibility for worlds that could fall into disorder. Scribal disciplines made knowledge durable across generations.</w:t>
      </w:r>
    </w:p>
    <w:p w14:paraId="0884528A" w14:textId="77777777" w:rsidR="009F7E3A" w:rsidRPr="00242A60" w:rsidRDefault="009F7E3A">
      <w:pPr>
        <w:pStyle w:val="BookBody"/>
      </w:pPr>
      <w:r w:rsidRPr="00242A60">
        <w:rPr>
          <w:szCs w:val="28"/>
        </w:rPr>
        <w:t>There, beneath skies watched without telescopes but not without technique, the cosmos becomes more than a philosophical contrast. It appears as work: observing, recording, interpreting, offering, orienting, ruling, and repairing. Sky, temple, river, kingship, and knowledge do not surround one another as independent objects. They form one contested order.</w:t>
      </w:r>
    </w:p>
    <w:p w14:paraId="575F2E4E" w14:textId="77777777" w:rsidR="009F7E3A" w:rsidRPr="00242A60" w:rsidRDefault="009F7E3A">
      <w:pPr>
        <w:pStyle w:val="BookBody"/>
      </w:pPr>
      <w:r w:rsidRPr="00242A60">
        <w:rPr>
          <w:szCs w:val="28"/>
        </w:rPr>
        <w:t>Before nature became a domain, the world did not lack inquiry. Before matter became neutral, things did not lack resistance. Before meaning became private, interpretation did not lack discipline. The living cosmos was neither innocence nor error. It was a way reality could be publicly thick with differences that instructed, constrained, nourished, and endangered those who inhabited them.</w:t>
      </w:r>
    </w:p>
    <w:p w14:paraId="79804CAF" w14:textId="77777777" w:rsidR="009F7E3A" w:rsidRPr="00242A60" w:rsidRDefault="009F7E3A">
      <w:pPr>
        <w:pStyle w:val="BookBody"/>
      </w:pPr>
      <w:r w:rsidRPr="00242A60">
        <w:rPr>
          <w:szCs w:val="28"/>
        </w:rPr>
        <w:t>That is what lived. That is also what bound.</w:t>
      </w:r>
    </w:p>
    <w:p w14:paraId="4A0ADA6C" w14:textId="77777777" w:rsidR="009F7E3A" w:rsidRPr="00242A60" w:rsidRDefault="009F7E3A">
      <w:pPr>
        <w:pStyle w:val="NotesHeading"/>
      </w:pPr>
      <w:r w:rsidRPr="00242A60">
        <w:t>Notes</w:t>
      </w:r>
    </w:p>
    <w:p w14:paraId="1D6A3D06" w14:textId="77777777" w:rsidR="009F7E3A" w:rsidRPr="00242A60" w:rsidRDefault="009F7E3A">
      <w:pPr>
        <w:pStyle w:val="NoteEntry"/>
      </w:pPr>
      <w:r w:rsidRPr="00242A60">
        <w:rPr>
          <w:szCs w:val="28"/>
        </w:rPr>
        <w:t xml:space="preserve">1. Rémi Brague, </w:t>
      </w:r>
      <w:r w:rsidRPr="00242A60">
        <w:rPr>
          <w:i/>
          <w:szCs w:val="28"/>
        </w:rPr>
        <w:t>The Wisdom of the World: The Human Experience of the Universe in Western Thought</w:t>
      </w:r>
      <w:r w:rsidRPr="00242A60">
        <w:rPr>
          <w:szCs w:val="28"/>
        </w:rPr>
        <w:t>, trans. Teresa Lavender Fagan (Chicago: University of Chicago Press, 2004), introduction and chap. 1.</w:t>
      </w:r>
    </w:p>
    <w:p w14:paraId="0FB3D637" w14:textId="77777777" w:rsidR="009F7E3A" w:rsidRPr="00242A60" w:rsidRDefault="009F7E3A">
      <w:pPr>
        <w:pStyle w:val="NoteEntry"/>
      </w:pPr>
      <w:r w:rsidRPr="00242A60">
        <w:rPr>
          <w:szCs w:val="28"/>
        </w:rPr>
        <w:t xml:space="preserve">2. Alexandre Koyré, </w:t>
      </w:r>
      <w:r w:rsidRPr="00242A60">
        <w:rPr>
          <w:i/>
          <w:szCs w:val="28"/>
        </w:rPr>
        <w:t>From the Closed World to the Infinite Universe</w:t>
      </w:r>
      <w:r w:rsidRPr="00242A60">
        <w:rPr>
          <w:szCs w:val="28"/>
        </w:rPr>
        <w:t xml:space="preserve"> (Baltimore: Johns Hopkins Press, 1957), viii and chaps. 1-2.</w:t>
      </w:r>
    </w:p>
    <w:p w14:paraId="012DB6F4" w14:textId="77777777" w:rsidR="009F7E3A" w:rsidRPr="00242A60" w:rsidRDefault="009F7E3A">
      <w:pPr>
        <w:pStyle w:val="NoteEntry"/>
      </w:pPr>
      <w:r w:rsidRPr="00242A60">
        <w:rPr>
          <w:szCs w:val="28"/>
        </w:rPr>
        <w:t xml:space="preserve">3. Francesca Rochberg, </w:t>
      </w:r>
      <w:r w:rsidRPr="00242A60">
        <w:rPr>
          <w:i/>
          <w:szCs w:val="28"/>
        </w:rPr>
        <w:t>Before Nature: Cuneiform Knowledge and the History of Science</w:t>
      </w:r>
      <w:r w:rsidRPr="00242A60">
        <w:rPr>
          <w:szCs w:val="28"/>
        </w:rPr>
        <w:t xml:space="preserve"> (Chicago: University of Chicago Press, 2016), introduction and chaps. 1-2.</w:t>
      </w:r>
    </w:p>
    <w:p w14:paraId="51D0603E" w14:textId="77777777" w:rsidR="009F7E3A" w:rsidRPr="00242A60" w:rsidRDefault="009F7E3A">
      <w:pPr>
        <w:pStyle w:val="NoteEntry"/>
      </w:pPr>
      <w:r w:rsidRPr="00242A60">
        <w:rPr>
          <w:szCs w:val="28"/>
        </w:rPr>
        <w:t xml:space="preserve">4. Francesca Rochberg, </w:t>
      </w:r>
      <w:r w:rsidRPr="00242A60">
        <w:rPr>
          <w:i/>
          <w:szCs w:val="28"/>
        </w:rPr>
        <w:t>Worldmaking and Cuneiform Antiquity: An Anthropology of Science</w:t>
      </w:r>
      <w:r w:rsidRPr="00242A60">
        <w:rPr>
          <w:szCs w:val="28"/>
        </w:rPr>
        <w:t xml:space="preserve"> (Cambridge: Cambridge University Press, 2024), 1-14, 105-32, 168-211.</w:t>
      </w:r>
    </w:p>
    <w:p w14:paraId="42090DCE" w14:textId="77777777" w:rsidR="009F7E3A" w:rsidRPr="00242A60" w:rsidRDefault="009F7E3A">
      <w:pPr>
        <w:pStyle w:val="NoteEntry"/>
      </w:pPr>
      <w:r w:rsidRPr="00242A60">
        <w:rPr>
          <w:szCs w:val="28"/>
        </w:rPr>
        <w:t xml:space="preserve">5. Philippe Descola, </w:t>
      </w:r>
      <w:r w:rsidRPr="00242A60">
        <w:rPr>
          <w:i/>
          <w:szCs w:val="28"/>
        </w:rPr>
        <w:t>Beyond Nature and Culture</w:t>
      </w:r>
      <w:r w:rsidRPr="00242A60">
        <w:rPr>
          <w:szCs w:val="28"/>
        </w:rPr>
        <w:t>, trans. Janet Lloyd (Chicago: University of Chicago Press, 2013), 3-31, 121-44.</w:t>
      </w:r>
    </w:p>
    <w:p w14:paraId="706370A0" w14:textId="77777777" w:rsidR="009F7E3A" w:rsidRPr="00242A60" w:rsidRDefault="009F7E3A">
      <w:pPr>
        <w:pStyle w:val="NoteEntry"/>
      </w:pPr>
      <w:r w:rsidRPr="00242A60">
        <w:rPr>
          <w:szCs w:val="28"/>
        </w:rPr>
        <w:t xml:space="preserve">6. Jan Assmann, </w:t>
      </w:r>
      <w:r w:rsidRPr="00242A60">
        <w:rPr>
          <w:i/>
          <w:szCs w:val="28"/>
        </w:rPr>
        <w:t>The Search for God in Ancient Egypt</w:t>
      </w:r>
      <w:r w:rsidRPr="00242A60">
        <w:rPr>
          <w:szCs w:val="28"/>
        </w:rPr>
        <w:t>, trans. David Lorton (Ithaca, NY: Cornell University Press, 2001), 7-13, 22-62, 113-46.</w:t>
      </w:r>
    </w:p>
    <w:p w14:paraId="31E48D55" w14:textId="77777777" w:rsidR="009F7E3A" w:rsidRPr="00242A60" w:rsidRDefault="009F7E3A">
      <w:pPr>
        <w:pStyle w:val="NoteEntry"/>
      </w:pPr>
      <w:r w:rsidRPr="00242A60">
        <w:rPr>
          <w:szCs w:val="28"/>
        </w:rPr>
        <w:t xml:space="preserve">7. Ernst Cassirer, </w:t>
      </w:r>
      <w:r w:rsidRPr="00242A60">
        <w:rPr>
          <w:i/>
          <w:szCs w:val="28"/>
        </w:rPr>
        <w:t>The Philosophy of Symbolic Forms</w:t>
      </w:r>
      <w:r w:rsidRPr="00242A60">
        <w:rPr>
          <w:szCs w:val="28"/>
        </w:rPr>
        <w:t xml:space="preserve">, vol. 2, </w:t>
      </w:r>
      <w:r w:rsidRPr="00242A60">
        <w:rPr>
          <w:i/>
          <w:szCs w:val="28"/>
        </w:rPr>
        <w:t>Mythical Thought</w:t>
      </w:r>
      <w:r w:rsidRPr="00242A60">
        <w:rPr>
          <w:szCs w:val="28"/>
        </w:rPr>
        <w:t>, trans. Ralph Manheim (New Haven: Yale University Press, 1955), 83-105.</w:t>
      </w:r>
    </w:p>
    <w:p w14:paraId="280EBC3D" w14:textId="77777777" w:rsidR="009F7E3A" w:rsidRPr="00242A60" w:rsidRDefault="009F7E3A">
      <w:pPr>
        <w:pStyle w:val="NoteEntry"/>
      </w:pPr>
      <w:r w:rsidRPr="00242A60">
        <w:rPr>
          <w:szCs w:val="28"/>
        </w:rPr>
        <w:t xml:space="preserve">8. Mircea Eliade, </w:t>
      </w:r>
      <w:r w:rsidRPr="00242A60">
        <w:rPr>
          <w:i/>
          <w:szCs w:val="28"/>
        </w:rPr>
        <w:t>The Sacred and the Profane: The Nature of Religion</w:t>
      </w:r>
      <w:r w:rsidRPr="00242A60">
        <w:rPr>
          <w:szCs w:val="28"/>
        </w:rPr>
        <w:t>, trans. Willard R. Trask (New York: Harcourt, Brace, 1959), 20-65, 68-113. Eliade’s comparative categories are used here as interpretive distinctions, not as uncontested descriptions of a universal “archaic” mentality.</w:t>
      </w:r>
    </w:p>
    <w:p w14:paraId="58583924" w14:textId="77777777" w:rsidR="009F7E3A" w:rsidRPr="00242A60" w:rsidRDefault="009F7E3A">
      <w:pPr>
        <w:pStyle w:val="NoteEntry"/>
      </w:pPr>
      <w:r w:rsidRPr="00242A60">
        <w:rPr>
          <w:szCs w:val="28"/>
        </w:rPr>
        <w:t xml:space="preserve">9. Catherine Bell, </w:t>
      </w:r>
      <w:r w:rsidRPr="00242A60">
        <w:rPr>
          <w:i/>
          <w:szCs w:val="28"/>
        </w:rPr>
        <w:t>Ritual Theory, Ritual Practice</w:t>
      </w:r>
      <w:r w:rsidRPr="00242A60">
        <w:rPr>
          <w:szCs w:val="28"/>
        </w:rPr>
        <w:t xml:space="preserve"> (New York: Oxford University Press, 1992), 69-93, 98-117, 169-223.</w:t>
      </w:r>
    </w:p>
    <w:p w14:paraId="4B94F0C5" w14:textId="77777777" w:rsidR="009F7E3A" w:rsidRPr="00242A60" w:rsidRDefault="009F7E3A">
      <w:pPr>
        <w:pStyle w:val="NoteEntry"/>
      </w:pPr>
      <w:r w:rsidRPr="00242A60">
        <w:rPr>
          <w:szCs w:val="28"/>
        </w:rPr>
        <w:t xml:space="preserve">10. Miriam Lichtheim, </w:t>
      </w:r>
      <w:r w:rsidRPr="00242A60">
        <w:rPr>
          <w:i/>
          <w:szCs w:val="28"/>
        </w:rPr>
        <w:t>Ancient Egyptian Literature: A Book of Readings</w:t>
      </w:r>
      <w:r w:rsidRPr="00242A60">
        <w:rPr>
          <w:szCs w:val="28"/>
        </w:rPr>
        <w:t xml:space="preserve">, vol. 1, </w:t>
      </w:r>
      <w:r w:rsidRPr="00242A60">
        <w:rPr>
          <w:i/>
          <w:szCs w:val="28"/>
        </w:rPr>
        <w:t>The Old and Middle Kingdoms</w:t>
      </w:r>
      <w:r w:rsidRPr="00242A60">
        <w:rPr>
          <w:szCs w:val="28"/>
        </w:rPr>
        <w:t xml:space="preserve"> (Berkeley: University of California Press, 1973), 58-80, 97-109, 135-63.</w:t>
      </w:r>
    </w:p>
    <w:p w14:paraId="2BE5957A" w14:textId="77777777" w:rsidR="009F7E3A" w:rsidRPr="00242A60" w:rsidRDefault="009F7E3A">
      <w:pPr>
        <w:pStyle w:val="NoteEntry"/>
      </w:pPr>
      <w:r w:rsidRPr="00242A60">
        <w:rPr>
          <w:szCs w:val="28"/>
        </w:rPr>
        <w:t xml:space="preserve">11. Jan Assmann, </w:t>
      </w:r>
      <w:r w:rsidRPr="00242A60">
        <w:rPr>
          <w:i/>
          <w:szCs w:val="28"/>
        </w:rPr>
        <w:t>The Mind of Egypt: History and Meaning in the Time of the Pharaohs</w:t>
      </w:r>
      <w:r w:rsidRPr="00242A60">
        <w:rPr>
          <w:szCs w:val="28"/>
        </w:rPr>
        <w:t>, trans. Andrew Jenkins (New York: Metropolitan Books, 2002), 3-18, 79-112, 126-47.</w:t>
      </w:r>
    </w:p>
    <w:p w14:paraId="21A42FFB" w14:textId="77777777" w:rsidR="009F7E3A" w:rsidRPr="00242A60" w:rsidRDefault="009F7E3A">
      <w:pPr>
        <w:pStyle w:val="NoteEntry"/>
      </w:pPr>
      <w:r w:rsidRPr="00242A60">
        <w:rPr>
          <w:szCs w:val="28"/>
        </w:rPr>
        <w:t xml:space="preserve">12. Aristotle, </w:t>
      </w:r>
      <w:r w:rsidRPr="00242A60">
        <w:rPr>
          <w:i/>
          <w:szCs w:val="28"/>
        </w:rPr>
        <w:t>Physics</w:t>
      </w:r>
      <w:r w:rsidRPr="00242A60">
        <w:rPr>
          <w:szCs w:val="28"/>
        </w:rPr>
        <w:t xml:space="preserve"> II.1 and II.8, in </w:t>
      </w:r>
      <w:r w:rsidRPr="00242A60">
        <w:rPr>
          <w:i/>
          <w:szCs w:val="28"/>
        </w:rPr>
        <w:t>The Complete Works of Aristotle: The Revised Oxford Translation</w:t>
      </w:r>
      <w:r w:rsidRPr="00242A60">
        <w:rPr>
          <w:szCs w:val="28"/>
        </w:rPr>
        <w:t>, ed. Jonathan Barnes, vol. 1 (Princeton, NJ: Princeton University Press, 1984), 192b8-23 and 198b10-199b33.</w:t>
      </w:r>
    </w:p>
    <w:p w14:paraId="32D16EAD" w14:textId="77777777" w:rsidR="009F7E3A" w:rsidRPr="00242A60" w:rsidRDefault="009F7E3A">
      <w:pPr>
        <w:pStyle w:val="NoteEntry"/>
      </w:pPr>
      <w:r w:rsidRPr="00242A60">
        <w:rPr>
          <w:szCs w:val="28"/>
        </w:rPr>
        <w:t xml:space="preserve">13. Cassirer, </w:t>
      </w:r>
      <w:r w:rsidRPr="00242A60">
        <w:rPr>
          <w:i/>
          <w:szCs w:val="28"/>
        </w:rPr>
        <w:t>Mythical Thought</w:t>
      </w:r>
      <w:r w:rsidRPr="00242A60">
        <w:rPr>
          <w:szCs w:val="28"/>
        </w:rPr>
        <w:t xml:space="preserve">, 29-82; Rochberg, </w:t>
      </w:r>
      <w:r w:rsidRPr="00242A60">
        <w:rPr>
          <w:i/>
          <w:szCs w:val="28"/>
        </w:rPr>
        <w:t>Worldmaking and Cuneiform Antiquity</w:t>
      </w:r>
      <w:r w:rsidRPr="00242A60">
        <w:rPr>
          <w:szCs w:val="28"/>
        </w:rPr>
        <w:t>, 105-32.</w:t>
      </w:r>
    </w:p>
    <w:p w14:paraId="278FA90F" w14:textId="77777777" w:rsidR="009F7E3A" w:rsidRPr="00242A60" w:rsidRDefault="009F7E3A">
      <w:pPr>
        <w:pStyle w:val="NoteEntry"/>
      </w:pPr>
      <w:r w:rsidRPr="00242A60">
        <w:rPr>
          <w:szCs w:val="28"/>
        </w:rPr>
        <w:t xml:space="preserve">14. Plato, </w:t>
      </w:r>
      <w:r w:rsidRPr="00242A60">
        <w:rPr>
          <w:i/>
          <w:szCs w:val="28"/>
        </w:rPr>
        <w:t>Timaeus</w:t>
      </w:r>
      <w:r w:rsidRPr="00242A60">
        <w:rPr>
          <w:szCs w:val="28"/>
        </w:rPr>
        <w:t xml:space="preserve"> 29d-30c and 37c-39e, trans. Donald J. Zeyl, in </w:t>
      </w:r>
      <w:r w:rsidRPr="00242A60">
        <w:rPr>
          <w:i/>
          <w:szCs w:val="28"/>
        </w:rPr>
        <w:t>Plato: Complete Works</w:t>
      </w:r>
      <w:r w:rsidRPr="00242A60">
        <w:rPr>
          <w:szCs w:val="28"/>
        </w:rPr>
        <w:t>, ed. John M. Cooper and D. S. Hutchinson (Indianapolis: Hackett, 1997).</w:t>
      </w:r>
    </w:p>
    <w:p w14:paraId="4D555F7E" w14:textId="77777777" w:rsidR="009F7E3A" w:rsidRPr="00242A60" w:rsidRDefault="009F7E3A">
      <w:pPr>
        <w:pStyle w:val="NoteEntry"/>
      </w:pPr>
      <w:r w:rsidRPr="00242A60">
        <w:rPr>
          <w:szCs w:val="28"/>
        </w:rPr>
        <w:t xml:space="preserve">15. Thorkild Jacobsen, </w:t>
      </w:r>
      <w:r w:rsidRPr="00242A60">
        <w:rPr>
          <w:i/>
          <w:szCs w:val="28"/>
        </w:rPr>
        <w:t>The Treasures of Darkness: A History of Mesopotamian Religion</w:t>
      </w:r>
      <w:r w:rsidRPr="00242A60">
        <w:rPr>
          <w:szCs w:val="28"/>
        </w:rPr>
        <w:t xml:space="preserve"> (New Haven: Yale University Press, 1976), 3-26, 73-116, 167-91. Jacobsen is used in conjunction with Rochberg because several of his developmental and phenomenological generalizations reflect an earlier stage of Assyriological interpretation.</w:t>
      </w:r>
    </w:p>
    <w:p w14:paraId="5F3D43B5" w14:textId="77777777" w:rsidR="009F7E3A" w:rsidRPr="00242A60" w:rsidRDefault="009F7E3A">
      <w:pPr>
        <w:pStyle w:val="NoteEntry"/>
      </w:pPr>
      <w:r w:rsidRPr="00242A60">
        <w:rPr>
          <w:szCs w:val="28"/>
        </w:rPr>
        <w:t xml:space="preserve">16. Pierre Hadot, </w:t>
      </w:r>
      <w:r w:rsidRPr="00242A60">
        <w:rPr>
          <w:i/>
          <w:szCs w:val="28"/>
        </w:rPr>
        <w:t>The Veil of Isis: An Essay on the History of the Idea of Nature</w:t>
      </w:r>
      <w:r w:rsidRPr="00242A60">
        <w:rPr>
          <w:szCs w:val="28"/>
        </w:rPr>
        <w:t>, trans. Michael Chase (Cambridge, MA: Harvard University Press, 2006), 17-39.</w:t>
      </w:r>
    </w:p>
    <w:p w14:paraId="4C5B55EA" w14:textId="77777777" w:rsidR="009F7E3A" w:rsidRPr="00242A60" w:rsidRDefault="009F7E3A" w:rsidP="008A25E6">
      <w:pPr>
        <w:pStyle w:val="NoteEntry"/>
      </w:pPr>
      <w:r w:rsidRPr="00242A60">
        <w:rPr>
          <w:szCs w:val="28"/>
        </w:rPr>
        <w:t xml:space="preserve">17. Alfred North Whitehead, </w:t>
      </w:r>
      <w:r w:rsidRPr="00242A60">
        <w:rPr>
          <w:i/>
          <w:szCs w:val="28"/>
        </w:rPr>
        <w:t>Science and the Modern World</w:t>
      </w:r>
      <w:r w:rsidRPr="00242A60">
        <w:rPr>
          <w:szCs w:val="28"/>
        </w:rPr>
        <w:t xml:space="preserve"> (Cambridge: Cambridge University Press, 1926), 68-94. Whitehead supplies retrospective conceptual framing rather than primary evidence for ancient cosmologies.</w:t>
      </w:r>
    </w:p>
    <w:p w14:paraId="66FBBFB5" w14:textId="77777777" w:rsidR="008A25E6" w:rsidRPr="00242A60" w:rsidRDefault="008A25E6" w:rsidP="008A25E6">
      <w:pPr>
        <w:pStyle w:val="ChapterHeading"/>
      </w:pPr>
      <w:bookmarkStart w:id="3" w:name="toc_chapter_2"/>
      <w:r>
        <w:rPr>
          <w:sz w:val="28"/>
        </w:rPr>
        <w:t>Chapter 2</w:t>
      </w:r>
      <w:r>
        <w:rPr>
          <w:sz w:val="28"/>
        </w:rPr>
        <w:br/>
      </w:r>
      <w:r>
        <w:t>Tablet, Temple, River, Sky</w:t>
      </w:r>
      <w:bookmarkEnd w:id="3"/>
    </w:p>
    <w:p w14:paraId="62F66A74" w14:textId="77777777" w:rsidR="008A25E6" w:rsidRPr="00242A60" w:rsidRDefault="008A25E6" w:rsidP="008A25E6">
      <w:pPr>
        <w:pStyle w:val="SectionHeading"/>
      </w:pPr>
      <w:r w:rsidRPr="00242A60">
        <w:rPr>
          <w:bCs/>
          <w:szCs w:val="28"/>
        </w:rPr>
        <w:t>A Tablet Made to Outlast the Night</w:t>
      </w:r>
    </w:p>
    <w:p w14:paraId="225ECCF8" w14:textId="77777777" w:rsidR="008A25E6" w:rsidRPr="00242A60" w:rsidRDefault="008A25E6" w:rsidP="008A25E6">
      <w:pPr>
        <w:pStyle w:val="BookBody"/>
      </w:pPr>
      <w:r w:rsidRPr="00242A60">
        <w:rPr>
          <w:szCs w:val="28"/>
        </w:rPr>
        <w:t>Begin with an object small enough to hold in two hands. A clay tablet is not the sky, and its wedge-shaped signs do not resemble the lights that cross the sky. Yet the tablet makes a celestial event portable. Clay receives a sequence of marks while damp, hardens, survives the death of its writer, and can be copied by someone who never saw the event first recorded. A star that rose once above a particular horizon can thereby enter a series. A lunar eclipse can be joined to other eclipses, classified by the portion of the disk darkened, the direction in which the shadow advances, the watch of the night, the month, and the events thought to follow. Observation becomes durable because an earthly material is trained to remember heaven.</w:t>
      </w:r>
    </w:p>
    <w:p w14:paraId="29E9FDFE" w14:textId="77777777" w:rsidR="008A25E6" w:rsidRPr="00242A60" w:rsidRDefault="008A25E6" w:rsidP="008A25E6">
      <w:pPr>
        <w:pStyle w:val="BookBody"/>
      </w:pPr>
      <w:r w:rsidRPr="00242A60">
        <w:rPr>
          <w:szCs w:val="28"/>
        </w:rPr>
        <w:t>The object is also a warning against a familiar story. According to that story, ancient observers slowly accumulated facts while priests and diviners surrounded those facts with superstition. Astronomy began when the reliable observations were finally separated from the meanings imposed upon them. Something important did separate over the centuries, and the mathematical astronomy of later Babylonia cannot simply be identified with celestial omen interpretation. But the clean division of objective record from superstitious addition is ours, not theirs. The tablet belonged to a learned field in which observation, writing, number, precedent, divine sign, political danger, and ritual response could be parts of one practice.</w:t>
      </w:r>
      <w:r w:rsidRPr="00242A60">
        <w:rPr>
          <w:szCs w:val="28"/>
          <w:vertAlign w:val="superscript"/>
        </w:rPr>
        <w:t>1</w:t>
      </w:r>
    </w:p>
    <w:p w14:paraId="10C1C015" w14:textId="77777777" w:rsidR="008A25E6" w:rsidRPr="00242A60" w:rsidRDefault="008A25E6" w:rsidP="008A25E6">
      <w:pPr>
        <w:pStyle w:val="BookBody"/>
      </w:pPr>
      <w:r w:rsidRPr="00242A60">
        <w:rPr>
          <w:szCs w:val="28"/>
        </w:rPr>
        <w:t>This was neither credulity without method nor modern science in religious clothing. It was another organization of knowledge. The sky did not stand over against society as an autonomous nature whose motions were real while their political or divine significance was cultural. Celestial phenomena could be precisely distinguished because they mattered. Their recurrence invited ordering; their anomalies demanded interpretation. Accuracy and significance did not cancel one another. A scribe could care whether an eclipse began in the east or west because the difference belonged to the identity of the sign and to the judgment that followed from it.</w:t>
      </w:r>
    </w:p>
    <w:p w14:paraId="73F2B20E" w14:textId="77777777" w:rsidR="008A25E6" w:rsidRPr="00242A60" w:rsidRDefault="008A25E6" w:rsidP="008A25E6">
      <w:pPr>
        <w:pStyle w:val="BookBody"/>
      </w:pPr>
      <w:r w:rsidRPr="00242A60">
        <w:rPr>
          <w:szCs w:val="28"/>
        </w:rPr>
        <w:t xml:space="preserve">The chapter therefore begins before the Greek </w:t>
      </w:r>
      <w:r w:rsidRPr="00242A60">
        <w:rPr>
          <w:i/>
          <w:szCs w:val="28"/>
        </w:rPr>
        <w:t>kosmos</w:t>
      </w:r>
      <w:r w:rsidRPr="00242A60">
        <w:rPr>
          <w:szCs w:val="28"/>
        </w:rPr>
        <w:t>, but not before disciplined attention. Mesopotamia and Egypt developed long traditions of celestial and calendrical knowledge without first constructing the same object called nature. Their practices were materially grounded in different landscapes and institutions: clay and cuneiform archives in the river cities of Mesopotamia; papyrus, stone, temple service, Nile rhythms, multiple calendars, and stellar timekeeping in Egypt. Neither civilization was internally uniform, and neither remained unchanged across millennia. “Mesopotamian” and “Egyptian” identify historical families of practices, not two timeless minds.</w:t>
      </w:r>
    </w:p>
    <w:p w14:paraId="40A5A76A" w14:textId="77777777" w:rsidR="008A25E6" w:rsidRPr="00242A60" w:rsidRDefault="008A25E6" w:rsidP="008A25E6">
      <w:pPr>
        <w:pStyle w:val="BookBody"/>
      </w:pPr>
      <w:r w:rsidRPr="00242A60">
        <w:rPr>
          <w:szCs w:val="28"/>
        </w:rPr>
        <w:t>Nor should they be merged into a single “ancient worldview.” Mesopotamian celestial divination became unusually explicit in conditional omen series and royal reports. Egyptian astronomical knowledge was more often distributed through calendars, timekeeping tables, priestly titles, mortuary and temple decoration, festival schedules, landscape orientation, and the maintenance of Ma’at. The differences matter more than a loose similarity. What they share is negative but decisive: neither required the modern nature-culture division in order to observe recurring phenomena with rigor.</w:t>
      </w:r>
    </w:p>
    <w:p w14:paraId="2E146FBD" w14:textId="77777777" w:rsidR="008A25E6" w:rsidRPr="00242A60" w:rsidRDefault="008A25E6" w:rsidP="008A25E6">
      <w:pPr>
        <w:pStyle w:val="BookBody"/>
      </w:pPr>
      <w:r w:rsidRPr="00242A60">
        <w:rPr>
          <w:szCs w:val="28"/>
        </w:rPr>
        <w:t>The clay tablet is our first material witness because it holds these claims together. It is a physical thing shaped by hand, an administrative and scholarly technology, a bearer of trained perception, and a node in institutional authority. Its marks can preserve what happened, what was expected, what it meant, and what should be done. The categories separate for us as soon as the sentence is written. On the tablet, they could remain one field of consequence.</w:t>
      </w:r>
    </w:p>
    <w:p w14:paraId="610F8485" w14:textId="77777777" w:rsidR="008A25E6" w:rsidRPr="00242A60" w:rsidRDefault="008A25E6" w:rsidP="008A25E6">
      <w:pPr>
        <w:pStyle w:val="SectionHeading"/>
      </w:pPr>
      <w:r w:rsidRPr="00242A60">
        <w:rPr>
          <w:bCs/>
          <w:szCs w:val="28"/>
        </w:rPr>
        <w:t>Two Rivers, Two Historical Orders</w:t>
      </w:r>
    </w:p>
    <w:p w14:paraId="2B5BBA82" w14:textId="77777777" w:rsidR="008A25E6" w:rsidRPr="00242A60" w:rsidRDefault="008A25E6" w:rsidP="008A25E6">
      <w:pPr>
        <w:pStyle w:val="BookBody"/>
      </w:pPr>
      <w:r w:rsidRPr="00242A60">
        <w:rPr>
          <w:szCs w:val="28"/>
        </w:rPr>
        <w:t>The rivers tempt comparison. The Tigris and Euphrates cross the alluvial plain of southern Mesopotamia; the Nile cuts a fertile corridor through desert and opens into its delta. Both river systems made settled agriculture possible on a scale capable of supporting cities, temples, specialists, and states. Both demanded coordination, memory, and responses to seasonal change. Yet the rivers did not impose identical civilizations. Environment conditions practice; it does not write cosmology by itself.</w:t>
      </w:r>
    </w:p>
    <w:p w14:paraId="790EDF0C" w14:textId="77777777" w:rsidR="008A25E6" w:rsidRPr="00242A60" w:rsidRDefault="008A25E6" w:rsidP="008A25E6">
      <w:pPr>
        <w:pStyle w:val="BookBody"/>
      </w:pPr>
      <w:r w:rsidRPr="00242A60">
        <w:rPr>
          <w:szCs w:val="28"/>
        </w:rPr>
        <w:t>In southern Mesopotamia, water was distributed through changing channels, canals, levees, fields, and settlements whose political relations repeatedly shifted. Susan Pollock’s archaeological account is valuable precisely because it replaces an “Eden” of natural abundance with landscapes made through labor. Irrigation, cultivation, craft production, household organization, temple institutions, and political power altered one another. Urban life did not arise from a single hydraulic command, and temples were not merely religious buildings standing beside an otherwise economic society. They could be great households, employers, landholders, storehouses, ritual centers, and monumental claims about the city’s relation to its gods.</w:t>
      </w:r>
      <w:r w:rsidRPr="00242A60">
        <w:rPr>
          <w:szCs w:val="28"/>
          <w:vertAlign w:val="superscript"/>
        </w:rPr>
        <w:t>2</w:t>
      </w:r>
    </w:p>
    <w:p w14:paraId="4A8FB6AF" w14:textId="77777777" w:rsidR="008A25E6" w:rsidRPr="00242A60" w:rsidRDefault="008A25E6" w:rsidP="008A25E6">
      <w:pPr>
        <w:pStyle w:val="BookBody"/>
      </w:pPr>
      <w:r w:rsidRPr="00242A60">
        <w:rPr>
          <w:szCs w:val="28"/>
        </w:rPr>
        <w:t>The cuneiform tradition developed within this manufactured alluvium. Clay was plentiful. Reeds supplied tools. Tablets moved through households, schools, temples, and palaces. Writing classified commodities, persons, labor, land, offerings, lexical knowledge, ritual procedures, medical diagnoses, and celestial signs. The same medium could carry an account, a hymn, an omen, a mathematical exercise, or a report to the king. This does not make the contents indistinguishable. It makes their separation into “material” and “symbolic” sectors inadequate to the archive that preserves them.</w:t>
      </w:r>
    </w:p>
    <w:p w14:paraId="06604400" w14:textId="77777777" w:rsidR="008A25E6" w:rsidRPr="00242A60" w:rsidRDefault="008A25E6" w:rsidP="008A25E6">
      <w:pPr>
        <w:pStyle w:val="BookBody"/>
      </w:pPr>
      <w:r w:rsidRPr="00242A60">
        <w:rPr>
          <w:szCs w:val="28"/>
        </w:rPr>
        <w:t>The Nile established another pattern. Its annual rise, before modern dams, spread water and sediment over the floodplain. The contrast between dark cultivable land and desert could be abrupt; the river joined Upper and Lower Egypt while the valley and delta preserved distinct geographies. Flood, emergence, growth, harvest, and renewed flood offered strong rhythms, but the height and local effect of inundation varied. Agricultural abundance was not automatic. It required labor, storage, administration, and political distribution, and it remained vulnerable to inadequate or excessive water.</w:t>
      </w:r>
      <w:r w:rsidRPr="00242A60">
        <w:rPr>
          <w:szCs w:val="28"/>
          <w:vertAlign w:val="superscript"/>
        </w:rPr>
        <w:t>3</w:t>
      </w:r>
    </w:p>
    <w:p w14:paraId="361D611C" w14:textId="77777777" w:rsidR="008A25E6" w:rsidRPr="00242A60" w:rsidRDefault="008A25E6" w:rsidP="008A25E6">
      <w:pPr>
        <w:pStyle w:val="BookBody"/>
      </w:pPr>
      <w:r w:rsidRPr="00242A60">
        <w:rPr>
          <w:szCs w:val="28"/>
        </w:rPr>
        <w:t>Egyptian kingship made the joining of land and order especially visible. The king was not simply a manager whose ideology decorated irrigation. Nor can every canal be credited to a centralized state. The deeper claim was that effective rule, cultic service, justice, agricultural prosperity, divine favor, and the maintenance of Ma’at belonged to an encompassing order. Monumental architecture and temple estates materialized that claim while depending upon unequal distributions of labor and resources. Cosmic order was never apart from political economy.</w:t>
      </w:r>
    </w:p>
    <w:p w14:paraId="20232FFD" w14:textId="77777777" w:rsidR="008A25E6" w:rsidRPr="00242A60" w:rsidRDefault="008A25E6" w:rsidP="008A25E6">
      <w:pPr>
        <w:pStyle w:val="BookBody"/>
      </w:pPr>
      <w:r w:rsidRPr="00242A60">
        <w:rPr>
          <w:szCs w:val="28"/>
        </w:rPr>
        <w:t>The two regions also preserved knowledge differently. Mesopotamian astral scholarship survives through a vast cuneiform corpus whose genres can be compared across copies and centuries. Egyptian evidence is more scattered across monumental inscriptions, coffins, tomb ceilings, papyri, instruments, titles, administrative texts, and later temple traditions. The difference in survival can create a false contrast: systematic Mesopotamian science against symbolic Egyptian religion. In reality, the archives expose different institutions and accidents of preservation. Egypt had trained observers and timekeepers; Mesopotamia had temples, rituals, and architectural orientations. The question is not which civilization was more rational. It is how each made regularity, order, and authority durable.</w:t>
      </w:r>
    </w:p>
    <w:p w14:paraId="00F4B4F6" w14:textId="77777777" w:rsidR="008A25E6" w:rsidRPr="00242A60" w:rsidRDefault="008A25E6" w:rsidP="008A25E6">
      <w:pPr>
        <w:pStyle w:val="BookBody"/>
      </w:pPr>
      <w:r w:rsidRPr="00242A60">
        <w:rPr>
          <w:szCs w:val="28"/>
        </w:rPr>
        <w:t>This chapter will therefore cross the desert between the two river systems only once. The Mesopotamian half follows the tablet from omen series to compendium and diary. The Egyptian half follows the river through calendars, decans, temple orientations, and Ma’at. Comparison will come only after each organization has been allowed to acquire its own shape.</w:t>
      </w:r>
    </w:p>
    <w:p w14:paraId="46CEEFBF" w14:textId="77777777" w:rsidR="008A25E6" w:rsidRPr="00242A60" w:rsidRDefault="008A25E6" w:rsidP="008A25E6">
      <w:pPr>
        <w:pStyle w:val="SectionHeading"/>
      </w:pPr>
      <w:r w:rsidRPr="00242A60">
        <w:rPr>
          <w:bCs/>
          <w:szCs w:val="28"/>
        </w:rPr>
        <w:t>The Scribal Instrument</w:t>
      </w:r>
    </w:p>
    <w:p w14:paraId="0BD05CF0" w14:textId="77777777" w:rsidR="008A25E6" w:rsidRPr="00242A60" w:rsidRDefault="008A25E6" w:rsidP="008A25E6">
      <w:pPr>
        <w:pStyle w:val="BookBody"/>
      </w:pPr>
      <w:r w:rsidRPr="00242A60">
        <w:rPr>
          <w:szCs w:val="28"/>
        </w:rPr>
        <w:t>Before a tablet could counsel a king, a scribe had to learn to make signs. Cuneiform scholarship was an embodied discipline: clay preparation, stylus pressure, sign forms, languages, lists, copying, memorization, correction, and the handling of inherited series. The scholar did not face a raw sky and begin science from unaided experience. He entered an archive that taught him what differences to see.</w:t>
      </w:r>
    </w:p>
    <w:p w14:paraId="538A2D5E" w14:textId="77777777" w:rsidR="008A25E6" w:rsidRPr="00242A60" w:rsidRDefault="008A25E6" w:rsidP="008A25E6">
      <w:pPr>
        <w:pStyle w:val="BookBody"/>
      </w:pPr>
      <w:r w:rsidRPr="00242A60">
        <w:rPr>
          <w:szCs w:val="28"/>
        </w:rPr>
        <w:t>Lexical lists provide the elementary model. They arranged words, signs, objects, professions, plants, stones, animals, cities, and divine names in ordered sequences. Copying such lists transmitted vocabulary, but it also trained classification. The world became legible through relations stabilized on tablets. Astral learning extended this disposition. A novice inherited names of celestial bodies, divisions of the sky, characteristic appearances, canonical omens, schemes of rising and setting, rules, and procedures. Observation took place inside a learned field.</w:t>
      </w:r>
    </w:p>
    <w:p w14:paraId="76FB423E" w14:textId="77777777" w:rsidR="008A25E6" w:rsidRPr="00242A60" w:rsidRDefault="008A25E6" w:rsidP="008A25E6">
      <w:pPr>
        <w:pStyle w:val="BookBody"/>
      </w:pPr>
      <w:r w:rsidRPr="00242A60">
        <w:rPr>
          <w:szCs w:val="28"/>
        </w:rPr>
        <w:t>This mediation does not make the observation unreal. Every developed science trains perception. A radiologist learns to see distinctions in an image that remain invisible to an untrained viewer. A field biologist learns which variation matters. The relevant historical difference lies in the relations the training authorized. Mesopotamian celestial scholars could treat a phenomenon both as an event to be described and as a sign whose implications had been organized through precedent, analogy, systematic extension, and commentary.</w:t>
      </w:r>
    </w:p>
    <w:p w14:paraId="20292F39" w14:textId="77777777" w:rsidR="008A25E6" w:rsidRPr="00242A60" w:rsidRDefault="008A25E6" w:rsidP="008A25E6">
      <w:pPr>
        <w:pStyle w:val="BookBody"/>
      </w:pPr>
      <w:r w:rsidRPr="00242A60">
        <w:rPr>
          <w:szCs w:val="28"/>
        </w:rPr>
        <w:t>Francesca Rochberg emphasizes that the modern terms “astronomy” and “astrology” have no simple native counterparts in the Akkadian evidence. Modern scholarship can use the words descriptively—distinguishing texts that forecast mundane events from those that do not—provided the distinction is not mistaken for an ancient boundary between science and magic.</w:t>
      </w:r>
      <w:r w:rsidRPr="00242A60">
        <w:rPr>
          <w:szCs w:val="28"/>
          <w:vertAlign w:val="superscript"/>
        </w:rPr>
        <w:t>4</w:t>
      </w:r>
      <w:r w:rsidRPr="00242A60">
        <w:rPr>
          <w:szCs w:val="28"/>
        </w:rPr>
        <w:t xml:space="preserve"> The scribal corpus itself moves across what our disciplines separate. Celestial omens, observational reports, calendars, star lists, horoscopes, almanacs, mathematical procedures, and diaries were not one genre, but they belonged to overlapping scholarly lineages.</w:t>
      </w:r>
    </w:p>
    <w:p w14:paraId="67056A5B" w14:textId="77777777" w:rsidR="008A25E6" w:rsidRPr="00242A60" w:rsidRDefault="008A25E6" w:rsidP="008A25E6">
      <w:pPr>
        <w:pStyle w:val="BookBody"/>
      </w:pPr>
      <w:r w:rsidRPr="00242A60">
        <w:rPr>
          <w:szCs w:val="28"/>
        </w:rPr>
        <w:t>The scholar was therefore an instrument in two senses. He used devices and records, but his trained body was itself part of the apparatus. He watched from a location, identified a star by relation to others, divided the night into watches, judged visibility, and converted appearance into written form. Instruments do not eliminate judgment. They stabilize it. A sighting becomes transmissible when conventions determine how to state what was seen.</w:t>
      </w:r>
    </w:p>
    <w:p w14:paraId="55CE1E4B" w14:textId="77777777" w:rsidR="008A25E6" w:rsidRPr="00242A60" w:rsidRDefault="008A25E6" w:rsidP="008A25E6">
      <w:pPr>
        <w:pStyle w:val="BookBody"/>
      </w:pPr>
      <w:r w:rsidRPr="00242A60">
        <w:rPr>
          <w:szCs w:val="28"/>
        </w:rPr>
        <w:t>The tablet then disciplines memory. Oral recollection bends easily toward later events; a written record can preserve an inconvenient difference. But writing does not guarantee neutrality. Series arrange entries, select categories, and extend patterns beyond witnessed cases. Some omen protases describe impossible or highly schematic events. Hunger and Pingree note that systematic series could fill gaps by constructing possibilities according to organizing principles.</w:t>
      </w:r>
      <w:r w:rsidRPr="00242A60">
        <w:rPr>
          <w:szCs w:val="28"/>
          <w:vertAlign w:val="superscript"/>
        </w:rPr>
        <w:t>5</w:t>
      </w:r>
      <w:r w:rsidRPr="00242A60">
        <w:rPr>
          <w:szCs w:val="28"/>
        </w:rPr>
        <w:t xml:space="preserve"> The archive contains observation, inheritance, extrapolation, and learned completeness. Its authority depends on all four.</w:t>
      </w:r>
    </w:p>
    <w:p w14:paraId="5F6CF90A" w14:textId="77777777" w:rsidR="008A25E6" w:rsidRPr="00242A60" w:rsidRDefault="008A25E6" w:rsidP="008A25E6">
      <w:pPr>
        <w:pStyle w:val="BookBody"/>
      </w:pPr>
      <w:r w:rsidRPr="00242A60">
        <w:rPr>
          <w:szCs w:val="28"/>
        </w:rPr>
        <w:t>This mixture has often been taken as evidence that Babylonian knowledge had not yet learned the difference between fact and fantasy. That judgment assumes that the omen series was trying and failing to become an observational database. It was doing something broader. The series aimed to order possible signs and their consequences. An impossible eclipse date could still occupy a logical position within a system. The value of the entry was classificatory, exegetical, or analogical rather than documentary.</w:t>
      </w:r>
    </w:p>
    <w:p w14:paraId="729ACDA5" w14:textId="77777777" w:rsidR="008A25E6" w:rsidRPr="00242A60" w:rsidRDefault="008A25E6" w:rsidP="008A25E6">
      <w:pPr>
        <w:pStyle w:val="BookBody"/>
      </w:pPr>
      <w:r w:rsidRPr="00242A60">
        <w:rPr>
          <w:szCs w:val="28"/>
        </w:rPr>
        <w:t>Yet the presence of constructed cases does not license the opposite romantic claim that correspondence mattered more than accuracy. Royal scholars disputed reports, checked whether a phenomenon had occurred, cited tablets, and distinguished cloud from eclipse or expected from actual event. Their letters reveal an anxious practical intelligence. A sign incorrectly identified could misdirect the court. Precision mattered because interpretation had consequences.</w:t>
      </w:r>
    </w:p>
    <w:p w14:paraId="37D02B0D" w14:textId="77777777" w:rsidR="008A25E6" w:rsidRPr="00242A60" w:rsidRDefault="008A25E6" w:rsidP="008A25E6">
      <w:pPr>
        <w:pStyle w:val="BookBody"/>
      </w:pPr>
      <w:r w:rsidRPr="00242A60">
        <w:rPr>
          <w:szCs w:val="28"/>
        </w:rPr>
        <w:t>The scribal instrument thus joins what later histories separate: observation and tradition, perception and text, description and advice. Knowledge is neither a mirror of the sky nor a free symbolic construction. It is a material practice through which a sky becomes available as a field of learned differences.</w:t>
      </w:r>
    </w:p>
    <w:p w14:paraId="48107228" w14:textId="77777777" w:rsidR="008A25E6" w:rsidRPr="00242A60" w:rsidRDefault="008A25E6" w:rsidP="008A25E6">
      <w:pPr>
        <w:pStyle w:val="SectionHeading"/>
      </w:pPr>
      <w:r w:rsidRPr="00242A60">
        <w:rPr>
          <w:bCs/>
          <w:szCs w:val="28"/>
        </w:rPr>
        <w:t>If This, Then That</w:t>
      </w:r>
    </w:p>
    <w:p w14:paraId="39F8399B" w14:textId="77777777" w:rsidR="008A25E6" w:rsidRPr="00242A60" w:rsidRDefault="008A25E6" w:rsidP="008A25E6">
      <w:pPr>
        <w:pStyle w:val="BookBody"/>
      </w:pPr>
      <w:r w:rsidRPr="00242A60">
        <w:rPr>
          <w:szCs w:val="28"/>
        </w:rPr>
        <w:t>The characteristic grammar of Mesopotamian omens is conditional: if a specified event occurs, then a specified consequence follows. The first clause, or protasis, identifies the sign; the second, or apodosis, states its implication. Celestial omens might concern the king, the land, an enemy, harvest, flood, disease, revolt, or war. The formula can look like an elementary law of nature, but it should not be read as one.</w:t>
      </w:r>
    </w:p>
    <w:p w14:paraId="02C6B752" w14:textId="77777777" w:rsidR="008A25E6" w:rsidRPr="00242A60" w:rsidRDefault="008A25E6" w:rsidP="008A25E6">
      <w:pPr>
        <w:pStyle w:val="BookBody"/>
      </w:pPr>
      <w:r w:rsidRPr="00242A60">
        <w:rPr>
          <w:szCs w:val="28"/>
        </w:rPr>
        <w:t>A modern causal law relates events through a regularity expected to hold independently of political meaning. The omen did not necessarily claim that an eclipse physically produced a military defeat. The celestial event was a sign within a divinely articulated order. Its relation to what followed could be understood through divine communication, precedent, analogy, textual authority, or a conjunction of these. The heavens were “writing” not because stars formed literal sentences but because their configurations could be read by authorized scholarship.</w:t>
      </w:r>
      <w:r w:rsidRPr="00242A60">
        <w:rPr>
          <w:szCs w:val="28"/>
          <w:vertAlign w:val="superscript"/>
        </w:rPr>
        <w:t>6</w:t>
      </w:r>
    </w:p>
    <w:p w14:paraId="1C736742" w14:textId="77777777" w:rsidR="008A25E6" w:rsidRPr="00242A60" w:rsidRDefault="008A25E6" w:rsidP="008A25E6">
      <w:pPr>
        <w:pStyle w:val="BookBody"/>
      </w:pPr>
      <w:r w:rsidRPr="00242A60">
        <w:rPr>
          <w:szCs w:val="28"/>
        </w:rPr>
        <w:t>The distinction between sign and cause prevents two errors. One is to ridicule diviners for lacking a mechanism by which the Moon could force a kingdom to fall. The other is to redescribe every omen as empirical correlation. Neither matches the practice. A sign can announce without efficiently causing, and an omen series can contain observations without deriving every relation from counted frequencies.</w:t>
      </w:r>
    </w:p>
    <w:p w14:paraId="124D17BD" w14:textId="77777777" w:rsidR="008A25E6" w:rsidRPr="00242A60" w:rsidRDefault="008A25E6" w:rsidP="008A25E6">
      <w:pPr>
        <w:pStyle w:val="BookBody"/>
      </w:pPr>
      <w:r w:rsidRPr="00242A60">
        <w:rPr>
          <w:szCs w:val="28"/>
        </w:rPr>
        <w:t>Omen knowledge also differed from deterministic fate. Hunger and Pingree stress that announced evils were not simply unavoidable. Rituals could address dangerous signs; the god Ea, associated with wisdom and the ordering of omens, could also be associated with means of averting their consequences.</w:t>
      </w:r>
      <w:r w:rsidRPr="00242A60">
        <w:rPr>
          <w:szCs w:val="28"/>
          <w:vertAlign w:val="superscript"/>
        </w:rPr>
        <w:t>7</w:t>
      </w:r>
      <w:r w:rsidRPr="00242A60">
        <w:rPr>
          <w:szCs w:val="28"/>
        </w:rPr>
        <w:t xml:space="preserve"> The period of an omen’s validity could be limited. Further observations could modify a judgment. The sign created a demand for counsel and action, not always passive submission.</w:t>
      </w:r>
    </w:p>
    <w:p w14:paraId="32946017" w14:textId="77777777" w:rsidR="008A25E6" w:rsidRPr="00242A60" w:rsidRDefault="008A25E6" w:rsidP="008A25E6">
      <w:pPr>
        <w:pStyle w:val="BookBody"/>
      </w:pPr>
      <w:r w:rsidRPr="00242A60">
        <w:rPr>
          <w:szCs w:val="28"/>
        </w:rPr>
        <w:t>This is especially clear in the Assyrian royal correspondence of the first millennium BCE. Scholars reported celestial appearances to the king, quoted or paraphrased relevant omens, compared interpretations, and sometimes reassured him that a sign applied elsewhere or that protective measures were available. Knowledge traveled toward sovereignty. The court gathered specialists because the sky’s public significance required trained adjudication.</w:t>
      </w:r>
    </w:p>
    <w:p w14:paraId="01370F34" w14:textId="77777777" w:rsidR="008A25E6" w:rsidRPr="00242A60" w:rsidRDefault="008A25E6" w:rsidP="008A25E6">
      <w:pPr>
        <w:pStyle w:val="BookBody"/>
      </w:pPr>
      <w:r w:rsidRPr="00242A60">
        <w:rPr>
          <w:szCs w:val="28"/>
        </w:rPr>
        <w:t>The relation was not politically innocent. A system that made celestial anomalies relevant to kingship increased the importance of those licensed to read them. It could focus fear upon royal survival and turn extraordinary events into matters of state. The famous substitute-king ritual, used in response to certain dangerous eclipse omens, exposes the unequal body beneath the cosmic office: another person could temporarily bear the threatened royal identity and its mortal risk. Cosmic maintenance distributed danger through hierarchy.</w:t>
      </w:r>
    </w:p>
    <w:p w14:paraId="384EDDE3" w14:textId="77777777" w:rsidR="008A25E6" w:rsidRPr="00242A60" w:rsidRDefault="008A25E6" w:rsidP="008A25E6">
      <w:pPr>
        <w:pStyle w:val="BookBody"/>
      </w:pPr>
      <w:r w:rsidRPr="00242A60">
        <w:rPr>
          <w:szCs w:val="28"/>
        </w:rPr>
        <w:t>Still, the scholars were not mere manufacturers of legitimacy. Their reports could convey unwelcome news. Textual precedent constrained what they might plausibly claim. Rival readings and failed sightings made judgment visible. The king depended upon an expertise that served him but was not reducible to his wish. Authority moved in both directions: royal institutions supported scholarship, while scholarship interpreted conditions under which royal action became intelligible.</w:t>
      </w:r>
    </w:p>
    <w:p w14:paraId="44A31672" w14:textId="77777777" w:rsidR="008A25E6" w:rsidRPr="00242A60" w:rsidRDefault="008A25E6" w:rsidP="008A25E6">
      <w:pPr>
        <w:pStyle w:val="BookBody"/>
      </w:pPr>
      <w:r w:rsidRPr="00242A60">
        <w:rPr>
          <w:szCs w:val="28"/>
        </w:rPr>
        <w:t>Conditional form gave this practice a durable architecture. It separated observation from consequence enough for both to be compared while preserving their connection. A protasis could recur with different apodoses in variant traditions. Commentaries could explain obscure terms. Reports could identify only part of a canonical omen. The written relation became an object of further scholarship.</w:t>
      </w:r>
    </w:p>
    <w:p w14:paraId="3FA0F592" w14:textId="77777777" w:rsidR="008A25E6" w:rsidRPr="00242A60" w:rsidRDefault="008A25E6" w:rsidP="008A25E6">
      <w:pPr>
        <w:pStyle w:val="BookBody"/>
      </w:pPr>
      <w:r w:rsidRPr="00242A60">
        <w:rPr>
          <w:szCs w:val="28"/>
        </w:rPr>
        <w:t>That object was not “superstition” surrounding a scientific kernel. It was a technical form of political theology. The sky, divine agency, inherited text, learned observation, and royal decision met in the conditional. Its truth claims must not be accepted merely because they were disciplined. But their discipline must be understood before their claims are judged.</w:t>
      </w:r>
    </w:p>
    <w:p w14:paraId="1CF9B9EF" w14:textId="77777777" w:rsidR="008A25E6" w:rsidRPr="00242A60" w:rsidRDefault="008A25E6" w:rsidP="008A25E6">
      <w:pPr>
        <w:pStyle w:val="SectionHeading"/>
      </w:pPr>
      <w:r w:rsidRPr="00242A60">
        <w:rPr>
          <w:bCs/>
          <w:szCs w:val="28"/>
        </w:rPr>
        <w:t>Counsel, Not Clockwork</w:t>
      </w:r>
    </w:p>
    <w:p w14:paraId="335EBBC6" w14:textId="77777777" w:rsidR="008A25E6" w:rsidRPr="00242A60" w:rsidRDefault="008A25E6" w:rsidP="008A25E6">
      <w:pPr>
        <w:pStyle w:val="BookBody"/>
      </w:pPr>
      <w:r w:rsidRPr="00242A60">
        <w:rPr>
          <w:szCs w:val="28"/>
        </w:rPr>
        <w:t>The most misleading modern image of divination is a machine for foretelling a fixed future. Enter the sign, receive the event. Mesopotamian practice was more juridical and advisory. A phenomenon had to be identified, located within a textual tradition, related to current circumstances, weighed against other signs, and converted into counsel. Divination was not the opposite of decision. It was one institution through which decisions were prepared.</w:t>
      </w:r>
    </w:p>
    <w:p w14:paraId="54566C60" w14:textId="77777777" w:rsidR="008A25E6" w:rsidRPr="00242A60" w:rsidRDefault="008A25E6" w:rsidP="008A25E6">
      <w:pPr>
        <w:pStyle w:val="BookBody"/>
      </w:pPr>
      <w:r w:rsidRPr="00242A60">
        <w:rPr>
          <w:szCs w:val="28"/>
        </w:rPr>
        <w:t>The difference matters because prediction now often means a statement tested by whether a specified event occurs at a specified time. An omen apodosis might name an event without supplying such precision. Its relevance could depend upon region, ruler, direction, color, month, duration, and the duration of the omen’s force. Interpretive latitude was real. So were procedures for narrowing it.</w:t>
      </w:r>
    </w:p>
    <w:p w14:paraId="128889BA" w14:textId="77777777" w:rsidR="008A25E6" w:rsidRPr="00242A60" w:rsidRDefault="008A25E6" w:rsidP="008A25E6">
      <w:pPr>
        <w:pStyle w:val="BookBody"/>
      </w:pPr>
      <w:r w:rsidRPr="00242A60">
        <w:rPr>
          <w:szCs w:val="28"/>
        </w:rPr>
        <w:t>Rochberg’s account of celestial signs places divine-human relations at the center without reducing the phenomena to arbitrary divine speech. The gods were not imagined simply interrupting nature from outside whenever they wished to send a message. Celestial phenomena themselves could function as signs within an ordered relation among gods, world, and society.</w:t>
      </w:r>
      <w:r w:rsidRPr="00242A60">
        <w:rPr>
          <w:szCs w:val="28"/>
          <w:vertAlign w:val="superscript"/>
        </w:rPr>
        <w:t>8</w:t>
      </w:r>
      <w:r w:rsidRPr="00242A60">
        <w:rPr>
          <w:szCs w:val="28"/>
        </w:rPr>
        <w:t xml:space="preserve"> Regularity did not eliminate divine significance; it made a stable language of signs possible.</w:t>
      </w:r>
    </w:p>
    <w:p w14:paraId="1B1858CC" w14:textId="77777777" w:rsidR="008A25E6" w:rsidRPr="00242A60" w:rsidRDefault="008A25E6" w:rsidP="008A25E6">
      <w:pPr>
        <w:pStyle w:val="BookBody"/>
      </w:pPr>
      <w:r w:rsidRPr="00242A60">
        <w:rPr>
          <w:szCs w:val="28"/>
        </w:rPr>
        <w:t>This point reverses a modern expectation. We often assume that a predictable eclipse must be less ominous because prediction reveals it as a natural event. For Mesopotamian scholars, the capacity to anticipate a phenomenon need not cancel its signification. A scheduled royal audience does not cease to carry meaning because its time is known. Predictability and address answer different questions unless a theory has already declared them rivals.</w:t>
      </w:r>
    </w:p>
    <w:p w14:paraId="101354BE" w14:textId="77777777" w:rsidR="008A25E6" w:rsidRPr="00242A60" w:rsidRDefault="008A25E6" w:rsidP="008A25E6">
      <w:pPr>
        <w:pStyle w:val="BookBody"/>
      </w:pPr>
      <w:r w:rsidRPr="00242A60">
        <w:rPr>
          <w:szCs w:val="28"/>
        </w:rPr>
        <w:t>The omen system nevertheless had resources that protected it from failure. Variant traditions, symbolic relations, and flexible temporal horizons could sustain authority when consequences did not appear. Textual systems can become self-sealing. No degree of technical elaboration proves their claims. The historical achievement lies elsewhere: the practitioners developed repeatable ways of noticing, recording, comparing, interpreting, and advising without isolating physical event from public significance.</w:t>
      </w:r>
    </w:p>
    <w:p w14:paraId="50A6AD34" w14:textId="77777777" w:rsidR="008A25E6" w:rsidRPr="00242A60" w:rsidRDefault="008A25E6" w:rsidP="008A25E6">
      <w:pPr>
        <w:pStyle w:val="BookBody"/>
      </w:pPr>
      <w:r w:rsidRPr="00242A60">
        <w:rPr>
          <w:szCs w:val="28"/>
        </w:rPr>
        <w:t>Their advice also presupposed a cosmos open to response. Ritual, prayer, substitution, postponement, and political caution could matter. This was not the freedom of a sovereign subject choosing values in a neutral universe. It was agency exercised inside a field of signs and obligations. The future was conditioned but negotiable.</w:t>
      </w:r>
    </w:p>
    <w:p w14:paraId="254F75DD" w14:textId="77777777" w:rsidR="008A25E6" w:rsidRPr="00242A60" w:rsidRDefault="008A25E6" w:rsidP="008A25E6">
      <w:pPr>
        <w:pStyle w:val="BookBody"/>
      </w:pPr>
      <w:r w:rsidRPr="00242A60">
        <w:rPr>
          <w:szCs w:val="28"/>
        </w:rPr>
        <w:t>Such counsel helped bind scholarship to the palace. It also tied the sky to the vulnerability of rule. An eclipse threatened not an abstract state but the embodied king, the land associated with him, and the political order concentrated in his person. Celestial interpretation made sovereignty cosmic; sovereignty made celestial knowledge urgent.</w:t>
      </w:r>
    </w:p>
    <w:p w14:paraId="74696E2F" w14:textId="77777777" w:rsidR="008A25E6" w:rsidRPr="00242A60" w:rsidRDefault="008A25E6" w:rsidP="008A25E6">
      <w:pPr>
        <w:pStyle w:val="BookBody"/>
      </w:pPr>
      <w:r w:rsidRPr="00242A60">
        <w:rPr>
          <w:szCs w:val="28"/>
        </w:rPr>
        <w:t>Yet the same archive that carried warnings also preserved regularities independent of any one reign. Scholars inherited periods longer than a king’s life. Copies moved across political collapse. A celestial series could survive the dynasty it had advised. Here the clay tablet quietly exceeds power. Made for institutions, it also creates a time in which institutions become temporary.</w:t>
      </w:r>
    </w:p>
    <w:p w14:paraId="0BB4E52F" w14:textId="77777777" w:rsidR="008A25E6" w:rsidRPr="00242A60" w:rsidRDefault="008A25E6" w:rsidP="008A25E6">
      <w:pPr>
        <w:pStyle w:val="SectionHeading"/>
      </w:pPr>
      <w:r w:rsidRPr="00242A60">
        <w:rPr>
          <w:bCs/>
          <w:szCs w:val="28"/>
        </w:rPr>
        <w:t>The Plow Star and the Architecture of Regularity</w:t>
      </w:r>
    </w:p>
    <w:p w14:paraId="35C8E2F7" w14:textId="77777777" w:rsidR="008A25E6" w:rsidRPr="00242A60" w:rsidRDefault="008A25E6" w:rsidP="008A25E6">
      <w:pPr>
        <w:pStyle w:val="BookBody"/>
      </w:pPr>
      <w:r w:rsidRPr="00242A60">
        <w:rPr>
          <w:szCs w:val="28"/>
        </w:rPr>
        <w:t xml:space="preserve">The compendium known by its opening words as </w:t>
      </w:r>
      <w:r w:rsidRPr="00242A60">
        <w:rPr>
          <w:i/>
          <w:szCs w:val="28"/>
        </w:rPr>
        <w:t>MUL.APIN</w:t>
      </w:r>
      <w:r w:rsidRPr="00242A60">
        <w:rPr>
          <w:szCs w:val="28"/>
        </w:rPr>
        <w:t>—“Plow Star”—provides the chapter’s clearest witness that careful organization of celestial regularity did not require the disappearance of omens. The surviving work was composed sometime before the eighth century BCE, drawing upon earlier knowledge, and became one of the most widely copied works of Babylonian astral science. Its contents include star lists, divisions of the sky, rising and setting phenomena, the calendar, planetary appearances, variations in the length of day and night, intercalation, timekeeping schemes, and a short group of celestial omens.</w:t>
      </w:r>
      <w:r w:rsidRPr="00242A60">
        <w:rPr>
          <w:szCs w:val="28"/>
          <w:vertAlign w:val="superscript"/>
        </w:rPr>
        <w:t>9</w:t>
      </w:r>
    </w:p>
    <w:p w14:paraId="76B7DB9E" w14:textId="77777777" w:rsidR="008A25E6" w:rsidRPr="00242A60" w:rsidRDefault="008A25E6" w:rsidP="008A25E6">
      <w:pPr>
        <w:pStyle w:val="BookBody"/>
      </w:pPr>
      <w:r w:rsidRPr="00242A60">
        <w:rPr>
          <w:szCs w:val="28"/>
        </w:rPr>
        <w:t>The text’s range defeats an evolutionary arrangement in which omen gives way to astronomy page by page. Its organization is neither a modern textbook nor an accidental heap. Hunger and Steele argue that its macrostructure follows practical and textual relations among topics rather than our categories of astronomy, astrology, meteorology, and cosmology. The compendium’s author worked to gather knowledge into a concise ordered whole.</w:t>
      </w:r>
      <w:r w:rsidRPr="00242A60">
        <w:rPr>
          <w:szCs w:val="28"/>
          <w:vertAlign w:val="superscript"/>
        </w:rPr>
        <w:t>10</w:t>
      </w:r>
    </w:p>
    <w:p w14:paraId="06713DF4" w14:textId="77777777" w:rsidR="008A25E6" w:rsidRPr="00242A60" w:rsidRDefault="008A25E6" w:rsidP="008A25E6">
      <w:pPr>
        <w:pStyle w:val="BookBody"/>
      </w:pPr>
      <w:r w:rsidRPr="00242A60">
        <w:rPr>
          <w:szCs w:val="28"/>
        </w:rPr>
        <w:t>Its famous lists distribute stars among three “paths,” associated with the gods Enlil, Anu, and Ea. These are not equivalent to modern bands of declination, though scholars can analyze their relation to celestial position. The names preserve divine geography within astronomical ordering. A star’s place is technical and qualitative at once. The sky is divided so that appearances can be tracked, but the divisions do not become religiously neutral coordinates.</w:t>
      </w:r>
    </w:p>
    <w:p w14:paraId="41626F5D" w14:textId="77777777" w:rsidR="008A25E6" w:rsidRPr="00242A60" w:rsidRDefault="008A25E6" w:rsidP="008A25E6">
      <w:pPr>
        <w:pStyle w:val="BookBody"/>
      </w:pPr>
      <w:r w:rsidRPr="00242A60">
        <w:rPr>
          <w:szCs w:val="28"/>
        </w:rPr>
        <w:t>Lists of heliacal risings—first annual visibility near dawn after a period of invisibility—join observation to the calendar. A date can be stated in a schematic year even when actual visibility varies with latitude, horizon, weather, brightness, and the mismatch between lunar months and the solar year. The scheme does not simply photograph experience. It regularizes it. Idealization, far from being a uniquely modern procedure, allows recurring phenomena to be arranged and compared.</w:t>
      </w:r>
    </w:p>
    <w:p w14:paraId="785725B0" w14:textId="77777777" w:rsidR="008A25E6" w:rsidRPr="00242A60" w:rsidRDefault="008A25E6" w:rsidP="008A25E6">
      <w:pPr>
        <w:pStyle w:val="BookBody"/>
      </w:pPr>
      <w:r w:rsidRPr="00242A60">
        <w:rPr>
          <w:szCs w:val="28"/>
        </w:rPr>
        <w:t xml:space="preserve">The lunisolar calendar demanded periodic adjustment. Lunar months do not naturally stay fixed within the seasonal year. Without intercalation, agricultural and ritual months drift. </w:t>
      </w:r>
      <w:r w:rsidRPr="00242A60">
        <w:rPr>
          <w:i/>
          <w:szCs w:val="28"/>
        </w:rPr>
        <w:t>MUL.APIN</w:t>
      </w:r>
      <w:r w:rsidRPr="00242A60">
        <w:rPr>
          <w:szCs w:val="28"/>
        </w:rPr>
        <w:t xml:space="preserve"> presents rules and schemes for adding a month under stated celestial conditions. The point is practical and cosmological. Calendar order is not given ready-made by one cycle. It is constructed by bringing lunar recurrence, stellar phenomena, seasons, and civic time into workable relation.</w:t>
      </w:r>
    </w:p>
    <w:p w14:paraId="424DC826" w14:textId="77777777" w:rsidR="008A25E6" w:rsidRPr="00242A60" w:rsidRDefault="008A25E6" w:rsidP="008A25E6">
      <w:pPr>
        <w:pStyle w:val="BookBody"/>
      </w:pPr>
      <w:r w:rsidRPr="00242A60">
        <w:rPr>
          <w:szCs w:val="28"/>
        </w:rPr>
        <w:t>This construction should not be called artificial in contrast with natural time. The Moon’s phases are not months until a community counts and begins them. The solar year is not a civic calendar until divisions, names, and corrections make it administrable. Calendars mediate real recurrences through institutions. Their success is visible when seasons, obligations, and observations remain coordinated.</w:t>
      </w:r>
    </w:p>
    <w:p w14:paraId="3D043358" w14:textId="77777777" w:rsidR="008A25E6" w:rsidRPr="00242A60" w:rsidRDefault="008A25E6" w:rsidP="008A25E6">
      <w:pPr>
        <w:pStyle w:val="BookBody"/>
      </w:pPr>
      <w:r w:rsidRPr="00242A60">
        <w:rPr>
          <w:i/>
          <w:szCs w:val="28"/>
        </w:rPr>
        <w:t>MUL.APIN</w:t>
      </w:r>
      <w:r w:rsidRPr="00242A60">
        <w:rPr>
          <w:szCs w:val="28"/>
        </w:rPr>
        <w:t xml:space="preserve"> also contains schemes for the ratio of day to night and for measuring time by shadow and water. Such schemes are not always exact representations of local astronomical reality. Their importance lies in the effort to make variable duration calculable. Night can be divided, watched, and compared across the year. The starry sky becomes a temporal instrument even while remaining a divine field.</w:t>
      </w:r>
    </w:p>
    <w:p w14:paraId="65329321" w14:textId="77777777" w:rsidR="008A25E6" w:rsidRPr="00242A60" w:rsidRDefault="008A25E6" w:rsidP="008A25E6">
      <w:pPr>
        <w:pStyle w:val="BookBody"/>
      </w:pPr>
      <w:r w:rsidRPr="00242A60">
        <w:rPr>
          <w:szCs w:val="28"/>
        </w:rPr>
        <w:t>Here number changes the mode of cosmic participation. It does not disenchant the sky. It reveals repeatable relations within it. A sequence of appearances can be expected; an intercalation can be prescribed; a watch can be timed. The heavens acquire operational regularity without ceasing to signify.</w:t>
      </w:r>
    </w:p>
    <w:p w14:paraId="604342DC" w14:textId="77777777" w:rsidR="008A25E6" w:rsidRPr="00242A60" w:rsidRDefault="008A25E6" w:rsidP="008A25E6">
      <w:pPr>
        <w:pStyle w:val="BookBody"/>
      </w:pPr>
      <w:r w:rsidRPr="00242A60">
        <w:rPr>
          <w:szCs w:val="28"/>
        </w:rPr>
        <w:t xml:space="preserve">This is why “primitive science” is a poor description. “Primitive” measures the text by what it has not yet become. “Science” without qualification tempts us to isolate the entries that resemble later astronomy. Better to call </w:t>
      </w:r>
      <w:r w:rsidRPr="00242A60">
        <w:rPr>
          <w:i/>
          <w:szCs w:val="28"/>
        </w:rPr>
        <w:t>MUL.APIN</w:t>
      </w:r>
      <w:r w:rsidRPr="00242A60">
        <w:rPr>
          <w:szCs w:val="28"/>
        </w:rPr>
        <w:t xml:space="preserve"> what it is: a cuneiform compendium of astral knowledge whose distinctions intersect but do not coincide with ours. It demonstrates that exactness can grow inside a living cosmos.</w:t>
      </w:r>
    </w:p>
    <w:p w14:paraId="0F68E504" w14:textId="77777777" w:rsidR="008A25E6" w:rsidRPr="00242A60" w:rsidRDefault="008A25E6" w:rsidP="008A25E6">
      <w:pPr>
        <w:pStyle w:val="SectionHeading"/>
      </w:pPr>
      <w:r w:rsidRPr="00242A60">
        <w:rPr>
          <w:bCs/>
          <w:szCs w:val="28"/>
        </w:rPr>
        <w:t>Number Without Disenchantment</w:t>
      </w:r>
    </w:p>
    <w:p w14:paraId="46267DEE" w14:textId="77777777" w:rsidR="008A25E6" w:rsidRPr="00242A60" w:rsidRDefault="008A25E6" w:rsidP="008A25E6">
      <w:pPr>
        <w:pStyle w:val="BookBody"/>
      </w:pPr>
      <w:r w:rsidRPr="00242A60">
        <w:rPr>
          <w:szCs w:val="28"/>
        </w:rPr>
        <w:t>The modern history of science is often told as a victory of number over quality. Colors become wavelengths, tones become frequencies, motion becomes measurable change of position, and the heavens cease to bear value once their paths can be calculated. Mesopotamian astral knowledge interrupts that sequence. Number did not arrive from outside to strip the sky of meaning. It developed as one way of articulating a sky already dense with consequence.</w:t>
      </w:r>
    </w:p>
    <w:p w14:paraId="4DB9E522" w14:textId="77777777" w:rsidR="008A25E6" w:rsidRPr="00242A60" w:rsidRDefault="008A25E6" w:rsidP="008A25E6">
      <w:pPr>
        <w:pStyle w:val="BookBody"/>
      </w:pPr>
      <w:r w:rsidRPr="00242A60">
        <w:rPr>
          <w:szCs w:val="28"/>
        </w:rPr>
        <w:t>The sexagesimal place-value tradition gave Mesopotamian scholars powerful resources for calculation. Fractions expressible awkwardly in a decimal notation could be handled fluently; tables of reciprocals, multiplication, squares, and other relations supported administrative and scholarly work. Astral schemes employed these resources without requiring a philosophical declaration that reality was fundamentally mathematical. Calculation was a practice before it became an ontology.</w:t>
      </w:r>
    </w:p>
    <w:p w14:paraId="6F9822BD" w14:textId="77777777" w:rsidR="008A25E6" w:rsidRPr="00242A60" w:rsidRDefault="008A25E6" w:rsidP="008A25E6">
      <w:pPr>
        <w:pStyle w:val="BookBody"/>
      </w:pPr>
      <w:r w:rsidRPr="00242A60">
        <w:rPr>
          <w:szCs w:val="28"/>
        </w:rPr>
        <w:t>This difference appears in the relation between scheme and phenomenon. A schematic year of 360 days offers a regular framework even though lunar months, seasonal years, and observed stellar appearances do not conform perfectly to it. Ratios of the longest to shortest day can be arranged in elegant progressions even when local daylight varies more irregularly. Such schemes are not simply erroneous observations. They are ideal constructions that make a field tractable.</w:t>
      </w:r>
    </w:p>
    <w:p w14:paraId="3A79A140" w14:textId="77777777" w:rsidR="008A25E6" w:rsidRPr="00242A60" w:rsidRDefault="008A25E6" w:rsidP="008A25E6">
      <w:pPr>
        <w:pStyle w:val="BookBody"/>
      </w:pPr>
      <w:r w:rsidRPr="00242A60">
        <w:rPr>
          <w:szCs w:val="28"/>
        </w:rPr>
        <w:t>Modern science also idealizes. A frictionless plane is not found in the world; a perfect circle is not observed; a statistical model simplifies the cases to which it is applied. An idealization becomes scientifically valuable when its departure from phenomena is understood and when it reveals relations that can be tested or used. Ancient schemes operated under different standards, but their existence shows that abstraction is not the exclusive property of mechanical science.</w:t>
      </w:r>
    </w:p>
    <w:p w14:paraId="672BE000" w14:textId="77777777" w:rsidR="008A25E6" w:rsidRPr="00242A60" w:rsidRDefault="008A25E6" w:rsidP="008A25E6">
      <w:pPr>
        <w:pStyle w:val="BookBody"/>
      </w:pPr>
      <w:r w:rsidRPr="00242A60">
        <w:rPr>
          <w:szCs w:val="28"/>
        </w:rPr>
        <w:t>Mesopotamian scholars could also recognize periods without assuming that celestial events repeated as identical copies. The synodic phases of a planet—first visibility, stations, acronychal rising, last visibility—are qualitative appearances organized by numerical interval. A planet’s brightness, location among stars, direction, and visibility mattered. The phenomenon was not reduced to a point coordinate; it was made calculable through its characteristic phases.</w:t>
      </w:r>
    </w:p>
    <w:p w14:paraId="193D5258" w14:textId="77777777" w:rsidR="008A25E6" w:rsidRPr="00242A60" w:rsidRDefault="008A25E6" w:rsidP="008A25E6">
      <w:pPr>
        <w:pStyle w:val="BookBody"/>
      </w:pPr>
      <w:r w:rsidRPr="00242A60">
        <w:rPr>
          <w:szCs w:val="28"/>
        </w:rPr>
        <w:t>Prediction then changed the status of observation. A phenomenon expected on textual or numerical grounds could be compared with what became visible. Cloud might prevent confirmation. A discrepancy might call for correction, another procedure, or a distinction between ideal date and observed appearance. The archive formed a feedback relation among scheme, expectation, sight, and record.</w:t>
      </w:r>
    </w:p>
    <w:p w14:paraId="608CB47C" w14:textId="77777777" w:rsidR="008A25E6" w:rsidRPr="00242A60" w:rsidRDefault="008A25E6" w:rsidP="008A25E6">
      <w:pPr>
        <w:pStyle w:val="BookBody"/>
      </w:pPr>
      <w:r w:rsidRPr="00242A60">
        <w:rPr>
          <w:szCs w:val="28"/>
        </w:rPr>
        <w:t>None of this validates the apodoses of celestial omens. Numerical sophistication in one part of a scholarly culture does not transfer truth to every other claim. The important historical point is more disciplined: divinatory significance did not prevent the discovery and use of regularities. It could provide motives, institutions, and categories through which attention became sustained.</w:t>
      </w:r>
    </w:p>
    <w:p w14:paraId="10F4F3EF" w14:textId="77777777" w:rsidR="008A25E6" w:rsidRPr="00242A60" w:rsidRDefault="008A25E6" w:rsidP="008A25E6">
      <w:pPr>
        <w:pStyle w:val="BookBody"/>
      </w:pPr>
      <w:r w:rsidRPr="00242A60">
        <w:rPr>
          <w:szCs w:val="28"/>
        </w:rPr>
        <w:t>The later separation of astronomy from astrology would impose stronger evidential boundaries. Physical astronomy would ask what celestial bodies are, how they move, and which mathematically expressed causes govern them. Mundane astrology would be unable to demonstrate its correlations under increasingly demanding tests. Those are genuine epistemic changes. But they should not be projected backward as though number had always been waiting to escape meaning.</w:t>
      </w:r>
    </w:p>
    <w:p w14:paraId="203EC71B" w14:textId="77777777" w:rsidR="008A25E6" w:rsidRPr="00242A60" w:rsidRDefault="008A25E6" w:rsidP="008A25E6">
      <w:pPr>
        <w:pStyle w:val="BookBody"/>
      </w:pPr>
      <w:r w:rsidRPr="00242A60">
        <w:rPr>
          <w:szCs w:val="28"/>
        </w:rPr>
        <w:t>In the cuneiform archive, quantity was one of the sky’s qualities. It disclosed when a star rose, how long a watch lasted, when an extra month was needed, and when a planet should return to a characteristic phase. Number made cosmic order more readable before it made the cosmos less alive.</w:t>
      </w:r>
    </w:p>
    <w:p w14:paraId="236921E4" w14:textId="77777777" w:rsidR="008A25E6" w:rsidRPr="00242A60" w:rsidRDefault="008A25E6" w:rsidP="008A25E6">
      <w:pPr>
        <w:pStyle w:val="SectionHeading"/>
      </w:pPr>
      <w:r w:rsidRPr="00242A60">
        <w:rPr>
          <w:bCs/>
          <w:szCs w:val="28"/>
        </w:rPr>
        <w:t>From Appearance to Archive</w:t>
      </w:r>
    </w:p>
    <w:p w14:paraId="1345DB75" w14:textId="77777777" w:rsidR="008A25E6" w:rsidRPr="00242A60" w:rsidRDefault="008A25E6" w:rsidP="008A25E6">
      <w:pPr>
        <w:pStyle w:val="BookBody"/>
      </w:pPr>
      <w:r w:rsidRPr="00242A60">
        <w:rPr>
          <w:szCs w:val="28"/>
        </w:rPr>
        <w:t xml:space="preserve">The long history of Babylonian celestial scholarship did not remain fixed at the form represented by </w:t>
      </w:r>
      <w:r w:rsidRPr="00242A60">
        <w:rPr>
          <w:i/>
          <w:szCs w:val="28"/>
        </w:rPr>
        <w:t>MUL.APIN</w:t>
      </w:r>
      <w:r w:rsidRPr="00242A60">
        <w:rPr>
          <w:szCs w:val="28"/>
        </w:rPr>
        <w:t>. First-millennium practitioners developed new observational records, prediction methods, almanacs, goal-year texts, horoscopes, and mathematical astronomy. The change is real. It should neither be flattened into one unchanging worldview nor narrated as the instant birth of modern science.</w:t>
      </w:r>
    </w:p>
    <w:p w14:paraId="7A00D0BF" w14:textId="77777777" w:rsidR="008A25E6" w:rsidRPr="00242A60" w:rsidRDefault="008A25E6" w:rsidP="008A25E6">
      <w:pPr>
        <w:pStyle w:val="BookBody"/>
      </w:pPr>
      <w:r w:rsidRPr="00242A60">
        <w:rPr>
          <w:szCs w:val="28"/>
        </w:rPr>
        <w:t>The Astronomical Diaries are the most imposing archive of sustained observation. Surviving examples belong chiefly to the later first millennium BCE and therefore cannot serve as direct evidence for the origin of early celestial omens. Their chronological lateness is precisely what makes them valuable here: they show what the cuneiform tradition’s disciplined attention could become after centuries of development.</w:t>
      </w:r>
    </w:p>
    <w:p w14:paraId="0C5526E7" w14:textId="77777777" w:rsidR="008A25E6" w:rsidRPr="00242A60" w:rsidRDefault="008A25E6" w:rsidP="008A25E6">
      <w:pPr>
        <w:pStyle w:val="BookBody"/>
      </w:pPr>
      <w:r w:rsidRPr="00242A60">
        <w:rPr>
          <w:szCs w:val="28"/>
        </w:rPr>
        <w:t>Diary entries recorded lunar and planetary phenomena, their positions relative to named “normal stars,” eclipses, solstices and equinoxes, weather, river levels, commodity prices, and historical events. Not every tablet preserves every category, and the series survives unevenly. The format nevertheless places sky, atmosphere, river, market, and kingdom within one temporal record.</w:t>
      </w:r>
      <w:r w:rsidRPr="00242A60">
        <w:rPr>
          <w:szCs w:val="28"/>
          <w:vertAlign w:val="superscript"/>
        </w:rPr>
        <w:t>11</w:t>
      </w:r>
      <w:r w:rsidRPr="00242A60">
        <w:rPr>
          <w:szCs w:val="28"/>
        </w:rPr>
        <w:t xml:space="preserve"> Our disciplines distribute these data among astronomy, meteorology, hydrology, economics, and political history. The diary registers their coexistence month by month.</w:t>
      </w:r>
    </w:p>
    <w:p w14:paraId="39C2149B" w14:textId="77777777" w:rsidR="008A25E6" w:rsidRPr="00242A60" w:rsidRDefault="008A25E6" w:rsidP="008A25E6">
      <w:pPr>
        <w:pStyle w:val="BookBody"/>
      </w:pPr>
      <w:r w:rsidRPr="00242A60">
        <w:rPr>
          <w:szCs w:val="28"/>
        </w:rPr>
        <w:t>This coexistence does not prove that scribes thought all events caused one another. A record can gather categories without asserting a universal correspondence. Nor should the diaries be treated only as raw material for modern historians who extract the “objective” positions and discard the rest. Their form is itself historical evidence. What deserved durable notice was broader than celestial longitude.</w:t>
      </w:r>
    </w:p>
    <w:p w14:paraId="659D49FC" w14:textId="77777777" w:rsidR="008A25E6" w:rsidRPr="00242A60" w:rsidRDefault="008A25E6" w:rsidP="008A25E6">
      <w:pPr>
        <w:pStyle w:val="BookBody"/>
      </w:pPr>
      <w:r w:rsidRPr="00242A60">
        <w:rPr>
          <w:szCs w:val="28"/>
        </w:rPr>
        <w:t>Repeated positional observations supported prediction. Almanacs and normal-star almanacs arranged expected phenomena in advance; goal-year texts drew upon period relations to use observations from an earlier year in forecasting a later one. Mathematical schemes eventually generated planetary and lunar positions without requiring a physical model of celestial machinery. Babylonian exact science could be computational and phenomenological: it ordered appearances through numerical procedures rather than explaining them through bodies moving in geometrical space in the Greek manner.</w:t>
      </w:r>
      <w:r w:rsidRPr="00242A60">
        <w:rPr>
          <w:szCs w:val="28"/>
          <w:vertAlign w:val="superscript"/>
        </w:rPr>
        <w:t>12</w:t>
      </w:r>
    </w:p>
    <w:p w14:paraId="5E2C33EB" w14:textId="77777777" w:rsidR="008A25E6" w:rsidRPr="00242A60" w:rsidRDefault="008A25E6" w:rsidP="008A25E6">
      <w:pPr>
        <w:pStyle w:val="BookBody"/>
      </w:pPr>
      <w:r w:rsidRPr="00242A60">
        <w:rPr>
          <w:szCs w:val="28"/>
        </w:rPr>
        <w:t xml:space="preserve">This is a crucial limit on triumphalist history. The Greeks did not add reason to Babylonian data. Babylonian scholars possessed forms of theory, idealization, systematic prediction, and criticism appropriate to their practices. Greek natural philosophy and mathematical astronomy would reorganize the question, especially by asking for models of a </w:t>
      </w:r>
      <w:r w:rsidRPr="00242A60">
        <w:rPr>
          <w:i/>
          <w:szCs w:val="28"/>
        </w:rPr>
        <w:t>kosmos</w:t>
      </w:r>
      <w:r w:rsidRPr="00242A60">
        <w:rPr>
          <w:szCs w:val="28"/>
        </w:rPr>
        <w:t xml:space="preserve"> and causes of motion. A new organization does not turn the older one into mere observation.</w:t>
      </w:r>
    </w:p>
    <w:p w14:paraId="60D0A35F" w14:textId="77777777" w:rsidR="008A25E6" w:rsidRPr="00242A60" w:rsidRDefault="008A25E6" w:rsidP="008A25E6">
      <w:pPr>
        <w:pStyle w:val="BookBody"/>
      </w:pPr>
      <w:r w:rsidRPr="00242A60">
        <w:rPr>
          <w:szCs w:val="28"/>
        </w:rPr>
        <w:t>The diaries also expose the discipline of absence. An expected phenomenon might not be seen because of clouds; visibility conditions mattered. A report could distinguish prediction from observation. The gap between what should appear and what did appear became recordable. That gap is one root of empirical correction.</w:t>
      </w:r>
    </w:p>
    <w:p w14:paraId="3F186E05" w14:textId="77777777" w:rsidR="008A25E6" w:rsidRPr="00242A60" w:rsidRDefault="008A25E6" w:rsidP="008A25E6">
      <w:pPr>
        <w:pStyle w:val="BookBody"/>
      </w:pPr>
      <w:r w:rsidRPr="00242A60">
        <w:rPr>
          <w:szCs w:val="28"/>
        </w:rPr>
        <w:t>Yet the archive remained institutional. Observations were produced by trained scholars supported through temples and political economies. Clay, time, food, education, and access had to be supplied. “The observer” was never an isolated eye. The precision admired by modern historians depended upon a social body.</w:t>
      </w:r>
    </w:p>
    <w:p w14:paraId="27418EFC" w14:textId="77777777" w:rsidR="008A25E6" w:rsidRPr="00242A60" w:rsidRDefault="008A25E6" w:rsidP="008A25E6">
      <w:pPr>
        <w:pStyle w:val="BookBody"/>
      </w:pPr>
      <w:r w:rsidRPr="00242A60">
        <w:rPr>
          <w:szCs w:val="28"/>
        </w:rPr>
        <w:t>By the Seleucid and Parthian periods, cuneiform astronomy reached extraordinary mathematical sophistication. It also coexisted with horoscopy and omen traditions. The relation among them changed; one did not simply erase the others. The lesson is not that science and divination are secretly the same. It is that their eventual opposition cannot be used to describe every earlier conjunction.</w:t>
      </w:r>
    </w:p>
    <w:p w14:paraId="191712DF" w14:textId="77777777" w:rsidR="008A25E6" w:rsidRPr="00242A60" w:rsidRDefault="008A25E6" w:rsidP="008A25E6">
      <w:pPr>
        <w:pStyle w:val="BookBody"/>
      </w:pPr>
      <w:r w:rsidRPr="00242A60">
        <w:rPr>
          <w:szCs w:val="28"/>
        </w:rPr>
        <w:t>At this point the tablet has carried us as far as it should. It has shown observation becoming series, counsel, compendium, archive, and prediction. It has not shown a river turned into a god, or a temple built as an astronomical observatory, or an ancient version of the modern natural sciences. It has shown something historically stranger: a learned sky in which number and omen could remain neighbors.</w:t>
      </w:r>
    </w:p>
    <w:p w14:paraId="253BA6C4" w14:textId="77777777" w:rsidR="008A25E6" w:rsidRPr="00242A60" w:rsidRDefault="008A25E6" w:rsidP="008A25E6">
      <w:pPr>
        <w:pStyle w:val="SectionHeading"/>
      </w:pPr>
      <w:r w:rsidRPr="00242A60">
        <w:rPr>
          <w:bCs/>
          <w:szCs w:val="28"/>
        </w:rPr>
        <w:t>The Nile Does Not Repeat Like a Tablet</w:t>
      </w:r>
    </w:p>
    <w:p w14:paraId="7C79780E" w14:textId="77777777" w:rsidR="008A25E6" w:rsidRPr="00242A60" w:rsidRDefault="008A25E6" w:rsidP="008A25E6">
      <w:pPr>
        <w:pStyle w:val="BookBody"/>
      </w:pPr>
      <w:r w:rsidRPr="00242A60">
        <w:rPr>
          <w:szCs w:val="28"/>
        </w:rPr>
        <w:t>Egypt requires a new beginning. The Nile’s annual cycle is often made to explain too much: calendar, centralized government, religion, geometry, and an allegedly timeless Egyptian mentality. The river did not dictate one response. It offered recurrent conditions whose political and ritual organization changed across three millennia.</w:t>
      </w:r>
    </w:p>
    <w:p w14:paraId="5AFF9C88" w14:textId="77777777" w:rsidR="008A25E6" w:rsidRPr="00242A60" w:rsidRDefault="008A25E6" w:rsidP="008A25E6">
      <w:pPr>
        <w:pStyle w:val="BookBody"/>
      </w:pPr>
      <w:r w:rsidRPr="00242A60">
        <w:rPr>
          <w:szCs w:val="28"/>
        </w:rPr>
        <w:t>Before the construction of modern dams, the summer rise arrived from rains far to the south. Water spread over basins of the valley and delta, depositing sediment and preparing fields for cultivation after recession. Egyptian convention later articulated three seasons—</w:t>
      </w:r>
      <w:r w:rsidRPr="00242A60">
        <w:rPr>
          <w:i/>
          <w:szCs w:val="28"/>
        </w:rPr>
        <w:t>Akhet</w:t>
      </w:r>
      <w:r w:rsidRPr="00242A60">
        <w:rPr>
          <w:szCs w:val="28"/>
        </w:rPr>
        <w:t xml:space="preserve">, associated with inundation; </w:t>
      </w:r>
      <w:r w:rsidRPr="00242A60">
        <w:rPr>
          <w:i/>
          <w:szCs w:val="28"/>
        </w:rPr>
        <w:t>Peret</w:t>
      </w:r>
      <w:r w:rsidRPr="00242A60">
        <w:rPr>
          <w:szCs w:val="28"/>
        </w:rPr>
        <w:t xml:space="preserve">, emergence or growing; and </w:t>
      </w:r>
      <w:r w:rsidRPr="00242A60">
        <w:rPr>
          <w:i/>
          <w:szCs w:val="28"/>
        </w:rPr>
        <w:t>Shemu</w:t>
      </w:r>
      <w:r w:rsidRPr="00242A60">
        <w:rPr>
          <w:szCs w:val="28"/>
        </w:rPr>
        <w:t>, harvest or low water. But the fit between named seasons, actual flood, and the civil calendar could shift because the civil year contained 365 days without a recurring leap day.</w:t>
      </w:r>
      <w:r w:rsidRPr="00242A60">
        <w:rPr>
          <w:szCs w:val="28"/>
          <w:vertAlign w:val="superscript"/>
        </w:rPr>
        <w:t>13</w:t>
      </w:r>
    </w:p>
    <w:p w14:paraId="1B24F988" w14:textId="77777777" w:rsidR="008A25E6" w:rsidRPr="00242A60" w:rsidRDefault="008A25E6" w:rsidP="008A25E6">
      <w:pPr>
        <w:pStyle w:val="BookBody"/>
      </w:pPr>
      <w:r w:rsidRPr="00242A60">
        <w:rPr>
          <w:szCs w:val="28"/>
        </w:rPr>
        <w:t>That slippage is the first reason not to call Egyptian time a simple “natural calendar.” A calendar is an achievement of coordination, not the passive transcription of a cycle. River, Moon, Sun, stars, festivals, administration, and agriculture offered overlapping recurrences that did not fall into one perfect measure.</w:t>
      </w:r>
    </w:p>
    <w:p w14:paraId="74858E00" w14:textId="77777777" w:rsidR="008A25E6" w:rsidRPr="00242A60" w:rsidRDefault="008A25E6" w:rsidP="008A25E6">
      <w:pPr>
        <w:pStyle w:val="BookBody"/>
      </w:pPr>
      <w:r w:rsidRPr="00242A60">
        <w:rPr>
          <w:szCs w:val="28"/>
        </w:rPr>
        <w:t>R. A. Parker’s classic study argued that ancient Egypt employed three calendars: an original lunar calendar, a later schematic lunar calendar, and the civil calendar.</w:t>
      </w:r>
      <w:r w:rsidRPr="00242A60">
        <w:rPr>
          <w:szCs w:val="28"/>
          <w:vertAlign w:val="superscript"/>
        </w:rPr>
        <w:t>14</w:t>
      </w:r>
      <w:r w:rsidRPr="00242A60">
        <w:rPr>
          <w:szCs w:val="28"/>
        </w:rPr>
        <w:t xml:space="preserve"> Details of origin and development remain debated, and newer work warns against imagining that one invention settled Egyptian time for all periods. The durable point is plurality. Different calendars could answer different needs. Lunar months helped organize religious observance; the civil calendar made dates administratively regular; stellar and seasonal associations continued to orient festival and agricultural expectation.</w:t>
      </w:r>
    </w:p>
    <w:p w14:paraId="42A58DA9" w14:textId="77777777" w:rsidR="008A25E6" w:rsidRPr="00242A60" w:rsidRDefault="008A25E6" w:rsidP="008A25E6">
      <w:pPr>
        <w:pStyle w:val="BookBody"/>
      </w:pPr>
      <w:r w:rsidRPr="00242A60">
        <w:rPr>
          <w:szCs w:val="28"/>
        </w:rPr>
        <w:t>The civil year’s elegant arithmetic—twelve months of thirty days plus five additional days—made it predictable in a way the actual inundation was not. Its very regularity caused it to drift through the solar year by roughly one day every four years. Modern readers may see this as a defect awaiting a leap-year correction. For Egyptian institutions it was also a stable count. A date could be known within an unbroken sequence even while its seasonal location slowly changed.</w:t>
      </w:r>
    </w:p>
    <w:p w14:paraId="64386961" w14:textId="77777777" w:rsidR="008A25E6" w:rsidRPr="00242A60" w:rsidRDefault="008A25E6" w:rsidP="008A25E6">
      <w:pPr>
        <w:pStyle w:val="BookBody"/>
      </w:pPr>
      <w:r w:rsidRPr="00242A60">
        <w:rPr>
          <w:szCs w:val="28"/>
        </w:rPr>
        <w:t>The calendar therefore demonstrates a form of abstraction inside the living cosmos. Days can be counted uniformly without becoming empty. Months retain names, festivals, divine associations, work obligations, and ritual character. Quantification does not first appear when quality disappears. It can stabilize the occasions on which qualities become public.</w:t>
      </w:r>
    </w:p>
    <w:p w14:paraId="632F9809" w14:textId="77777777" w:rsidR="008A25E6" w:rsidRPr="00242A60" w:rsidRDefault="008A25E6" w:rsidP="008A25E6">
      <w:pPr>
        <w:pStyle w:val="BookBody"/>
      </w:pPr>
      <w:r w:rsidRPr="00242A60">
        <w:rPr>
          <w:szCs w:val="28"/>
        </w:rPr>
        <w:t>The Nile’s role likewise cannot be reduced to a “clock.” Inundation was material fertility, risk, taxation, labor, transportation, and divine beneficence. Nilometers and administrative records could make water level comparable. Hymnic language could praise the river’s life-giving arrival. These are not rival descriptions of one neutral flow, though neither are they identical claims. Measurement and praise disclose different relations within the same dependence.</w:t>
      </w:r>
    </w:p>
    <w:p w14:paraId="33E87D64" w14:textId="77777777" w:rsidR="008A25E6" w:rsidRPr="00242A60" w:rsidRDefault="008A25E6" w:rsidP="008A25E6">
      <w:pPr>
        <w:pStyle w:val="BookBody"/>
      </w:pPr>
      <w:r w:rsidRPr="00242A60">
        <w:rPr>
          <w:szCs w:val="28"/>
        </w:rPr>
        <w:t>The heliacal rising of Sopdet, conventionally identified with Sirius, became associated in Egyptian tradition with the coming inundation and the opening of the year. The correlation is powerful but historically delicate. Visibility depends upon location and epoch; flood timing varies; surviving references belong to specific contexts; and the civil calendar drifted. Recent astronomy of Egypt properly treats simple origin stories as hypotheses rather than facts.</w:t>
      </w:r>
      <w:r w:rsidRPr="00242A60">
        <w:rPr>
          <w:szCs w:val="28"/>
          <w:vertAlign w:val="superscript"/>
        </w:rPr>
        <w:t>15</w:t>
      </w:r>
      <w:r w:rsidRPr="00242A60">
        <w:rPr>
          <w:szCs w:val="28"/>
        </w:rPr>
        <w:t xml:space="preserve"> The responsible claim is not that Sirius caused or perfectly predicted the flood. It is that stellar appearance, calendrical renewal, river expectation, divine manifestation, and festival could be joined in Egyptian time.</w:t>
      </w:r>
    </w:p>
    <w:p w14:paraId="791F4349" w14:textId="77777777" w:rsidR="008A25E6" w:rsidRPr="00242A60" w:rsidRDefault="008A25E6" w:rsidP="008A25E6">
      <w:pPr>
        <w:pStyle w:val="BookBody"/>
      </w:pPr>
      <w:r w:rsidRPr="00242A60">
        <w:rPr>
          <w:szCs w:val="28"/>
        </w:rPr>
        <w:t>That joining made recurrence more than repetition. The return of flood and star renewed conditions of life, but each year demanded practical response. Storage, cultivation, cult, and rule had to turn recurrence into continuity. A living cosmos is not one that runs by itself. Its regularities become inhabitable through work.</w:t>
      </w:r>
    </w:p>
    <w:p w14:paraId="3F653F2E" w14:textId="77777777" w:rsidR="008A25E6" w:rsidRPr="00242A60" w:rsidRDefault="008A25E6" w:rsidP="008A25E6">
      <w:pPr>
        <w:pStyle w:val="SectionHeading"/>
      </w:pPr>
      <w:r w:rsidRPr="00242A60">
        <w:rPr>
          <w:bCs/>
          <w:szCs w:val="28"/>
        </w:rPr>
        <w:t>Calendar, Festival, and Government</w:t>
      </w:r>
    </w:p>
    <w:p w14:paraId="2A35A4B3" w14:textId="77777777" w:rsidR="008A25E6" w:rsidRPr="00242A60" w:rsidRDefault="008A25E6" w:rsidP="008A25E6">
      <w:pPr>
        <w:pStyle w:val="BookBody"/>
      </w:pPr>
      <w:r w:rsidRPr="00242A60">
        <w:rPr>
          <w:szCs w:val="28"/>
        </w:rPr>
        <w:t>A calendar appears innocently as a numbered grid. Its political force becomes visible when one asks who declares the month, dates an obligation, schedules a festival, records a reign, or coordinates labor. Timekeeping is never only a description of time. It creates common expectations and makes actions answerable to a sequence larger than any household.</w:t>
      </w:r>
    </w:p>
    <w:p w14:paraId="66FC2A76" w14:textId="77777777" w:rsidR="008A25E6" w:rsidRPr="00242A60" w:rsidRDefault="008A25E6" w:rsidP="008A25E6">
      <w:pPr>
        <w:pStyle w:val="BookBody"/>
      </w:pPr>
      <w:r w:rsidRPr="00242A60">
        <w:rPr>
          <w:szCs w:val="28"/>
        </w:rPr>
        <w:t>Egyptian dates commonly named regnal year, season, month, and day. The form located an event within both the civil count and the reign of a king. Political succession entered chronology at its foundation. A new reign did not change the motion of the Sun, but it changed how administrative time was named. Cosmic recurrence and historical contingency occupied one date.</w:t>
      </w:r>
    </w:p>
    <w:p w14:paraId="72F5DCFC" w14:textId="77777777" w:rsidR="008A25E6" w:rsidRPr="00242A60" w:rsidRDefault="008A25E6" w:rsidP="008A25E6">
      <w:pPr>
        <w:pStyle w:val="BookBody"/>
      </w:pPr>
      <w:r w:rsidRPr="00242A60">
        <w:rPr>
          <w:szCs w:val="28"/>
        </w:rPr>
        <w:t>The civil calendar’s uniform months made accounts and assignments easier to coordinate. Officials could record deliveries, work gangs, rations, taxes, expeditions, and cultic provisions against fixed dates. The calendar therefore belonged to the material capacity of the state and temple. It allowed an institution to expect goods and bodies at a named time.</w:t>
      </w:r>
    </w:p>
    <w:p w14:paraId="5D2BB3DE" w14:textId="77777777" w:rsidR="008A25E6" w:rsidRPr="00242A60" w:rsidRDefault="008A25E6" w:rsidP="008A25E6">
      <w:pPr>
        <w:pStyle w:val="BookBody"/>
      </w:pPr>
      <w:r w:rsidRPr="00242A60">
        <w:rPr>
          <w:szCs w:val="28"/>
        </w:rPr>
        <w:t>Festival time did something more. A festival could gather procession, divine image, route, music, offering, public distribution, royal presence, and memory into a recurrent occasion. It was not merely a holiday placed on a preexisting grid. Its recurrence gave character to the date and renewed relations among temple, town, deity, and rule. Calendrical exactness served qualitative intensity.</w:t>
      </w:r>
    </w:p>
    <w:p w14:paraId="70A04375" w14:textId="77777777" w:rsidR="008A25E6" w:rsidRPr="00242A60" w:rsidRDefault="008A25E6" w:rsidP="008A25E6">
      <w:pPr>
        <w:pStyle w:val="BookBody"/>
      </w:pPr>
      <w:r w:rsidRPr="00242A60">
        <w:rPr>
          <w:szCs w:val="28"/>
        </w:rPr>
        <w:t>The use of more than one calendar made this relation flexible and difficult. A lunar festival may depend upon a phase or lunar day while an administrative entry uses the civil date. A feast’s inherited seasonal association may gradually diverge from its civil placement as the 365-day year moves through the solar seasons. Priests and scribes therefore needed systems for correlating counts. The coexistence of calendars was not confusion; it was an institutional response to cycles with different periods.</w:t>
      </w:r>
    </w:p>
    <w:p w14:paraId="4F48CA5A" w14:textId="77777777" w:rsidR="008A25E6" w:rsidRPr="00242A60" w:rsidRDefault="008A25E6" w:rsidP="008A25E6">
      <w:pPr>
        <w:pStyle w:val="BookBody"/>
      </w:pPr>
      <w:r w:rsidRPr="00242A60">
        <w:rPr>
          <w:szCs w:val="28"/>
        </w:rPr>
        <w:t>Parker’s reconstruction of an original lunar calendar connected the year’s beginning with Sopdet and inundation, while his later lunar calendar operated in relation to the civil year. Subsequent scholarship has revised parts of this developmental story and made the evidence appear less linear. The debate itself is instructive. “The Egyptian calendar” is not one object invented once. It is a history of techniques for keeping lunar observance, civil administration, festival tradition, stellar appearance, and seasonal expectation in relation.</w:t>
      </w:r>
    </w:p>
    <w:p w14:paraId="3687B96F" w14:textId="77777777" w:rsidR="008A25E6" w:rsidRPr="00242A60" w:rsidRDefault="008A25E6" w:rsidP="008A25E6">
      <w:pPr>
        <w:pStyle w:val="BookBody"/>
      </w:pPr>
      <w:r w:rsidRPr="00242A60">
        <w:rPr>
          <w:szCs w:val="28"/>
        </w:rPr>
        <w:t>These correlations gave specialists authority. To know when a lunar month began or when a rite should occur was to mediate between visible phenomenon and institutional action. Knowledge of time could be guarded, transmitted, and embedded in temple archives. The public did not need to reproduce the calculation for the schedule to organize public life.</w:t>
      </w:r>
    </w:p>
    <w:p w14:paraId="0FE1AFE5" w14:textId="77777777" w:rsidR="008A25E6" w:rsidRPr="00242A60" w:rsidRDefault="008A25E6" w:rsidP="008A25E6">
      <w:pPr>
        <w:pStyle w:val="BookBody"/>
      </w:pPr>
      <w:r w:rsidRPr="00242A60">
        <w:rPr>
          <w:szCs w:val="28"/>
        </w:rPr>
        <w:t>The calendar also made absence meaningful. A festival could be delayed, omitted, restored, or recorded as properly performed. A supply that failed to arrive was not simply late relative to a clock; it could interrupt cultic maintenance. A king who founded or renewed a festival inscribed his reign into recurring time.</w:t>
      </w:r>
    </w:p>
    <w:p w14:paraId="60258C20" w14:textId="77777777" w:rsidR="008A25E6" w:rsidRPr="00242A60" w:rsidRDefault="008A25E6" w:rsidP="008A25E6">
      <w:pPr>
        <w:pStyle w:val="BookBody"/>
      </w:pPr>
      <w:r w:rsidRPr="00242A60">
        <w:rPr>
          <w:szCs w:val="28"/>
        </w:rPr>
        <w:t>This does not mean every Egyptian lived by a single official consciousness of time. Agricultural work answered to local conditions. Households remembered births and deaths. Administrative dates varied in importance according to access and obligation. Multiple temporalities crossed the same society. The official calendar was powerful because it coordinated some of them, not because it eliminated the rest.</w:t>
      </w:r>
    </w:p>
    <w:p w14:paraId="1B7DA0B6" w14:textId="77777777" w:rsidR="008A25E6" w:rsidRPr="00242A60" w:rsidRDefault="008A25E6" w:rsidP="008A25E6">
      <w:pPr>
        <w:pStyle w:val="BookBody"/>
      </w:pPr>
      <w:r w:rsidRPr="00242A60">
        <w:rPr>
          <w:szCs w:val="28"/>
        </w:rPr>
        <w:t>The joining of calendar and government helps clarify the chapter’s governing argument. Knowledge before “nature” was not less practical because it served rites. Ritual schedules mobilized food, craft, transport, labor, and authority. Nor was administration secular in the modern sense because it counted commodities. Grain delivered to a temple remained grain and became offering, ration, estate product, tax, and support for divine service through the relations in which it moved.</w:t>
      </w:r>
    </w:p>
    <w:p w14:paraId="3D8B2DF9" w14:textId="77777777" w:rsidR="008A25E6" w:rsidRPr="00242A60" w:rsidRDefault="008A25E6" w:rsidP="008A25E6">
      <w:pPr>
        <w:pStyle w:val="BookBody"/>
      </w:pPr>
      <w:r w:rsidRPr="00242A60">
        <w:rPr>
          <w:szCs w:val="28"/>
        </w:rPr>
        <w:t>Uniform dates can therefore belong to a qualitative cosmos. The grid does not abolish sacred occasion; it makes occasion reproducible across generations. The same device that enables bureaucratic control enables collective memory. Calendar order nourishes and binds.</w:t>
      </w:r>
    </w:p>
    <w:p w14:paraId="1F6F8AB7" w14:textId="77777777" w:rsidR="008A25E6" w:rsidRPr="00242A60" w:rsidRDefault="008A25E6" w:rsidP="008A25E6">
      <w:pPr>
        <w:pStyle w:val="SectionHeading"/>
      </w:pPr>
      <w:r w:rsidRPr="00242A60">
        <w:rPr>
          <w:bCs/>
          <w:szCs w:val="28"/>
        </w:rPr>
        <w:t>Thirty-Six Decans and the Labor of Night</w:t>
      </w:r>
    </w:p>
    <w:p w14:paraId="15295F7B" w14:textId="77777777" w:rsidR="008A25E6" w:rsidRPr="00242A60" w:rsidRDefault="008A25E6" w:rsidP="008A25E6">
      <w:pPr>
        <w:pStyle w:val="BookBody"/>
      </w:pPr>
      <w:r w:rsidRPr="00242A60">
        <w:rPr>
          <w:szCs w:val="28"/>
        </w:rPr>
        <w:t>The second Egyptian material witness is not one portable object but a family of tables painted or inscribed on coffin lids and tomb ceilings. Rows of star names cross columns associated with ten-day periods and hours of night. Modern scholarship calls the relevant star groups or stellar markers decans. Their ordered appearances allowed night to be divided and the year to be traversed through a changing stellar schedule.</w:t>
      </w:r>
    </w:p>
    <w:p w14:paraId="6F40B2B8" w14:textId="77777777" w:rsidR="008A25E6" w:rsidRPr="00242A60" w:rsidRDefault="008A25E6" w:rsidP="008A25E6">
      <w:pPr>
        <w:pStyle w:val="BookBody"/>
      </w:pPr>
      <w:r w:rsidRPr="00242A60">
        <w:rPr>
          <w:szCs w:val="28"/>
        </w:rPr>
        <w:t>The earliest diagonal star clocks, known chiefly from Middle Kingdom coffins, are not clocks in the modern sense of devices producing equal units independently of season. They are tables relating dates to stellar risings or positions. As the year changes, different decans mark successive portions of night. The table makes the sky readable as a temporal sequence.</w:t>
      </w:r>
      <w:r w:rsidRPr="00242A60">
        <w:rPr>
          <w:szCs w:val="28"/>
          <w:vertAlign w:val="superscript"/>
        </w:rPr>
        <w:t>16</w:t>
      </w:r>
    </w:p>
    <w:p w14:paraId="20153029" w14:textId="77777777" w:rsidR="008A25E6" w:rsidRPr="00242A60" w:rsidRDefault="008A25E6" w:rsidP="008A25E6">
      <w:pPr>
        <w:pStyle w:val="BookBody"/>
      </w:pPr>
      <w:r w:rsidRPr="00242A60">
        <w:rPr>
          <w:szCs w:val="28"/>
        </w:rPr>
        <w:t xml:space="preserve">This is observation transformed into graphic form. A decanal table does not imitate the sky’s appearance. It arranges relations so that a trained reader can use them. Like a cuneiform list, it teaches a pattern. Unlike </w:t>
      </w:r>
      <w:r w:rsidRPr="00242A60">
        <w:rPr>
          <w:i/>
          <w:szCs w:val="28"/>
        </w:rPr>
        <w:t>MUL.APIN</w:t>
      </w:r>
      <w:r w:rsidRPr="00242A60">
        <w:rPr>
          <w:szCs w:val="28"/>
        </w:rPr>
        <w:t>, it belongs to Egyptian mortuary and ritual contexts whose imagery joins nocturnal passage, rebirth, stellar divinities, and the ordered afterlife.</w:t>
      </w:r>
    </w:p>
    <w:p w14:paraId="67E55D59" w14:textId="77777777" w:rsidR="008A25E6" w:rsidRPr="00242A60" w:rsidRDefault="008A25E6" w:rsidP="008A25E6">
      <w:pPr>
        <w:pStyle w:val="BookBody"/>
      </w:pPr>
      <w:r w:rsidRPr="00242A60">
        <w:rPr>
          <w:szCs w:val="28"/>
        </w:rPr>
        <w:t>To call the table only a religious symbol misses its horological knowledge. To call it an astronomical instrument stripped of mortuary meaning misses why it appears where it does. The dead person’s passage and the measured night were not accidentally placed together. Celestial order could be both a practical division of time and a field through which renewed life was imagined.</w:t>
      </w:r>
    </w:p>
    <w:p w14:paraId="653B11F8" w14:textId="77777777" w:rsidR="008A25E6" w:rsidRPr="00242A60" w:rsidRDefault="008A25E6" w:rsidP="008A25E6">
      <w:pPr>
        <w:pStyle w:val="BookBody"/>
      </w:pPr>
      <w:r w:rsidRPr="00242A60">
        <w:rPr>
          <w:szCs w:val="28"/>
        </w:rPr>
        <w:t>Later decanal transit clocks and Ramesside star tables used other arrangements and observational procedures. Surviving diagrams show a seated observer and a reference figure, with parts of the body helping state stellar position. The body enters the coordinate practice. “Over the right eye,” “over the heart,” or another relational phrase can encode where a star appears along a meridian or sight line. The image is not primitive geometry. It is a situated observational protocol.</w:t>
      </w:r>
    </w:p>
    <w:p w14:paraId="262D53DA" w14:textId="77777777" w:rsidR="008A25E6" w:rsidRPr="00242A60" w:rsidRDefault="008A25E6" w:rsidP="008A25E6">
      <w:pPr>
        <w:pStyle w:val="BookBody"/>
      </w:pPr>
      <w:r w:rsidRPr="00242A60">
        <w:rPr>
          <w:szCs w:val="28"/>
        </w:rPr>
        <w:t>Water clocks and shadow clocks supplemented stellar timekeeping. Their existence shows that Egyptian hours could be operationalized through material devices. But ancient hours were often seasonal: twelve portions of daylight and twelve of night changed length across the year. Equal modern hours are not the only possible exactness. A time system can divide a variable interval regularly according to the purpose it serves.</w:t>
      </w:r>
    </w:p>
    <w:p w14:paraId="33F6963B" w14:textId="77777777" w:rsidR="008A25E6" w:rsidRPr="00242A60" w:rsidRDefault="008A25E6" w:rsidP="008A25E6">
      <w:pPr>
        <w:pStyle w:val="BookBody"/>
      </w:pPr>
      <w:r w:rsidRPr="00242A60">
        <w:rPr>
          <w:szCs w:val="28"/>
        </w:rPr>
        <w:t>Priestly titles connected celestial observation to office. The “hour-priest” or horologist had responsibilities for determining time, while specialists associated with the sky appear across periods under changing titles. The evidence does not support imagining a modern observatory staff hidden in every temple. It does support trained custodians of nocturnal and calendrical order.</w:t>
      </w:r>
      <w:r w:rsidRPr="00242A60">
        <w:rPr>
          <w:szCs w:val="28"/>
          <w:vertAlign w:val="superscript"/>
        </w:rPr>
        <w:t>17</w:t>
      </w:r>
    </w:p>
    <w:p w14:paraId="15EE2C94" w14:textId="77777777" w:rsidR="008A25E6" w:rsidRPr="00242A60" w:rsidRDefault="008A25E6" w:rsidP="008A25E6">
      <w:pPr>
        <w:pStyle w:val="BookBody"/>
      </w:pPr>
      <w:r w:rsidRPr="00242A60">
        <w:rPr>
          <w:szCs w:val="28"/>
        </w:rPr>
        <w:t>Their work mattered because ritual occurs at times, not merely after durations. An offering, procession, recitation, or protective act can require the proper hour. Timekeeping therefore serves efficacy. The instrument is not external to the rite; it helps make the rite timely.</w:t>
      </w:r>
    </w:p>
    <w:p w14:paraId="6D30E6C1" w14:textId="77777777" w:rsidR="008A25E6" w:rsidRPr="00242A60" w:rsidRDefault="008A25E6" w:rsidP="008A25E6">
      <w:pPr>
        <w:pStyle w:val="BookBody"/>
      </w:pPr>
      <w:r w:rsidRPr="00242A60">
        <w:rPr>
          <w:szCs w:val="28"/>
        </w:rPr>
        <w:t>The decans also reveal what was lost when older scholarship treated mythic imagery as noise surrounding astronomical content. Stars on coffin lids are not data unfortunately trapped in religion. Their placement tells us what celestial regularity was for. The night could be traversed because it was ordered; the dead could be oriented because celestial recurrence exceeded one life.</w:t>
      </w:r>
    </w:p>
    <w:p w14:paraId="081174C6" w14:textId="77777777" w:rsidR="008A25E6" w:rsidRPr="00242A60" w:rsidRDefault="008A25E6" w:rsidP="008A25E6">
      <w:pPr>
        <w:pStyle w:val="BookBody"/>
      </w:pPr>
      <w:r w:rsidRPr="00242A60">
        <w:rPr>
          <w:szCs w:val="28"/>
        </w:rPr>
        <w:t>Still, the tables must not be made more precise than the evidence permits. Identifications of individual decans remain disputed. Precession changes stellar positions across centuries. Copying can preserve schemes after observational conditions shift. Text and sky do not always align cleanly. These difficulties are not embarrassments to be hidden. They show the historical interaction of inherited table, changing heaven, local horizon, and ritual continuity.</w:t>
      </w:r>
    </w:p>
    <w:p w14:paraId="20B990BF" w14:textId="77777777" w:rsidR="008A25E6" w:rsidRPr="00242A60" w:rsidRDefault="008A25E6" w:rsidP="008A25E6">
      <w:pPr>
        <w:pStyle w:val="BookBody"/>
      </w:pPr>
      <w:r w:rsidRPr="00242A60">
        <w:rPr>
          <w:szCs w:val="28"/>
        </w:rPr>
        <w:t>An Egyptian star clock is thus both less and more than a modern clock. It is less uniform, less mechanically autonomous, and harder to reconstruct. It is more openly joined to body, season, death, office, image, and divine order. Its hours belong to a world.</w:t>
      </w:r>
    </w:p>
    <w:p w14:paraId="09F2A770" w14:textId="77777777" w:rsidR="008A25E6" w:rsidRPr="00242A60" w:rsidRDefault="008A25E6" w:rsidP="008A25E6">
      <w:pPr>
        <w:pStyle w:val="SectionHeading"/>
      </w:pPr>
      <w:r w:rsidRPr="00242A60">
        <w:rPr>
          <w:bCs/>
          <w:szCs w:val="28"/>
        </w:rPr>
        <w:t>Temple, Horizon, and the Discipline of Alignment</w:t>
      </w:r>
    </w:p>
    <w:p w14:paraId="3D0E2212" w14:textId="77777777" w:rsidR="008A25E6" w:rsidRPr="00242A60" w:rsidRDefault="008A25E6" w:rsidP="008A25E6">
      <w:pPr>
        <w:pStyle w:val="BookBody"/>
      </w:pPr>
      <w:r w:rsidRPr="00242A60">
        <w:rPr>
          <w:szCs w:val="28"/>
        </w:rPr>
        <w:t>A temple does not become an observatory merely because its axis faces a sunrise. Buildings answer to terrain, earlier structures, processional routes, river channels, political display, construction limits, and symbolic demands. Claims about ancient astronomical alignment are especially vulnerable to selection: among many monuments and celestial events, some suggestive orientation can usually be found. Responsible archaeoastronomy begins by narrowing what the evidence can support.</w:t>
      </w:r>
    </w:p>
    <w:p w14:paraId="623DD0B9" w14:textId="77777777" w:rsidR="008A25E6" w:rsidRPr="00242A60" w:rsidRDefault="008A25E6" w:rsidP="008A25E6">
      <w:pPr>
        <w:pStyle w:val="BookBody"/>
      </w:pPr>
      <w:r w:rsidRPr="00242A60">
        <w:rPr>
          <w:szCs w:val="28"/>
        </w:rPr>
        <w:t>Yet orientation mattered. Egyptian building practices included procedures for establishing axes and cardinal or stellar directions. The ceremonial “stretching of the cord,” represented in later temple scenes and rooted in older foundation traditions, joined measurement, royal action, and divine assistance. A cord, sighting instrument, reference stars, and ritual performance could cooperate in establishing the building’s place.</w:t>
      </w:r>
      <w:r w:rsidRPr="00242A60">
        <w:rPr>
          <w:szCs w:val="28"/>
          <w:vertAlign w:val="superscript"/>
        </w:rPr>
        <w:t>18</w:t>
      </w:r>
    </w:p>
    <w:p w14:paraId="787D2E48" w14:textId="77777777" w:rsidR="008A25E6" w:rsidRPr="00242A60" w:rsidRDefault="008A25E6" w:rsidP="008A25E6">
      <w:pPr>
        <w:pStyle w:val="BookBody"/>
      </w:pPr>
      <w:r w:rsidRPr="00242A60">
        <w:rPr>
          <w:szCs w:val="28"/>
        </w:rPr>
        <w:t>The operation should not be divided too quickly into a real survey covered by symbolic theater. The ceremony made the measurement royal and cultic; the measurement made the ceremony materially consequential. If the line was wrong, the building did not acquire the intended axis. If the rite was omitted or improperly represented, the act lacked part of its instituted legitimacy. Technical and ritual efficacy met in the foundation.</w:t>
      </w:r>
    </w:p>
    <w:p w14:paraId="756581A1" w14:textId="77777777" w:rsidR="008A25E6" w:rsidRPr="00242A60" w:rsidRDefault="008A25E6" w:rsidP="008A25E6">
      <w:pPr>
        <w:pStyle w:val="BookBody"/>
      </w:pPr>
      <w:r w:rsidRPr="00242A60">
        <w:rPr>
          <w:szCs w:val="28"/>
        </w:rPr>
        <w:t>The result was not one Egyptian rule of orientation. Some temples respond strongly to the Nile or local topography. Others have axes plausibly related to solar rising or setting at significant seasons. Monumental complexes could use horizon effects in which the Sun appeared between structures or over a named feature. Belmonte and Lull’s synthesis is most useful when it treats “land- and skyscape” together: horizon, river, architecture, celestial event, text, and cultic tradition must converge before an alignment becomes historically persuasive.</w:t>
      </w:r>
      <w:r w:rsidRPr="00242A60">
        <w:rPr>
          <w:szCs w:val="28"/>
          <w:vertAlign w:val="superscript"/>
        </w:rPr>
        <w:t>19</w:t>
      </w:r>
    </w:p>
    <w:p w14:paraId="522AF8E5" w14:textId="77777777" w:rsidR="008A25E6" w:rsidRPr="00242A60" w:rsidRDefault="008A25E6" w:rsidP="008A25E6">
      <w:pPr>
        <w:pStyle w:val="BookBody"/>
      </w:pPr>
      <w:r w:rsidRPr="00242A60">
        <w:rPr>
          <w:szCs w:val="28"/>
        </w:rPr>
        <w:t>Karnak, Deir el-Bahari, Giza, Dendera, and other sites offer different problems rather than one pattern. The temptation to celebrate a secret master astronomy should be resisted as firmly as the temptation to call every orientation coincidence. A building can acquire meaning through an approximate relation enacted on certain days without functioning as a precision instrument.</w:t>
      </w:r>
    </w:p>
    <w:p w14:paraId="559B4953" w14:textId="77777777" w:rsidR="008A25E6" w:rsidRPr="00242A60" w:rsidRDefault="008A25E6" w:rsidP="008A25E6">
      <w:pPr>
        <w:pStyle w:val="BookBody"/>
      </w:pPr>
      <w:r w:rsidRPr="00242A60">
        <w:rPr>
          <w:szCs w:val="28"/>
        </w:rPr>
        <w:t>Temple architecture also models order without being a scale diagram of the universe. Pylons, courts, columns, darkness, elevation, enclosure, images, and processional paths organize a movement from public exterior toward restricted divine presence. Decorative programs can identify ceilings with sky, floors with fertile land or primordial waters, columns with vegetation, and sanctuaries with sites of emergence. The building does not merely picture a cosmos elsewhere. It creates a place where cosmic relations can be maintained.</w:t>
      </w:r>
    </w:p>
    <w:p w14:paraId="4158D0B7" w14:textId="77777777" w:rsidR="008A25E6" w:rsidRPr="00242A60" w:rsidRDefault="008A25E6" w:rsidP="008A25E6">
      <w:pPr>
        <w:pStyle w:val="BookBody"/>
      </w:pPr>
      <w:r w:rsidRPr="00242A60">
        <w:rPr>
          <w:szCs w:val="28"/>
        </w:rPr>
        <w:t>This maintenance required daily labor. Priests purified, opened shrines, clothed images, presented food, burned incense, recited speech, and restored the sanctuary to ordered readiness. Temple estates gathered agricultural goods and workers to sustain these acts. The cosmos entered administration through bread, beer, linen, oil, schedules, and access.</w:t>
      </w:r>
    </w:p>
    <w:p w14:paraId="074BD4F9" w14:textId="77777777" w:rsidR="008A25E6" w:rsidRPr="00242A60" w:rsidRDefault="008A25E6" w:rsidP="008A25E6">
      <w:pPr>
        <w:pStyle w:val="BookBody"/>
      </w:pPr>
      <w:r w:rsidRPr="00242A60">
        <w:rPr>
          <w:szCs w:val="28"/>
        </w:rPr>
        <w:t>Modern categories can describe each aspect separately. Architecture analyzes space; economics traces land and labor; history of religion interprets cult; astronomy tests orientation; political history examines kingship. The separation is methodologically productive. It becomes distortion only when one category is declared the real temple and the rest secondary meanings. The Egyptian temple was precisely the institution in which material, celestial, divine, agricultural, and royal relations were made to cooperate.</w:t>
      </w:r>
    </w:p>
    <w:p w14:paraId="03361BCB" w14:textId="77777777" w:rsidR="008A25E6" w:rsidRPr="00242A60" w:rsidRDefault="008A25E6" w:rsidP="008A25E6">
      <w:pPr>
        <w:pStyle w:val="BookBody"/>
      </w:pPr>
      <w:r w:rsidRPr="00242A60">
        <w:rPr>
          <w:szCs w:val="28"/>
        </w:rPr>
        <w:t>The aligned axis is therefore a modest but powerful witness. It does not prove that Egyptians possessed lost astronomical technology or that every temple encoded a celestial secret. It shows that measurement could establish qualitative place. Direction was neither pure coordinate nor private symbolism. It became a durable condition of ritual action.</w:t>
      </w:r>
    </w:p>
    <w:p w14:paraId="4DD4EB39" w14:textId="77777777" w:rsidR="008A25E6" w:rsidRPr="00242A60" w:rsidRDefault="008A25E6" w:rsidP="008A25E6">
      <w:pPr>
        <w:pStyle w:val="SectionHeading"/>
      </w:pPr>
      <w:r w:rsidRPr="00242A60">
        <w:rPr>
          <w:bCs/>
          <w:szCs w:val="28"/>
        </w:rPr>
        <w:t>Ma’at Is Not a Law of Nature</w:t>
      </w:r>
    </w:p>
    <w:p w14:paraId="7C50D78D" w14:textId="77777777" w:rsidR="008A25E6" w:rsidRPr="00242A60" w:rsidRDefault="008A25E6" w:rsidP="008A25E6">
      <w:pPr>
        <w:pStyle w:val="BookBody"/>
      </w:pPr>
      <w:r w:rsidRPr="00242A60">
        <w:rPr>
          <w:szCs w:val="28"/>
        </w:rPr>
        <w:t xml:space="preserve">The Egyptian word </w:t>
      </w:r>
      <w:r w:rsidRPr="00242A60">
        <w:rPr>
          <w:i/>
          <w:szCs w:val="28"/>
        </w:rPr>
        <w:t>Ma’at</w:t>
      </w:r>
      <w:r w:rsidRPr="00242A60">
        <w:rPr>
          <w:szCs w:val="28"/>
        </w:rPr>
        <w:t xml:space="preserve"> is often translated as truth, justice, order, rightness, or balance. None of these alone is sufficient, and their range should not be condensed into “cosmic law.” A law of nature describes what physical events do regardless of human conduct. Ma’at could be spoken, judged, offered, enacted, neglected, and restored. It named an order whose continuation implicated gods, king, officials, priests, and ordinary ethical action.</w:t>
      </w:r>
    </w:p>
    <w:p w14:paraId="446A3801" w14:textId="77777777" w:rsidR="008A25E6" w:rsidRPr="00242A60" w:rsidRDefault="008A25E6" w:rsidP="008A25E6">
      <w:pPr>
        <w:pStyle w:val="BookBody"/>
      </w:pPr>
      <w:r w:rsidRPr="00242A60">
        <w:rPr>
          <w:szCs w:val="28"/>
        </w:rPr>
        <w:t>Jan Assmann emphasizes the connective force of Ma’at. It joined persons through justice and reliable speech, linked political rule to divine order, and opposed the isolation and violence by which the common world disintegrates. Egyptian instructions and royal texts do not present Ma’at only as a diagram of the universe. They locate it in judgment, restraint, generosity, office, remembrance, cult, and care for the vulnerable.</w:t>
      </w:r>
      <w:r w:rsidRPr="00242A60">
        <w:rPr>
          <w:szCs w:val="28"/>
          <w:vertAlign w:val="superscript"/>
        </w:rPr>
        <w:t>20</w:t>
      </w:r>
    </w:p>
    <w:p w14:paraId="39F35AE7" w14:textId="77777777" w:rsidR="008A25E6" w:rsidRPr="00242A60" w:rsidRDefault="008A25E6" w:rsidP="008A25E6">
      <w:pPr>
        <w:pStyle w:val="BookBody"/>
      </w:pPr>
      <w:r w:rsidRPr="00242A60">
        <w:rPr>
          <w:szCs w:val="28"/>
        </w:rPr>
        <w:t>The king’s role was exemplary and dangerous. Temple scenes repeatedly show him offering Ma’at to a deity, even when priests performed the daily service in practice. The image states that legitimate kingship returns order to the gods and receives the conditions of order from them. Sovereignty becomes a circuit of maintenance rather than merely a power imposed upon subjects.</w:t>
      </w:r>
    </w:p>
    <w:p w14:paraId="47F30FE8" w14:textId="77777777" w:rsidR="008A25E6" w:rsidRPr="00242A60" w:rsidRDefault="008A25E6" w:rsidP="008A25E6">
      <w:pPr>
        <w:pStyle w:val="BookBody"/>
      </w:pPr>
      <w:r w:rsidRPr="00242A60">
        <w:rPr>
          <w:szCs w:val="28"/>
        </w:rPr>
        <w:t>The circuit conceals as well as reveals. By depicting the king as universal celebrant, monumental ideology can absorb the work of priests, artisans, farmers, boatmen, administrators, and laborers into one royal act. By naming enemies agents of disorder, it can present violence at the boundary as restoration. Cosmic responsibility authorizes rule; it does not guarantee justice.</w:t>
      </w:r>
    </w:p>
    <w:p w14:paraId="52B615C4" w14:textId="77777777" w:rsidR="008A25E6" w:rsidRPr="00242A60" w:rsidRDefault="008A25E6" w:rsidP="008A25E6">
      <w:pPr>
        <w:pStyle w:val="BookBody"/>
      </w:pPr>
      <w:r w:rsidRPr="00242A60">
        <w:rPr>
          <w:szCs w:val="28"/>
        </w:rPr>
        <w:t>This is why Ma’at must not become evidence that Egypt achieved harmony with nature. The society was hierarchical, extractive, and capable of coercion. Flood and harvest did not distribute themselves equally. Monumental permanence depended upon bodies whose voices seldom survive. A living cosmos can bind a community to obligations while allowing institutions to identify their interests with the whole.</w:t>
      </w:r>
    </w:p>
    <w:p w14:paraId="2E6DDBEB" w14:textId="77777777" w:rsidR="008A25E6" w:rsidRPr="00242A60" w:rsidRDefault="008A25E6" w:rsidP="008A25E6">
      <w:pPr>
        <w:pStyle w:val="BookBody"/>
      </w:pPr>
      <w:r w:rsidRPr="00242A60">
        <w:rPr>
          <w:szCs w:val="28"/>
        </w:rPr>
        <w:t>Yet the concept cannot be reduced to ideology. A language of justice can judge the ruler who invokes it. Laments and instructions imagine failures of reciprocity, false speech, corrupt judgment, hunger, and social reversal. The possibility of disorder gives Ma’at critical force. Order is not whatever power happens to accomplish.</w:t>
      </w:r>
    </w:p>
    <w:p w14:paraId="479A866F" w14:textId="77777777" w:rsidR="008A25E6" w:rsidRPr="00242A60" w:rsidRDefault="008A25E6" w:rsidP="008A25E6">
      <w:pPr>
        <w:pStyle w:val="BookBody"/>
      </w:pPr>
      <w:r w:rsidRPr="00242A60">
        <w:rPr>
          <w:szCs w:val="28"/>
        </w:rPr>
        <w:t>Nor is Ma’at a static equilibrium. Egyptian cosmogonic traditions often imagine ordered existence emerging from a prior undifferentiated condition while the surrounding possibility of dissolution remains. Solar renewal, temple service, festival, funerary provision, and ethical memory participate in repeated continuance. Order persists through recurrence, not once-for-all creation.</w:t>
      </w:r>
    </w:p>
    <w:p w14:paraId="0E2435C8" w14:textId="77777777" w:rsidR="008A25E6" w:rsidRPr="00242A60" w:rsidRDefault="008A25E6" w:rsidP="008A25E6">
      <w:pPr>
        <w:pStyle w:val="BookBody"/>
      </w:pPr>
      <w:r w:rsidRPr="00242A60">
        <w:rPr>
          <w:szCs w:val="28"/>
        </w:rPr>
        <w:t>The difference from a natural law is therefore decisive. Gravity does not need to be offered each morning. Ma’at does. This does not mean Egyptians believed the physical world would instantly vanish if a ritual failed. It means that the world worth inhabiting—fertile, truthful, politically coherent, divinely present, and open to renewed life—was not self-maintaining.</w:t>
      </w:r>
    </w:p>
    <w:p w14:paraId="1E2FEAE3" w14:textId="77777777" w:rsidR="008A25E6" w:rsidRPr="00242A60" w:rsidRDefault="008A25E6" w:rsidP="008A25E6">
      <w:pPr>
        <w:pStyle w:val="BookBody"/>
      </w:pPr>
      <w:r w:rsidRPr="00242A60">
        <w:rPr>
          <w:szCs w:val="28"/>
        </w:rPr>
        <w:t>Ma’at gathers the chapter’s Egyptian materials without erasing their differences. The civil calendar stabilizes succession; lunar and stellar cycles orient rites; decans articulate night; temple axes establish place; river rhythms condition agriculture; kingship claims responsibility; cultic labor renews relation. Their unity is practical before it is theoretical. Egyptian order is something done.</w:t>
      </w:r>
    </w:p>
    <w:p w14:paraId="2F52C6E8" w14:textId="77777777" w:rsidR="008A25E6" w:rsidRPr="00242A60" w:rsidRDefault="008A25E6" w:rsidP="008A25E6">
      <w:pPr>
        <w:pStyle w:val="SectionHeading"/>
      </w:pPr>
      <w:r w:rsidRPr="00242A60">
        <w:rPr>
          <w:bCs/>
          <w:szCs w:val="28"/>
        </w:rPr>
        <w:t>Comparison Without Fusion</w:t>
      </w:r>
    </w:p>
    <w:p w14:paraId="15A56DDA" w14:textId="77777777" w:rsidR="008A25E6" w:rsidRPr="00242A60" w:rsidRDefault="008A25E6" w:rsidP="008A25E6">
      <w:pPr>
        <w:pStyle w:val="BookBody"/>
      </w:pPr>
      <w:r w:rsidRPr="00242A60">
        <w:rPr>
          <w:szCs w:val="28"/>
        </w:rPr>
        <w:t>Mesopotamia and Egypt can now be compared because they have not been made the same. In both, celestial regularity became public through trained specialists, durable media, institutions, and political support. In both, measurement coexisted with divine significance. In both, calendars coordinated cycles that did not automatically coincide. In both, knowledge served order and therefore participated in hierarchy.</w:t>
      </w:r>
    </w:p>
    <w:p w14:paraId="0674072F" w14:textId="77777777" w:rsidR="008A25E6" w:rsidRPr="00242A60" w:rsidRDefault="008A25E6" w:rsidP="008A25E6">
      <w:pPr>
        <w:pStyle w:val="BookBody"/>
      </w:pPr>
      <w:r w:rsidRPr="00242A60">
        <w:rPr>
          <w:szCs w:val="28"/>
        </w:rPr>
        <w:t>But the dominant archival forms differ. Mesopotamian celestial scholarship speaks with unusual clarity in conditional omens, canonical series, scholarly reports, star lists, compendia, diaries, almanacs, and mathematical procedures. Egyptian knowledge is more widely distributed among calendars, priestly offices, mortuary tables, instruments, temple orientations, festival texts, and cosmic-political concepts. The Mesopotamian scholar often appears as reader of celestial signs for a king; the Egyptian specialist often appears as keeper of hours and rites within temple and mortuary orders. These are emphases, not mutually exclusive types.</w:t>
      </w:r>
    </w:p>
    <w:p w14:paraId="2C445863" w14:textId="77777777" w:rsidR="008A25E6" w:rsidRPr="00242A60" w:rsidRDefault="008A25E6" w:rsidP="008A25E6">
      <w:pPr>
        <w:pStyle w:val="BookBody"/>
      </w:pPr>
      <w:r w:rsidRPr="00242A60">
        <w:rPr>
          <w:szCs w:val="28"/>
        </w:rPr>
        <w:t>The gods also enter differently. Babylonian omen interpretation treated celestial phenomena as signs bearing implications for land and ruler. Egyptian celestial bodies and cycles could be divine manifestations, temporal markers, participants in mythic renewal, and features of temple and funerary iconography. “Religion and astronomy” names the conjunction too abstractly. Each tradition organized divine-celestial relations through different texts and practices.</w:t>
      </w:r>
    </w:p>
    <w:p w14:paraId="54FF9E49" w14:textId="77777777" w:rsidR="008A25E6" w:rsidRPr="00242A60" w:rsidRDefault="008A25E6" w:rsidP="008A25E6">
      <w:pPr>
        <w:pStyle w:val="BookBody"/>
      </w:pPr>
      <w:r w:rsidRPr="00242A60">
        <w:rPr>
          <w:szCs w:val="28"/>
        </w:rPr>
        <w:t>Neither tradition should be called holistic if the word implies seamless unity. Archives are fragmentary; specialists disagreed; calendars slipped; predictions failed; states collapsed; temples competed; texts were copied after their conditions changed. Knowledge created distinctions as much as it joined them. The living cosmos was articulated, not undivided.</w:t>
      </w:r>
    </w:p>
    <w:p w14:paraId="6D684BEE" w14:textId="77777777" w:rsidR="008A25E6" w:rsidRPr="00242A60" w:rsidRDefault="008A25E6" w:rsidP="008A25E6">
      <w:pPr>
        <w:pStyle w:val="BookBody"/>
      </w:pPr>
      <w:r w:rsidRPr="00242A60">
        <w:rPr>
          <w:szCs w:val="28"/>
        </w:rPr>
        <w:t>Nor should either be praised for avoiding the domination of nature. Canal building, agriculture, quarrying, animal sacrifice, warfare, taxation, and monumental construction transformed lands and bodies. The absence of a nature-culture dualism did not produce ecological innocence. It changed how transformations were justified and perceived.</w:t>
      </w:r>
    </w:p>
    <w:p w14:paraId="5535DB80" w14:textId="77777777" w:rsidR="008A25E6" w:rsidRPr="00242A60" w:rsidRDefault="008A25E6" w:rsidP="008A25E6">
      <w:pPr>
        <w:pStyle w:val="BookBody"/>
      </w:pPr>
      <w:r w:rsidRPr="00242A60">
        <w:rPr>
          <w:szCs w:val="28"/>
        </w:rPr>
        <w:t>What the two traditions disprove is a narrower thesis: that objective attention becomes possible only when significance is expelled from phenomena. Babylonian scribes could improve eclipse and planetary records while reading signs. Egyptian specialists could construct calendars and stellar tables while serving cultic renewal. The practices were empirical in the basic sense that recurring appearances constrained them. They were not empirical according to every criterion of modern experimental science.</w:t>
      </w:r>
    </w:p>
    <w:p w14:paraId="0E32A907" w14:textId="77777777" w:rsidR="008A25E6" w:rsidRPr="00242A60" w:rsidRDefault="008A25E6" w:rsidP="008A25E6">
      <w:pPr>
        <w:pStyle w:val="BookBody"/>
      </w:pPr>
      <w:r w:rsidRPr="00242A60">
        <w:rPr>
          <w:szCs w:val="28"/>
        </w:rPr>
        <w:t>The distinction protects both history and criticism. We do not need to accept celestial omens in order to recognize disciplined observation. We do not need to treat temple alignments as modern astronomy in order to recognize exact orientation. We do not need to romanticize Ma’at in order to understand a public order joining truth, justice, kingship, land, and divine service.</w:t>
      </w:r>
    </w:p>
    <w:p w14:paraId="488B17C2" w14:textId="77777777" w:rsidR="008A25E6" w:rsidRPr="00242A60" w:rsidRDefault="008A25E6" w:rsidP="008A25E6">
      <w:pPr>
        <w:pStyle w:val="BookBody"/>
      </w:pPr>
      <w:r w:rsidRPr="00242A60">
        <w:rPr>
          <w:szCs w:val="28"/>
        </w:rPr>
        <w:t>The comparison also identifies a threshold. Once knowledge of regularity exists, it can be reorganized. A calendar rule can be detached from the ritual network in which it arose. A positional record can travel into another astronomy. A numerical scheme can survive the gods named in its sky. Durable media allow knowledge to exceed its first world.</w:t>
      </w:r>
    </w:p>
    <w:p w14:paraId="1B1B3962" w14:textId="77777777" w:rsidR="008A25E6" w:rsidRPr="00242A60" w:rsidRDefault="008A25E6" w:rsidP="008A25E6">
      <w:pPr>
        <w:pStyle w:val="BookBody"/>
      </w:pPr>
      <w:r w:rsidRPr="00242A60">
        <w:rPr>
          <w:szCs w:val="28"/>
        </w:rPr>
        <w:t>Yet detachment is not automatic. It requires new questions, institutions, languages, and standards of explanation. The Greek transformation will not discover that Babylonians and Egyptians had only observed while Greeks began to think. It will make world-order itself an explicit object of argument.</w:t>
      </w:r>
    </w:p>
    <w:p w14:paraId="7E751826" w14:textId="77777777" w:rsidR="008A25E6" w:rsidRPr="00242A60" w:rsidRDefault="008A25E6" w:rsidP="008A25E6">
      <w:pPr>
        <w:pStyle w:val="SectionHeading"/>
      </w:pPr>
      <w:r w:rsidRPr="00242A60">
        <w:rPr>
          <w:bCs/>
          <w:szCs w:val="28"/>
        </w:rPr>
        <w:t xml:space="preserve">Before the World Became </w:t>
      </w:r>
      <w:r w:rsidRPr="00242A60">
        <w:rPr>
          <w:bCs/>
          <w:i/>
          <w:szCs w:val="28"/>
        </w:rPr>
        <w:t>Kosmos</w:t>
      </w:r>
    </w:p>
    <w:p w14:paraId="6D2C68CE" w14:textId="77777777" w:rsidR="008A25E6" w:rsidRPr="00242A60" w:rsidRDefault="008A25E6" w:rsidP="008A25E6">
      <w:pPr>
        <w:pStyle w:val="BookBody"/>
      </w:pPr>
      <w:r w:rsidRPr="00242A60">
        <w:rPr>
          <w:szCs w:val="28"/>
        </w:rPr>
        <w:t xml:space="preserve">The Greek word </w:t>
      </w:r>
      <w:r w:rsidRPr="00242A60">
        <w:rPr>
          <w:i/>
          <w:szCs w:val="28"/>
        </w:rPr>
        <w:t>kosmos</w:t>
      </w:r>
      <w:r w:rsidRPr="00242A60">
        <w:rPr>
          <w:szCs w:val="28"/>
        </w:rPr>
        <w:t xml:space="preserve"> would gather order, arrangement, and adornment into a name for the ordered whole. That gathering was not a translation of one Babylonian or Egyptian concept. It was a rearticulation. Greek thinkers inherited and encountered Near Eastern astronomical knowledge, calendrical practices, cosmogonies, mathematical techniques, and political forms, but they asked new questions about the unity, origin, material principles, geometry, and causes of the world.</w:t>
      </w:r>
    </w:p>
    <w:p w14:paraId="5BBDA28B" w14:textId="77777777" w:rsidR="008A25E6" w:rsidRPr="00242A60" w:rsidRDefault="008A25E6" w:rsidP="008A25E6">
      <w:pPr>
        <w:pStyle w:val="BookBody"/>
      </w:pPr>
      <w:r w:rsidRPr="00242A60">
        <w:rPr>
          <w:szCs w:val="28"/>
        </w:rPr>
        <w:t>The novelty should be stated without manufacturing a miracle. Greek philosophy emerged in a Mediterranean and Near Eastern field of exchange. Celestial periods and records did not begin in Ionia. Monumental geometry did not begin with philosophical proof. Writing, number, navigation, calendars, and temple cultures already possessed deep histories. What changed was the authority increasingly claimed by an argumentative account of the whole.</w:t>
      </w:r>
    </w:p>
    <w:p w14:paraId="15118424" w14:textId="77777777" w:rsidR="008A25E6" w:rsidRPr="00242A60" w:rsidRDefault="008A25E6" w:rsidP="008A25E6">
      <w:pPr>
        <w:pStyle w:val="BookBody"/>
      </w:pPr>
      <w:r w:rsidRPr="00242A60">
        <w:rPr>
          <w:szCs w:val="28"/>
        </w:rPr>
        <w:t>When a thinker asks what everything is made from, whether the world is one or many, whether order arose or is eternal, or what kind of cause explains celestial motion, inherited divine narratives become available for criticism and transformation. The question shifts from reading signs within an order to giving an account of order as such. This shift is neither complete nor uniform. Greek philosophy continues to invoke gods, souls, purposes, and cosmic justice. But the field of explanation changes.</w:t>
      </w:r>
    </w:p>
    <w:p w14:paraId="5C072428" w14:textId="77777777" w:rsidR="008A25E6" w:rsidRPr="00242A60" w:rsidRDefault="008A25E6" w:rsidP="008A25E6">
      <w:pPr>
        <w:pStyle w:val="BookBody"/>
      </w:pPr>
      <w:r w:rsidRPr="00242A60">
        <w:rPr>
          <w:szCs w:val="28"/>
        </w:rPr>
        <w:t xml:space="preserve">Plato’s </w:t>
      </w:r>
      <w:r w:rsidRPr="00242A60">
        <w:rPr>
          <w:i/>
          <w:szCs w:val="28"/>
        </w:rPr>
        <w:t>Timaeus</w:t>
      </w:r>
      <w:r w:rsidRPr="00242A60">
        <w:rPr>
          <w:szCs w:val="28"/>
        </w:rPr>
        <w:t xml:space="preserve"> will call the visible world a living creature, ordered according to an intelligible model. Aristotle will reject its temporal making while constructing a finite differentiated cosmos of natural motions, elements, causes, and ends. Both philosophical systems remain qualitative. Neither is modern nature. Yet each translates cosmic life into concepts capable of extended argument: form, matter, soul, place, motion, cause, end, eternity.</w:t>
      </w:r>
    </w:p>
    <w:p w14:paraId="1902EC86" w14:textId="77777777" w:rsidR="008A25E6" w:rsidRPr="00242A60" w:rsidRDefault="008A25E6" w:rsidP="008A25E6">
      <w:pPr>
        <w:pStyle w:val="BookBody"/>
      </w:pPr>
      <w:r w:rsidRPr="00242A60">
        <w:rPr>
          <w:szCs w:val="28"/>
        </w:rPr>
        <w:t>The tablet, temple, river, and sky do not disappear when philosophy begins. They are redescribed. Babylonian observations enter later Greek astronomy through complex routes. Egyptian calendars and priestly knowledge encounter Hellenistic forms. Temples endure under new empires. The old practices continue alongside the new articulation.</w:t>
      </w:r>
    </w:p>
    <w:p w14:paraId="203889ED" w14:textId="77777777" w:rsidR="008A25E6" w:rsidRPr="00242A60" w:rsidRDefault="008A25E6" w:rsidP="008A25E6">
      <w:pPr>
        <w:pStyle w:val="BookBody"/>
      </w:pPr>
      <w:r w:rsidRPr="00242A60">
        <w:rPr>
          <w:szCs w:val="28"/>
        </w:rPr>
        <w:t xml:space="preserve">The transition is therefore not from myth to reason. Mythic narration can organize distinctions; divination can require judgment; calendars can abstract; philosophy can mythologize; mathematical astronomy can coexist with horoscopy. The sharper transition is from orders enacted and read through inherited practices toward a </w:t>
      </w:r>
      <w:r w:rsidRPr="00242A60">
        <w:rPr>
          <w:i/>
          <w:szCs w:val="28"/>
        </w:rPr>
        <w:t>kosmos</w:t>
      </w:r>
      <w:r w:rsidRPr="00242A60">
        <w:rPr>
          <w:szCs w:val="28"/>
        </w:rPr>
        <w:t xml:space="preserve"> increasingly defended by accounts of what the whole is and why it moves as it does.</w:t>
      </w:r>
    </w:p>
    <w:p w14:paraId="34101A3F" w14:textId="77777777" w:rsidR="008A25E6" w:rsidRPr="00242A60" w:rsidRDefault="008A25E6" w:rsidP="008A25E6">
      <w:pPr>
        <w:pStyle w:val="BookBody"/>
      </w:pPr>
      <w:r w:rsidRPr="00242A60">
        <w:rPr>
          <w:szCs w:val="28"/>
        </w:rPr>
        <w:t>This chapter has stayed on the earlier side of that threshold. It has shown repeatable observation before nature became an autonomous domain, mathematical order before mechanism, and public significance before meaning was confined to a subject. It has also shown the price of such density: royal anxiety written into the sky, authority concentrated in experts, labor hidden by cosmic office, and political hierarchy presented as maintenance of the world.</w:t>
      </w:r>
    </w:p>
    <w:p w14:paraId="68CBB1DC" w14:textId="77777777" w:rsidR="008A25E6" w:rsidRPr="00242A60" w:rsidRDefault="008A25E6" w:rsidP="008A25E6">
      <w:pPr>
        <w:pStyle w:val="BookBody"/>
      </w:pPr>
      <w:r w:rsidRPr="00242A60">
        <w:rPr>
          <w:szCs w:val="28"/>
        </w:rPr>
        <w:t>The material witnesses remain. A cuneiform tablet turns a night into an archive. A decanal table turns changing stars into a path through darkness. A temple axis turns measurement into place. A calendar turns mismatched cycles into civic recurrence. None is merely an idea. Each recruits matter to make order last.</w:t>
      </w:r>
    </w:p>
    <w:p w14:paraId="69732FFE" w14:textId="77777777" w:rsidR="008A25E6" w:rsidRPr="00242A60" w:rsidRDefault="008A25E6" w:rsidP="008A25E6">
      <w:pPr>
        <w:pStyle w:val="BookBody"/>
      </w:pPr>
      <w:r w:rsidRPr="00242A60">
        <w:rPr>
          <w:szCs w:val="28"/>
        </w:rPr>
        <w:t>The living cosmos did not consist in believing that everything was alive. It lived because sky, river, city, rite, number, kingship, and obligation could answer one another in public. Knowledge did not stand outside that order. It was one of the practices by which the order watched itself.</w:t>
      </w:r>
    </w:p>
    <w:p w14:paraId="030512C5" w14:textId="77777777" w:rsidR="008A25E6" w:rsidRPr="00242A60" w:rsidRDefault="008A25E6" w:rsidP="008A25E6">
      <w:pPr>
        <w:pStyle w:val="BookBody"/>
      </w:pPr>
      <w:r w:rsidRPr="00242A60">
        <w:rPr>
          <w:szCs w:val="28"/>
        </w:rPr>
        <w:t xml:space="preserve">Greek philosophy will now ask what kind of whole can contain such relations. The question will transform inherited worlds into </w:t>
      </w:r>
      <w:r w:rsidRPr="00242A60">
        <w:rPr>
          <w:i/>
          <w:szCs w:val="28"/>
        </w:rPr>
        <w:t>kosmos</w:t>
      </w:r>
      <w:r w:rsidRPr="00242A60">
        <w:rPr>
          <w:szCs w:val="28"/>
        </w:rPr>
        <w:t>. In making cosmic order explicit, it will give later centuries the very structure that mechanism must eventually dismantle.</w:t>
      </w:r>
    </w:p>
    <w:p w14:paraId="74ADCDD4" w14:textId="77777777" w:rsidR="008A25E6" w:rsidRPr="00242A60" w:rsidRDefault="008A25E6" w:rsidP="008A25E6">
      <w:pPr>
        <w:pStyle w:val="NotesHeading"/>
      </w:pPr>
      <w:r w:rsidRPr="00242A60">
        <w:rPr>
          <w:bCs/>
          <w:szCs w:val="28"/>
        </w:rPr>
        <w:t>Notes</w:t>
      </w:r>
    </w:p>
    <w:p w14:paraId="4ABE3C0C" w14:textId="77777777" w:rsidR="008A25E6" w:rsidRPr="00242A60" w:rsidRDefault="008A25E6" w:rsidP="008A25E6">
      <w:pPr>
        <w:pStyle w:val="NoteEntry"/>
      </w:pPr>
      <w:r w:rsidRPr="00242A60">
        <w:rPr>
          <w:szCs w:val="28"/>
        </w:rPr>
        <w:t xml:space="preserve">1. Francesca Rochberg, </w:t>
      </w:r>
      <w:r w:rsidRPr="00242A60">
        <w:rPr>
          <w:i/>
          <w:szCs w:val="28"/>
        </w:rPr>
        <w:t>The Heavenly Writing: Divination, Horoscopy, and Astronomy in Mesopotamian Culture</w:t>
      </w:r>
      <w:r w:rsidRPr="00242A60">
        <w:rPr>
          <w:szCs w:val="28"/>
        </w:rPr>
        <w:t xml:space="preserve"> (Cambridge: Cambridge University Press, 2004), preface and chaps. 2, 5–7; Francesca Rochberg, </w:t>
      </w:r>
      <w:r w:rsidRPr="00242A60">
        <w:rPr>
          <w:i/>
          <w:szCs w:val="28"/>
        </w:rPr>
        <w:t>Before Nature: Cuneiform Knowledge and the History of Science</w:t>
      </w:r>
      <w:r w:rsidRPr="00242A60">
        <w:rPr>
          <w:szCs w:val="28"/>
        </w:rPr>
        <w:t xml:space="preserve"> (Chicago: University of Chicago Press, 2016), introduction and chaps. 1–2.</w:t>
      </w:r>
    </w:p>
    <w:p w14:paraId="7F1276D7" w14:textId="77777777" w:rsidR="008A25E6" w:rsidRPr="00242A60" w:rsidRDefault="008A25E6" w:rsidP="008A25E6">
      <w:pPr>
        <w:pStyle w:val="NoteEntry"/>
      </w:pPr>
      <w:r w:rsidRPr="00242A60">
        <w:rPr>
          <w:szCs w:val="28"/>
        </w:rPr>
        <w:t xml:space="preserve">2. Susan Pollock, </w:t>
      </w:r>
      <w:r w:rsidRPr="00242A60">
        <w:rPr>
          <w:i/>
          <w:szCs w:val="28"/>
        </w:rPr>
        <w:t>Ancient Mesopotamia: The Eden That Never Was</w:t>
      </w:r>
      <w:r w:rsidRPr="00242A60">
        <w:rPr>
          <w:szCs w:val="28"/>
        </w:rPr>
        <w:t xml:space="preserve"> (Cambridge: Cambridge University Press, 1999), 1–22, 45–61, 85–109. The supplied file name includes “2023,” but the book’s copyright page identifies the edition as first published in 1999 and fifth printed in 2004.</w:t>
      </w:r>
    </w:p>
    <w:p w14:paraId="0266182F" w14:textId="77777777" w:rsidR="008A25E6" w:rsidRPr="00242A60" w:rsidRDefault="008A25E6" w:rsidP="008A25E6">
      <w:pPr>
        <w:pStyle w:val="NoteEntry"/>
      </w:pPr>
      <w:r w:rsidRPr="00242A60">
        <w:rPr>
          <w:szCs w:val="28"/>
        </w:rPr>
        <w:t xml:space="preserve">3. Barry J. Kemp, </w:t>
      </w:r>
      <w:r w:rsidRPr="00242A60">
        <w:rPr>
          <w:i/>
          <w:szCs w:val="28"/>
        </w:rPr>
        <w:t>Ancient Egypt: Anatomy of a Civilization</w:t>
      </w:r>
      <w:r w:rsidRPr="00242A60">
        <w:rPr>
          <w:szCs w:val="28"/>
        </w:rPr>
        <w:t>, 3rd ed. (London: Routledge, 2018), 19–37 and chaps. 2, 4–5.</w:t>
      </w:r>
    </w:p>
    <w:p w14:paraId="21BA8324" w14:textId="77777777" w:rsidR="008A25E6" w:rsidRPr="00242A60" w:rsidRDefault="008A25E6" w:rsidP="008A25E6">
      <w:pPr>
        <w:pStyle w:val="NoteEntry"/>
      </w:pPr>
      <w:r w:rsidRPr="00242A60">
        <w:rPr>
          <w:szCs w:val="28"/>
        </w:rPr>
        <w:t xml:space="preserve">4. Rochberg, </w:t>
      </w:r>
      <w:r w:rsidRPr="00242A60">
        <w:rPr>
          <w:i/>
          <w:szCs w:val="28"/>
        </w:rPr>
        <w:t>Heavenly Writing</w:t>
      </w:r>
      <w:r w:rsidRPr="00242A60">
        <w:rPr>
          <w:szCs w:val="28"/>
        </w:rPr>
        <w:t>, ix–xii, 11–43, 209–64.</w:t>
      </w:r>
    </w:p>
    <w:p w14:paraId="0B45BB2C" w14:textId="77777777" w:rsidR="008A25E6" w:rsidRPr="00242A60" w:rsidRDefault="008A25E6" w:rsidP="008A25E6">
      <w:pPr>
        <w:pStyle w:val="NoteEntry"/>
      </w:pPr>
      <w:r w:rsidRPr="00242A60">
        <w:rPr>
          <w:szCs w:val="28"/>
        </w:rPr>
        <w:t xml:space="preserve">5. Hermann Hunger and David Pingree, </w:t>
      </w:r>
      <w:r w:rsidRPr="00242A60">
        <w:rPr>
          <w:i/>
          <w:szCs w:val="28"/>
        </w:rPr>
        <w:t>Astral Sciences in Mesopotamia</w:t>
      </w:r>
      <w:r w:rsidRPr="00242A60">
        <w:rPr>
          <w:szCs w:val="28"/>
        </w:rPr>
        <w:t xml:space="preserve"> (Leiden: Brill, 1999), 1–8.</w:t>
      </w:r>
    </w:p>
    <w:p w14:paraId="0D2A4F38" w14:textId="77777777" w:rsidR="008A25E6" w:rsidRPr="00242A60" w:rsidRDefault="008A25E6" w:rsidP="008A25E6">
      <w:pPr>
        <w:pStyle w:val="NoteEntry"/>
      </w:pPr>
      <w:r w:rsidRPr="00242A60">
        <w:rPr>
          <w:szCs w:val="28"/>
        </w:rPr>
        <w:t xml:space="preserve">6. Rochberg, </w:t>
      </w:r>
      <w:r w:rsidRPr="00242A60">
        <w:rPr>
          <w:i/>
          <w:szCs w:val="28"/>
        </w:rPr>
        <w:t>Heavenly Writing</w:t>
      </w:r>
      <w:r w:rsidRPr="00242A60">
        <w:rPr>
          <w:szCs w:val="28"/>
        </w:rPr>
        <w:t>, 44–98, 165–208.</w:t>
      </w:r>
    </w:p>
    <w:p w14:paraId="2B2DCEB8" w14:textId="77777777" w:rsidR="008A25E6" w:rsidRPr="00242A60" w:rsidRDefault="008A25E6" w:rsidP="008A25E6">
      <w:pPr>
        <w:pStyle w:val="NoteEntry"/>
      </w:pPr>
      <w:r w:rsidRPr="00242A60">
        <w:rPr>
          <w:szCs w:val="28"/>
        </w:rPr>
        <w:t xml:space="preserve">7. Hunger and Pingree, </w:t>
      </w:r>
      <w:r w:rsidRPr="00242A60">
        <w:rPr>
          <w:i/>
          <w:szCs w:val="28"/>
        </w:rPr>
        <w:t>Astral Sciences</w:t>
      </w:r>
      <w:r w:rsidRPr="00242A60">
        <w:rPr>
          <w:szCs w:val="28"/>
        </w:rPr>
        <w:t>, 5–31. Their discussion distinguishes the conditional formulation, the limited validity of some omens, and the ritual means by which threatened consequences could be addressed.</w:t>
      </w:r>
    </w:p>
    <w:p w14:paraId="1760253D" w14:textId="77777777" w:rsidR="008A25E6" w:rsidRPr="00242A60" w:rsidRDefault="008A25E6" w:rsidP="008A25E6">
      <w:pPr>
        <w:pStyle w:val="NoteEntry"/>
      </w:pPr>
      <w:r w:rsidRPr="00242A60">
        <w:rPr>
          <w:szCs w:val="28"/>
        </w:rPr>
        <w:t xml:space="preserve">8. Rochberg, </w:t>
      </w:r>
      <w:r w:rsidRPr="00242A60">
        <w:rPr>
          <w:i/>
          <w:szCs w:val="28"/>
        </w:rPr>
        <w:t>Heavenly Writing</w:t>
      </w:r>
      <w:r w:rsidRPr="00242A60">
        <w:rPr>
          <w:szCs w:val="28"/>
        </w:rPr>
        <w:t>, 145–208.</w:t>
      </w:r>
    </w:p>
    <w:p w14:paraId="5E815812" w14:textId="77777777" w:rsidR="008A25E6" w:rsidRPr="00242A60" w:rsidRDefault="008A25E6" w:rsidP="008A25E6">
      <w:pPr>
        <w:pStyle w:val="NoteEntry"/>
      </w:pPr>
      <w:r w:rsidRPr="00242A60">
        <w:rPr>
          <w:szCs w:val="28"/>
        </w:rPr>
        <w:t xml:space="preserve">9. Hermann Hunger and John M. Steele, </w:t>
      </w:r>
      <w:r w:rsidRPr="00242A60">
        <w:rPr>
          <w:i/>
          <w:szCs w:val="28"/>
        </w:rPr>
        <w:t>The Babylonian Astronomical Compendium MUL.APIN</w:t>
      </w:r>
      <w:r w:rsidRPr="00242A60">
        <w:rPr>
          <w:szCs w:val="28"/>
        </w:rPr>
        <w:t xml:space="preserve"> (London: Routledge, 2019), 1–10.</w:t>
      </w:r>
    </w:p>
    <w:p w14:paraId="231C8C3F" w14:textId="77777777" w:rsidR="008A25E6" w:rsidRPr="00242A60" w:rsidRDefault="008A25E6" w:rsidP="008A25E6">
      <w:pPr>
        <w:pStyle w:val="NoteEntry"/>
      </w:pPr>
      <w:r w:rsidRPr="00242A60">
        <w:rPr>
          <w:szCs w:val="28"/>
        </w:rPr>
        <w:t xml:space="preserve">10. Hunger and Steele, </w:t>
      </w:r>
      <w:r w:rsidRPr="00242A60">
        <w:rPr>
          <w:i/>
          <w:szCs w:val="28"/>
        </w:rPr>
        <w:t>MUL.APIN</w:t>
      </w:r>
      <w:r w:rsidRPr="00242A60">
        <w:rPr>
          <w:szCs w:val="28"/>
        </w:rPr>
        <w:t xml:space="preserve">, 3–18; Hunger and Pingree, </w:t>
      </w:r>
      <w:r w:rsidRPr="00242A60">
        <w:rPr>
          <w:i/>
          <w:szCs w:val="28"/>
        </w:rPr>
        <w:t>Astral Sciences</w:t>
      </w:r>
      <w:r w:rsidRPr="00242A60">
        <w:rPr>
          <w:szCs w:val="28"/>
        </w:rPr>
        <w:t>, 57–93.</w:t>
      </w:r>
    </w:p>
    <w:p w14:paraId="193D2155" w14:textId="77777777" w:rsidR="008A25E6" w:rsidRPr="00242A60" w:rsidRDefault="008A25E6" w:rsidP="008A25E6">
      <w:pPr>
        <w:pStyle w:val="NoteEntry"/>
      </w:pPr>
      <w:r w:rsidRPr="00242A60">
        <w:rPr>
          <w:szCs w:val="28"/>
        </w:rPr>
        <w:t xml:space="preserve">11. Abraham J. Sachs and Hermann Hunger, </w:t>
      </w:r>
      <w:r w:rsidRPr="00242A60">
        <w:rPr>
          <w:i/>
          <w:szCs w:val="28"/>
        </w:rPr>
        <w:t>Astronomical Diaries and Related Texts from Babylonia</w:t>
      </w:r>
      <w:r w:rsidRPr="00242A60">
        <w:rPr>
          <w:szCs w:val="28"/>
        </w:rPr>
        <w:t xml:space="preserve">, vols. 1–3 (Vienna: Austrian Academy of Sciences Press, 1988–1996); Hermann Hunger, </w:t>
      </w:r>
      <w:r w:rsidRPr="00242A60">
        <w:rPr>
          <w:i/>
          <w:szCs w:val="28"/>
        </w:rPr>
        <w:t>Astronomical Diaries and Related Texts from Babylonia</w:t>
      </w:r>
      <w:r w:rsidRPr="00242A60">
        <w:rPr>
          <w:szCs w:val="28"/>
        </w:rPr>
        <w:t xml:space="preserve">, vol. 7, </w:t>
      </w:r>
      <w:r w:rsidRPr="00242A60">
        <w:rPr>
          <w:i/>
          <w:szCs w:val="28"/>
        </w:rPr>
        <w:t>Almanacs and Normal Star Almanacs</w:t>
      </w:r>
      <w:r w:rsidRPr="00242A60">
        <w:rPr>
          <w:szCs w:val="28"/>
        </w:rPr>
        <w:t xml:space="preserve"> (Vienna: Austrian Academy of Sciences Press, 2014), ix–xx. The supplied volume is Volume 7; it is used here for the mature late-Babylonian observational and predictive tradition, not as primary evidence for early omen practice.</w:t>
      </w:r>
    </w:p>
    <w:p w14:paraId="5934888D" w14:textId="77777777" w:rsidR="008A25E6" w:rsidRPr="00242A60" w:rsidRDefault="008A25E6" w:rsidP="008A25E6">
      <w:pPr>
        <w:pStyle w:val="NoteEntry"/>
      </w:pPr>
      <w:r w:rsidRPr="00242A60">
        <w:rPr>
          <w:szCs w:val="28"/>
        </w:rPr>
        <w:t xml:space="preserve">12. Hunger and Pingree, </w:t>
      </w:r>
      <w:r w:rsidRPr="00242A60">
        <w:rPr>
          <w:i/>
          <w:szCs w:val="28"/>
        </w:rPr>
        <w:t>Astral Sciences</w:t>
      </w:r>
      <w:r w:rsidRPr="00242A60">
        <w:rPr>
          <w:szCs w:val="28"/>
        </w:rPr>
        <w:t xml:space="preserve">, 139–223; Rochberg, </w:t>
      </w:r>
      <w:r w:rsidRPr="00242A60">
        <w:rPr>
          <w:i/>
          <w:szCs w:val="28"/>
        </w:rPr>
        <w:t>Heavenly Writing</w:t>
      </w:r>
      <w:r w:rsidRPr="00242A60">
        <w:rPr>
          <w:szCs w:val="28"/>
        </w:rPr>
        <w:t>, 99–144, 237–86.</w:t>
      </w:r>
    </w:p>
    <w:p w14:paraId="4F677EC9" w14:textId="77777777" w:rsidR="008A25E6" w:rsidRPr="00242A60" w:rsidRDefault="008A25E6" w:rsidP="008A25E6">
      <w:pPr>
        <w:pStyle w:val="NoteEntry"/>
      </w:pPr>
      <w:r w:rsidRPr="00242A60">
        <w:rPr>
          <w:szCs w:val="28"/>
        </w:rPr>
        <w:t xml:space="preserve">13. Juan Antonio Belmonte and José Lull, eds., </w:t>
      </w:r>
      <w:r w:rsidRPr="00242A60">
        <w:rPr>
          <w:i/>
          <w:szCs w:val="28"/>
        </w:rPr>
        <w:t>Astronomy of Ancient Egypt: A Cultural Perspective</w:t>
      </w:r>
      <w:r w:rsidRPr="00242A60">
        <w:rPr>
          <w:szCs w:val="28"/>
        </w:rPr>
        <w:t xml:space="preserve"> (Cham: Springer, 2023), 307–76; Kemp, </w:t>
      </w:r>
      <w:r w:rsidRPr="00242A60">
        <w:rPr>
          <w:i/>
          <w:szCs w:val="28"/>
        </w:rPr>
        <w:t>Ancient Egypt</w:t>
      </w:r>
      <w:r w:rsidRPr="00242A60">
        <w:rPr>
          <w:szCs w:val="28"/>
        </w:rPr>
        <w:t>, 19–37.</w:t>
      </w:r>
    </w:p>
    <w:p w14:paraId="5077BEA2" w14:textId="77777777" w:rsidR="008A25E6" w:rsidRPr="00242A60" w:rsidRDefault="008A25E6" w:rsidP="008A25E6">
      <w:pPr>
        <w:pStyle w:val="NoteEntry"/>
      </w:pPr>
      <w:r w:rsidRPr="00242A60">
        <w:rPr>
          <w:szCs w:val="28"/>
        </w:rPr>
        <w:t xml:space="preserve">14. R. A. Parker, </w:t>
      </w:r>
      <w:r w:rsidRPr="00242A60">
        <w:rPr>
          <w:i/>
          <w:szCs w:val="28"/>
        </w:rPr>
        <w:t>The Calendars of Ancient Egypt</w:t>
      </w:r>
      <w:r w:rsidRPr="00242A60">
        <w:rPr>
          <w:szCs w:val="28"/>
        </w:rPr>
        <w:t xml:space="preserve"> (Chicago: University of Chicago Press, 1950), vii–viii, 1–56.</w:t>
      </w:r>
    </w:p>
    <w:p w14:paraId="1CD92FFC" w14:textId="77777777" w:rsidR="008A25E6" w:rsidRPr="00242A60" w:rsidRDefault="008A25E6" w:rsidP="008A25E6">
      <w:pPr>
        <w:pStyle w:val="NoteEntry"/>
      </w:pPr>
      <w:r w:rsidRPr="00242A60">
        <w:rPr>
          <w:szCs w:val="28"/>
        </w:rPr>
        <w:t xml:space="preserve">15. Belmonte and Lull, </w:t>
      </w:r>
      <w:r w:rsidRPr="00242A60">
        <w:rPr>
          <w:i/>
          <w:szCs w:val="28"/>
        </w:rPr>
        <w:t>Astronomy of Ancient Egypt</w:t>
      </w:r>
      <w:r w:rsidRPr="00242A60">
        <w:rPr>
          <w:szCs w:val="28"/>
        </w:rPr>
        <w:t>, 320–76. The volume treats the solar origin of the civil calendar as a working hypothesis and carefully distinguishes the Nile, Sopdet, lunar observance, and the drifting civil year.</w:t>
      </w:r>
    </w:p>
    <w:p w14:paraId="531295EF" w14:textId="77777777" w:rsidR="008A25E6" w:rsidRPr="00242A60" w:rsidRDefault="008A25E6" w:rsidP="008A25E6">
      <w:pPr>
        <w:pStyle w:val="NoteEntry"/>
      </w:pPr>
      <w:r w:rsidRPr="00242A60">
        <w:rPr>
          <w:szCs w:val="28"/>
        </w:rPr>
        <w:t xml:space="preserve">16. Belmonte and Lull, </w:t>
      </w:r>
      <w:r w:rsidRPr="00242A60">
        <w:rPr>
          <w:i/>
          <w:szCs w:val="28"/>
        </w:rPr>
        <w:t>Astronomy of Ancient Egypt</w:t>
      </w:r>
      <w:r w:rsidRPr="00242A60">
        <w:rPr>
          <w:szCs w:val="28"/>
        </w:rPr>
        <w:t>, 113–47, 218–79.</w:t>
      </w:r>
    </w:p>
    <w:p w14:paraId="0B0EE54B" w14:textId="77777777" w:rsidR="008A25E6" w:rsidRPr="00242A60" w:rsidRDefault="008A25E6" w:rsidP="008A25E6">
      <w:pPr>
        <w:pStyle w:val="NoteEntry"/>
      </w:pPr>
      <w:r w:rsidRPr="00242A60">
        <w:rPr>
          <w:szCs w:val="28"/>
        </w:rPr>
        <w:t xml:space="preserve">17. Belmonte and Lull, </w:t>
      </w:r>
      <w:r w:rsidRPr="00242A60">
        <w:rPr>
          <w:i/>
          <w:szCs w:val="28"/>
        </w:rPr>
        <w:t>Astronomy of Ancient Egypt</w:t>
      </w:r>
      <w:r w:rsidRPr="00242A60">
        <w:rPr>
          <w:szCs w:val="28"/>
        </w:rPr>
        <w:t>, 57–76, 113–92.</w:t>
      </w:r>
    </w:p>
    <w:p w14:paraId="557F1E33" w14:textId="77777777" w:rsidR="008A25E6" w:rsidRPr="00242A60" w:rsidRDefault="008A25E6" w:rsidP="008A25E6">
      <w:pPr>
        <w:pStyle w:val="NoteEntry"/>
      </w:pPr>
      <w:r w:rsidRPr="00242A60">
        <w:rPr>
          <w:szCs w:val="28"/>
        </w:rPr>
        <w:t xml:space="preserve">18. Belmonte and Lull, </w:t>
      </w:r>
      <w:r w:rsidRPr="00242A60">
        <w:rPr>
          <w:i/>
          <w:szCs w:val="28"/>
        </w:rPr>
        <w:t>Astronomy of Ancient Egypt</w:t>
      </w:r>
      <w:r w:rsidRPr="00242A60">
        <w:rPr>
          <w:szCs w:val="28"/>
        </w:rPr>
        <w:t xml:space="preserve">, 377–464; Jan Assmann, </w:t>
      </w:r>
      <w:r w:rsidRPr="00242A60">
        <w:rPr>
          <w:i/>
          <w:szCs w:val="28"/>
        </w:rPr>
        <w:t>The Search for God in Ancient Egypt</w:t>
      </w:r>
      <w:r w:rsidRPr="00242A60">
        <w:rPr>
          <w:szCs w:val="28"/>
        </w:rPr>
        <w:t>, trans. David Lorton (Ithaca, NY: Cornell University Press, 2001), 22–62, 113–46.</w:t>
      </w:r>
    </w:p>
    <w:p w14:paraId="08B66DF6" w14:textId="77777777" w:rsidR="008A25E6" w:rsidRPr="00242A60" w:rsidRDefault="008A25E6" w:rsidP="008A25E6">
      <w:pPr>
        <w:pStyle w:val="NoteEntry"/>
      </w:pPr>
      <w:r w:rsidRPr="00242A60">
        <w:rPr>
          <w:szCs w:val="28"/>
        </w:rPr>
        <w:t xml:space="preserve">19. Belmonte and Lull, </w:t>
      </w:r>
      <w:r w:rsidRPr="00242A60">
        <w:rPr>
          <w:i/>
          <w:szCs w:val="28"/>
        </w:rPr>
        <w:t>Astronomy of Ancient Egypt</w:t>
      </w:r>
      <w:r w:rsidRPr="00242A60">
        <w:rPr>
          <w:szCs w:val="28"/>
        </w:rPr>
        <w:t>, 377–464. Their case studies support a site-specific method and caution against treating every orientation as a precise stellar or solar alignment.</w:t>
      </w:r>
    </w:p>
    <w:p w14:paraId="59A52B44" w14:textId="77777777" w:rsidR="008A25E6" w:rsidRPr="00242A60" w:rsidRDefault="008A25E6" w:rsidP="008A25E6">
      <w:pPr>
        <w:pStyle w:val="NoteEntry"/>
      </w:pPr>
      <w:r w:rsidRPr="00242A60">
        <w:rPr>
          <w:szCs w:val="28"/>
        </w:rPr>
        <w:t xml:space="preserve">20. Jan Assmann, </w:t>
      </w:r>
      <w:r w:rsidRPr="00242A60">
        <w:rPr>
          <w:i/>
          <w:szCs w:val="28"/>
        </w:rPr>
        <w:t>The Mind of Egypt: History and Meaning in the Time of the Pharaohs</w:t>
      </w:r>
      <w:r w:rsidRPr="00242A60">
        <w:rPr>
          <w:szCs w:val="28"/>
        </w:rPr>
        <w:t xml:space="preserve">, trans. Andrew Jenkins (New York: Metropolitan Books, 2002), 79–112, 126–47; Miriam Lichtheim, </w:t>
      </w:r>
      <w:r w:rsidRPr="00242A60">
        <w:rPr>
          <w:i/>
          <w:szCs w:val="28"/>
        </w:rPr>
        <w:t>Ancient Egyptian Literature: A Book of Readings</w:t>
      </w:r>
      <w:r w:rsidRPr="00242A60">
        <w:rPr>
          <w:szCs w:val="28"/>
        </w:rPr>
        <w:t xml:space="preserve">, vol. 1, </w:t>
      </w:r>
      <w:r w:rsidRPr="00242A60">
        <w:rPr>
          <w:i/>
          <w:szCs w:val="28"/>
        </w:rPr>
        <w:t>The Old and Middle Kingdoms</w:t>
      </w:r>
      <w:r w:rsidRPr="00242A60">
        <w:rPr>
          <w:szCs w:val="28"/>
        </w:rPr>
        <w:t xml:space="preserve"> (Berkeley: University of California Press, 1973), 58–80, 97–109, 135–63.</w:t>
      </w:r>
    </w:p>
    <w:p w14:paraId="3079B2AF" w14:textId="77777777" w:rsidR="00781E37" w:rsidRPr="00242A60" w:rsidRDefault="00781E37" w:rsidP="00781E37">
      <w:pPr>
        <w:pStyle w:val="ChapterHeading"/>
      </w:pPr>
      <w:bookmarkStart w:id="4" w:name="toc_chapter_3"/>
      <w:r>
        <w:rPr>
          <w:sz w:val="28"/>
        </w:rPr>
        <w:t>Chapter 3</w:t>
      </w:r>
      <w:r>
        <w:rPr>
          <w:sz w:val="28"/>
        </w:rPr>
        <w:br/>
      </w:r>
      <w:r>
        <w:t>The Greek Discovery of Kosmos</w:t>
      </w:r>
      <w:bookmarkEnd w:id="4"/>
    </w:p>
    <w:p w14:paraId="47C8BB64" w14:textId="77777777" w:rsidR="00781E37" w:rsidRPr="00242A60" w:rsidRDefault="00781E37" w:rsidP="00781E37">
      <w:pPr>
        <w:pStyle w:val="SectionHeading"/>
      </w:pPr>
      <w:r w:rsidRPr="00242A60">
        <w:rPr>
          <w:bCs/>
          <w:szCs w:val="28"/>
        </w:rPr>
        <w:t>A Sphere Held in the Hands</w:t>
      </w:r>
    </w:p>
    <w:p w14:paraId="7AC9C0AB" w14:textId="77777777" w:rsidR="00781E37" w:rsidRPr="00242A60" w:rsidRDefault="00781E37" w:rsidP="00781E37">
      <w:pPr>
        <w:pStyle w:val="BookBody"/>
      </w:pPr>
      <w:r w:rsidRPr="00242A60">
        <w:rPr>
          <w:szCs w:val="28"/>
        </w:rPr>
        <w:t>Begin with a model that can be turned by hand. Several rings are nested around a common center. One may mark the horizon, another the celestial equator, another the ecliptic along which the Sun appears to travel. A smaller circle can indicate a tropic or the path of a planet. When the rings are aligned, the instrument makes relations visible that no observer ever sees as metal in the sky. Tilt one circle against another and the seasons become geometrical. Rotate the frame and a rising becomes part of a complete motion. The device does not copy the heavens. It gives their order a body.</w:t>
      </w:r>
    </w:p>
    <w:p w14:paraId="28F15C0E" w14:textId="77777777" w:rsidR="00781E37" w:rsidRPr="00242A60" w:rsidRDefault="00781E37" w:rsidP="00781E37">
      <w:pPr>
        <w:pStyle w:val="BookBody"/>
      </w:pPr>
      <w:r w:rsidRPr="00242A60">
        <w:rPr>
          <w:szCs w:val="28"/>
        </w:rPr>
        <w:t>The familiar armillary sphere is a later artifact than the earliest Greek inquiries considered in this chapter, and it would be a mistake to place a finished instrument in the hands of Thales or Anaximander. Its importance here is retrospective. It materializes a Greek achievement whose conceptual parts were assembled over centuries: the heavens imagined as one ordered whole; circular motions distinguished and superimposed; appearances referred to a spherical framework; mathematical models treated as accounts of what the sky does. Eudoxus’s nested spheres, Aristotle’s finite heavens, and the geometrical astronomy surveyed by James Evans do not all describe the same machine. They nevertheless make the later machine intelligible.</w:t>
      </w:r>
      <w:r w:rsidRPr="00242A60">
        <w:rPr>
          <w:szCs w:val="28"/>
          <w:vertAlign w:val="superscript"/>
        </w:rPr>
        <w:t>1</w:t>
      </w:r>
    </w:p>
    <w:p w14:paraId="4E654958" w14:textId="77777777" w:rsidR="00781E37" w:rsidRPr="00242A60" w:rsidRDefault="00781E37" w:rsidP="00781E37">
      <w:pPr>
        <w:pStyle w:val="BookBody"/>
      </w:pPr>
      <w:r w:rsidRPr="00242A60">
        <w:rPr>
          <w:szCs w:val="28"/>
        </w:rPr>
        <w:t>Hold such a model and a remarkable reversal occurs. The observer seems to stand outside the heavens, able to see the whole at once. Yet the observer’s place is represented at the model’s center. The hand turns a totality within which the hand itself is conceptually located. Greek cosmology repeatedly inhabits this double position. It seeks an account of the whole while insisting that human beings are parts of what they account for. Reason rises toward a comprehensive view, but it does not yet become an alien intelligence facing dead extension.</w:t>
      </w:r>
    </w:p>
    <w:p w14:paraId="1EBBA105" w14:textId="77777777" w:rsidR="00781E37" w:rsidRPr="00242A60" w:rsidRDefault="00781E37" w:rsidP="00781E37">
      <w:pPr>
        <w:pStyle w:val="BookBody"/>
      </w:pPr>
      <w:r w:rsidRPr="00242A60">
        <w:rPr>
          <w:szCs w:val="28"/>
        </w:rPr>
        <w:t xml:space="preserve">That distinction governs this chapter. The Greek discovery of </w:t>
      </w:r>
      <w:r w:rsidRPr="00242A60">
        <w:rPr>
          <w:i/>
          <w:szCs w:val="28"/>
        </w:rPr>
        <w:t>kosmos</w:t>
      </w:r>
      <w:r w:rsidRPr="00242A60">
        <w:rPr>
          <w:szCs w:val="28"/>
        </w:rPr>
        <w:t xml:space="preserve"> was not the death of a living cosmos. It was the creation of new ways to say why a cosmos is ordered, bounded, intelligible, beautiful, and alive. Mythic genealogy and civic ritual did not vanish when philosophers began to ask what things are made of or how change is possible. They were criticized, rearranged, allegorized, and sometimes displaced; they also supplied names, images, problems, and practices. The new discourse was argumentative, but its object remained qualitative. Number, form, soul, motion, place, and purpose became conceptual principles of a finite whole.</w:t>
      </w:r>
    </w:p>
    <w:p w14:paraId="1F1CED72" w14:textId="77777777" w:rsidR="00781E37" w:rsidRPr="00242A60" w:rsidRDefault="00781E37" w:rsidP="00781E37">
      <w:pPr>
        <w:pStyle w:val="BookBody"/>
      </w:pPr>
      <w:r w:rsidRPr="00242A60">
        <w:rPr>
          <w:szCs w:val="28"/>
        </w:rPr>
        <w:t>The claim requires care. “The Greeks” did not share one worldview. The span from the early Ionian thinkers to the Hellenistic schools contains rival cities, dialects, institutions, religious practices, and theories. The evidence for the earliest figures is fragmentary and often transmitted by later authors with their own questions. Pythagorean traditions are especially vulnerable to retrospective system building. Plato’s crafted dialogues are not manuals of doctrine. Aristotle criticizes his predecessors while organizing them into a history that points toward his own distinctions. Stoic ideas survive largely through reports and quotations embedded in other works. A single Greek mind cannot be reconstructed from these materials.</w:t>
      </w:r>
    </w:p>
    <w:p w14:paraId="33CE03D5" w14:textId="77777777" w:rsidR="00781E37" w:rsidRPr="00242A60" w:rsidRDefault="00781E37" w:rsidP="00781E37">
      <w:pPr>
        <w:pStyle w:val="BookBody"/>
      </w:pPr>
      <w:r w:rsidRPr="00242A60">
        <w:rPr>
          <w:szCs w:val="28"/>
        </w:rPr>
        <w:t xml:space="preserve">Nor did Greece discover order in a world that had previously known only myth. Mesopotamian and Egyptian practices already joined celestial recurrence, number, calendar, cult, government, and expert observation. Greek astronomy borrowed from older traditions, and Greek authors knew themselves to be latecomers in many arts. The difference traced here is narrower. </w:t>
      </w:r>
      <w:r w:rsidRPr="00242A60">
        <w:rPr>
          <w:i/>
          <w:szCs w:val="28"/>
        </w:rPr>
        <w:t>Kosmos</w:t>
      </w:r>
      <w:r w:rsidRPr="00242A60">
        <w:rPr>
          <w:szCs w:val="28"/>
        </w:rPr>
        <w:t xml:space="preserve"> became a name for ordered totality, and philosophical argument made the structure of that totality an explicit problem. The rings in the hand are the material afterlife of that problem.</w:t>
      </w:r>
    </w:p>
    <w:p w14:paraId="0175DEEB" w14:textId="77777777" w:rsidR="00781E37" w:rsidRPr="00242A60" w:rsidRDefault="00781E37" w:rsidP="00781E37">
      <w:pPr>
        <w:pStyle w:val="SectionHeading"/>
      </w:pPr>
      <w:r w:rsidRPr="00242A60">
        <w:rPr>
          <w:bCs/>
          <w:szCs w:val="28"/>
        </w:rPr>
        <w:t>Reason Did Not Empty the Sky</w:t>
      </w:r>
    </w:p>
    <w:p w14:paraId="21F59D5D" w14:textId="77777777" w:rsidR="00781E37" w:rsidRPr="00242A60" w:rsidRDefault="00781E37" w:rsidP="00781E37">
      <w:pPr>
        <w:pStyle w:val="BookBody"/>
      </w:pPr>
      <w:r w:rsidRPr="00242A60">
        <w:rPr>
          <w:szCs w:val="28"/>
        </w:rPr>
        <w:t>The oldest triumphal history of Greek philosophy stages a sudden passage “from myth to reason.” Gods recede; nature appears. Tales of divine birth give way to explanations based on water, air, number, or atoms. The story identifies a genuine transformation in forms of argument. Early Greek prose and verse increasingly present general accounts, expose claims to criticism, distinguish kinds of cause, and seek principles that apply beyond a single local narrative. But the formula becomes misleading when reason is treated as a solvent poured over an enchanted world.</w:t>
      </w:r>
    </w:p>
    <w:p w14:paraId="66A2B0E8" w14:textId="77777777" w:rsidR="00781E37" w:rsidRPr="00242A60" w:rsidRDefault="00781E37" w:rsidP="00781E37">
      <w:pPr>
        <w:pStyle w:val="BookBody"/>
      </w:pPr>
      <w:r w:rsidRPr="00242A60">
        <w:rPr>
          <w:szCs w:val="28"/>
        </w:rPr>
        <w:t>G. E. R. Lloyd’s study of early Greek science emphasizes both novelty and continuity. Inquiry developed amid public argument, medicine, craft, navigation, calendrical practice, mathematics, and contact with older civilizations. Thinkers challenged one another and offered accounts whose force did not rest only upon inherited authority. Yet “rational” does not mean modern, experimental, or disenchanted. An argument can be rationally structured while its cosmos remains divine; an observation can be accurate while embedded in a ritual calendar; a mathematical proportion can be both demonstrable and beautiful.</w:t>
      </w:r>
      <w:r w:rsidRPr="00242A60">
        <w:rPr>
          <w:szCs w:val="28"/>
          <w:vertAlign w:val="superscript"/>
        </w:rPr>
        <w:t>2</w:t>
      </w:r>
    </w:p>
    <w:p w14:paraId="0A699B80" w14:textId="77777777" w:rsidR="00781E37" w:rsidRPr="00242A60" w:rsidRDefault="00781E37" w:rsidP="00781E37">
      <w:pPr>
        <w:pStyle w:val="BookBody"/>
      </w:pPr>
      <w:r w:rsidRPr="00242A60">
        <w:rPr>
          <w:szCs w:val="28"/>
        </w:rPr>
        <w:t xml:space="preserve">The word </w:t>
      </w:r>
      <w:r w:rsidRPr="00242A60">
        <w:rPr>
          <w:i/>
          <w:szCs w:val="28"/>
        </w:rPr>
        <w:t>kosmos</w:t>
      </w:r>
      <w:r w:rsidRPr="00242A60">
        <w:rPr>
          <w:szCs w:val="28"/>
        </w:rPr>
        <w:t xml:space="preserve"> helps us see the change without turning it into a miracle. Its early range includes arrangement, good order, discipline, adornment, and the ordered disposition of a host or polity. It does not begin as a technical synonym for “universe.” When it comes to name the whole, the moral and aesthetic resonances do not disappear. The totality is not merely everything that happens to exist. It is a fitted arrangement, a whole whose parts occupy intelligible relations. Calling the world </w:t>
      </w:r>
      <w:r w:rsidRPr="00242A60">
        <w:rPr>
          <w:i/>
          <w:szCs w:val="28"/>
        </w:rPr>
        <w:t>kosmos</w:t>
      </w:r>
      <w:r w:rsidRPr="00242A60">
        <w:rPr>
          <w:szCs w:val="28"/>
        </w:rPr>
        <w:t xml:space="preserve"> transfers the experience of order from craft, body, army, household, and city to the all.</w:t>
      </w:r>
    </w:p>
    <w:p w14:paraId="107F25D1" w14:textId="77777777" w:rsidR="00781E37" w:rsidRPr="00242A60" w:rsidRDefault="00781E37" w:rsidP="00781E37">
      <w:pPr>
        <w:pStyle w:val="BookBody"/>
      </w:pPr>
      <w:r w:rsidRPr="00242A60">
        <w:rPr>
          <w:szCs w:val="28"/>
        </w:rPr>
        <w:t xml:space="preserve">This transfer does not prove that the universe is morally just or aesthetically pleasing. Greek texts contain disorder, violence, chance, necessity, and catastrophe. The term nevertheless makes a question possible: if the all is a </w:t>
      </w:r>
      <w:r w:rsidRPr="00242A60">
        <w:rPr>
          <w:i/>
          <w:szCs w:val="28"/>
        </w:rPr>
        <w:t>kosmos</w:t>
      </w:r>
      <w:r w:rsidRPr="00242A60">
        <w:rPr>
          <w:szCs w:val="28"/>
        </w:rPr>
        <w:t>, in what does its order consist? Is order imposed upon a disorderly material, or is it inherent? Does the whole have a soul? Are its motions mathematically commensurable? Is the earth at rest because it is supported, balanced, or naturally at the center? Are living beings made for ends? Can destruction threaten the whole, or only the arrangements within it?</w:t>
      </w:r>
    </w:p>
    <w:p w14:paraId="78DA6BC2" w14:textId="77777777" w:rsidR="00781E37" w:rsidRPr="00242A60" w:rsidRDefault="00781E37" w:rsidP="00781E37">
      <w:pPr>
        <w:pStyle w:val="BookBody"/>
      </w:pPr>
      <w:r w:rsidRPr="00242A60">
        <w:rPr>
          <w:szCs w:val="28"/>
        </w:rPr>
        <w:t xml:space="preserve">The questions alter the role of explanation. A genealogy tells how present powers descend from earlier powers. A cosmology seeks principles by which the relations among things can be understood as one order. The forms can overlap. Hesiod’s </w:t>
      </w:r>
      <w:r w:rsidRPr="00242A60">
        <w:rPr>
          <w:i/>
          <w:szCs w:val="28"/>
        </w:rPr>
        <w:t>Theogony</w:t>
      </w:r>
      <w:r w:rsidRPr="00242A60">
        <w:rPr>
          <w:szCs w:val="28"/>
        </w:rPr>
        <w:t xml:space="preserve"> already gathers divine plurality into an account of origins and sovereignty. Plato’s </w:t>
      </w:r>
      <w:r w:rsidRPr="00242A60">
        <w:rPr>
          <w:i/>
          <w:szCs w:val="28"/>
        </w:rPr>
        <w:t>Timaeus</w:t>
      </w:r>
      <w:r w:rsidRPr="00242A60">
        <w:rPr>
          <w:szCs w:val="28"/>
        </w:rPr>
        <w:t>, centuries later, tells a crafted story about a divine maker, a world soul, and a receptacle, while repeatedly marking its account as probable rather than demonstratively certain. Verse can argue; prose can mythologize. The decisive shift is not genre alone but the demand that the whole be intelligible through articulated relations.</w:t>
      </w:r>
    </w:p>
    <w:p w14:paraId="6E64F174" w14:textId="77777777" w:rsidR="00781E37" w:rsidRPr="00242A60" w:rsidRDefault="00781E37" w:rsidP="00781E37">
      <w:pPr>
        <w:pStyle w:val="BookBody"/>
      </w:pPr>
      <w:r w:rsidRPr="00242A60">
        <w:rPr>
          <w:szCs w:val="28"/>
        </w:rPr>
        <w:t>That demand first deepened rather than abolished cosmic life. When soul becomes a principle of self-motion, life can be argued into the structure of the heavens. When nature becomes an internal source of motion and rest, living growth can become a model of intelligibility rather than an intrusion into matter. When mathematical harmony explains intervals and revolutions, quality acquires ratio. When the heavens are finite, direction and place remain real: above is not interchangeable with below, circular motion not reducible to local accident. Greek reason gives the living cosmos a grammar.</w:t>
      </w:r>
    </w:p>
    <w:p w14:paraId="318FD246" w14:textId="77777777" w:rsidR="00781E37" w:rsidRPr="00242A60" w:rsidRDefault="00781E37" w:rsidP="00781E37">
      <w:pPr>
        <w:pStyle w:val="BookBody"/>
      </w:pPr>
      <w:r w:rsidRPr="00242A60">
        <w:rPr>
          <w:szCs w:val="28"/>
        </w:rPr>
        <w:t>Pierre Hadot’s work adds a human consequence. Ancient philosophy was not simply the production of propositions about such a cosmos. It was a choice of life disciplined by discourse, communal practice, exercises of attention, and a transformed view of the whole. To understand the order of things was also to learn how to inhabit it. The view from above could loosen the passions by placing private distress within a greater order. Contemplation of celestial regularity could shape the soul toward regularity. Philosophical reason was therefore cosmological in two directions: it explained the world and reoriented the person.</w:t>
      </w:r>
      <w:r w:rsidRPr="00242A60">
        <w:rPr>
          <w:szCs w:val="28"/>
          <w:vertAlign w:val="superscript"/>
        </w:rPr>
        <w:t>3</w:t>
      </w:r>
    </w:p>
    <w:p w14:paraId="758286E4" w14:textId="77777777" w:rsidR="00781E37" w:rsidRPr="00242A60" w:rsidRDefault="00781E37" w:rsidP="00781E37">
      <w:pPr>
        <w:pStyle w:val="SectionHeading"/>
      </w:pPr>
      <w:r w:rsidRPr="00242A60">
        <w:rPr>
          <w:bCs/>
          <w:szCs w:val="28"/>
        </w:rPr>
        <w:t>From Divine Genealogy to an Account of the Whole</w:t>
      </w:r>
    </w:p>
    <w:p w14:paraId="2B7DD343" w14:textId="77777777" w:rsidR="00781E37" w:rsidRPr="00242A60" w:rsidRDefault="00781E37" w:rsidP="00781E37">
      <w:pPr>
        <w:pStyle w:val="BookBody"/>
      </w:pPr>
      <w:r w:rsidRPr="00242A60">
        <w:rPr>
          <w:szCs w:val="28"/>
        </w:rPr>
        <w:t>Early Greek inquiry is known through damaged evidence. Books have vanished; short fragments survive because later writers quoted them; doctrines are reconstructed from reports written under different intellectual conditions. “Presocratic” is itself a retrospective category that makes Socrates the hinge of a diverse history. Any smooth sequence from water to air to fire to being is an artifact of arrangement. Still, the fragments disclose a sustained effort to speak about the whole without merely enumerating divine persons.</w:t>
      </w:r>
    </w:p>
    <w:p w14:paraId="151E83B0" w14:textId="77777777" w:rsidR="00781E37" w:rsidRPr="00242A60" w:rsidRDefault="00781E37" w:rsidP="00781E37">
      <w:pPr>
        <w:pStyle w:val="BookBody"/>
      </w:pPr>
      <w:r w:rsidRPr="00242A60">
        <w:rPr>
          <w:szCs w:val="28"/>
        </w:rPr>
        <w:t>The Milesian thinkers traditionally placed at the beginning—Thales, Anaximander, and Anaximenes—asked after an originating or governing principle. Aristotle later described their proposals in the language of material causes, which may make them sound like primitive chemists competing over the correct cosmic substance. Thales chose water, Anaximenes air, and Anaximander the indefinite. The surviving evidence does not support so tidy a laboratory. Water and air could be living, divine, and capable of transformation. An originating principle was not necessarily inert stuff awaiting external form.</w:t>
      </w:r>
    </w:p>
    <w:p w14:paraId="4EAEC251" w14:textId="77777777" w:rsidR="00781E37" w:rsidRPr="00242A60" w:rsidRDefault="00781E37" w:rsidP="00781E37">
      <w:pPr>
        <w:pStyle w:val="BookBody"/>
      </w:pPr>
      <w:r w:rsidRPr="00242A60">
        <w:rPr>
          <w:szCs w:val="28"/>
        </w:rPr>
        <w:t>Thales is reported to have said that all things are full of gods. Whatever its exact context, the saying prevents “water is the principle” from functioning as a declaration of atheistic materialism. The same tradition associates him with magnetic attraction and the soul, perhaps because motion indicated animation. These reports are late and uncertain, but their conceptual field is clear: a general natural account did not require nature to be dead.</w:t>
      </w:r>
    </w:p>
    <w:p w14:paraId="21616CED" w14:textId="77777777" w:rsidR="00781E37" w:rsidRPr="00242A60" w:rsidRDefault="00781E37" w:rsidP="00781E37">
      <w:pPr>
        <w:pStyle w:val="BookBody"/>
      </w:pPr>
      <w:r w:rsidRPr="00242A60">
        <w:rPr>
          <w:szCs w:val="28"/>
        </w:rPr>
        <w:t>Anaximenes reportedly made air indefinite in extent and explained differentiation by rarefaction and condensation. Air thinned becomes fire; condensed, it becomes wind, cloud, water, earth, and stone. The scheme is important because it offers a process, not simply a list. It relates qualitative difference to changes in density. Yet the analogy preserved in the tradition joins the individual soul to the encompassing world: as our soul, being air, holds us together, breath and air encompass the whole cosmos. An explanation that looks proto-physical is also pneumatic. The cosmos hangs together as breath holds a living body.</w:t>
      </w:r>
      <w:r w:rsidRPr="00242A60">
        <w:rPr>
          <w:szCs w:val="28"/>
          <w:vertAlign w:val="superscript"/>
        </w:rPr>
        <w:t>4</w:t>
      </w:r>
    </w:p>
    <w:p w14:paraId="319C8F39" w14:textId="77777777" w:rsidR="00781E37" w:rsidRPr="00242A60" w:rsidRDefault="00781E37" w:rsidP="00781E37">
      <w:pPr>
        <w:pStyle w:val="BookBody"/>
      </w:pPr>
      <w:r w:rsidRPr="00242A60">
        <w:rPr>
          <w:szCs w:val="28"/>
        </w:rPr>
        <w:t xml:space="preserve">Anaximander’s account is stranger. The source of things is not one familiar element but the </w:t>
      </w:r>
      <w:r w:rsidRPr="00242A60">
        <w:rPr>
          <w:i/>
          <w:szCs w:val="28"/>
        </w:rPr>
        <w:t>apeiron</w:t>
      </w:r>
      <w:r w:rsidRPr="00242A60">
        <w:rPr>
          <w:szCs w:val="28"/>
        </w:rPr>
        <w:t>, the indefinite or boundless. Worlds emerge and perish; opposites separate; a fiery sphere grows around the air surrounding the earth, then breaks into celestial rings with apertures through which fire appears. The model may resemble the bark around a tree, and later testimony compares the originating process to a seed or embryo. Mechanical reconstruction remains uncertain. What matters is the attempt to explain how an ordered field of opposites arises without choosing one opponent—hot, cold, wet, dry—as sovereign from the beginning.</w:t>
      </w:r>
    </w:p>
    <w:p w14:paraId="5E2F505A" w14:textId="77777777" w:rsidR="00781E37" w:rsidRPr="00242A60" w:rsidRDefault="00781E37" w:rsidP="00781E37">
      <w:pPr>
        <w:pStyle w:val="BookBody"/>
      </w:pPr>
      <w:r w:rsidRPr="00242A60">
        <w:rPr>
          <w:szCs w:val="28"/>
        </w:rPr>
        <w:t>The earth, on one influential report, rests because of symmetry. Situated at the center and equally related to the extremes, it has no reason to move more in one direction than another. Nothing holds it up. Lloyd rightly treats this as an extraordinary piece of argument: support is replaced by a relation of indifference within a structured whole. The earth’s stability no longer requires a pillar, animal, or surrounding water. It follows from position.</w:t>
      </w:r>
      <w:r w:rsidRPr="00242A60">
        <w:rPr>
          <w:szCs w:val="28"/>
          <w:vertAlign w:val="superscript"/>
        </w:rPr>
        <w:t>5</w:t>
      </w:r>
    </w:p>
    <w:p w14:paraId="582A73F2" w14:textId="77777777" w:rsidR="00781E37" w:rsidRPr="00242A60" w:rsidRDefault="00781E37" w:rsidP="00781E37">
      <w:pPr>
        <w:pStyle w:val="BookBody"/>
      </w:pPr>
      <w:r w:rsidRPr="00242A60">
        <w:rPr>
          <w:szCs w:val="28"/>
        </w:rPr>
        <w:t>Yet this is not empty geometrical space. Anaximander’s surviving sentence says that the things that are make reparation to one another for injustice according to the ordering of time. The language of judgment enters the account of change. Hot dominates, then yields; dry advances, then is checked; living arrangements borrow their determinate existence and return it. It is too easy to call this metaphor, as if the physical process were real and the juridical language ornamental. The fragment offers no such division. Measure is at once temporal, natural, and just.</w:t>
      </w:r>
    </w:p>
    <w:p w14:paraId="6FAEF04A" w14:textId="77777777" w:rsidR="00781E37" w:rsidRPr="00242A60" w:rsidRDefault="00781E37" w:rsidP="00781E37">
      <w:pPr>
        <w:pStyle w:val="BookBody"/>
      </w:pPr>
      <w:r w:rsidRPr="00242A60">
        <w:rPr>
          <w:szCs w:val="28"/>
        </w:rPr>
        <w:t>The first philosophical cosmos thus appears neither as a machine nor as a person writ large. It is a field in which opposites arise, prevail, and pass away under an order that can be stated generally. The gods of genealogy no longer carry every action, but the replacement is not value-free matter. Order migrates into the relations among things.</w:t>
      </w:r>
    </w:p>
    <w:p w14:paraId="25453DDF" w14:textId="77777777" w:rsidR="00781E37" w:rsidRPr="00242A60" w:rsidRDefault="00781E37" w:rsidP="00781E37">
      <w:pPr>
        <w:pStyle w:val="SectionHeading"/>
      </w:pPr>
      <w:r w:rsidRPr="00242A60">
        <w:rPr>
          <w:bCs/>
          <w:szCs w:val="28"/>
        </w:rPr>
        <w:t>Justice According to Time</w:t>
      </w:r>
    </w:p>
    <w:p w14:paraId="6C635892" w14:textId="77777777" w:rsidR="00781E37" w:rsidRPr="00242A60" w:rsidRDefault="00781E37" w:rsidP="00781E37">
      <w:pPr>
        <w:pStyle w:val="BookBody"/>
      </w:pPr>
      <w:r w:rsidRPr="00242A60">
        <w:rPr>
          <w:szCs w:val="28"/>
        </w:rPr>
        <w:t>Anaximander’s fragment deserves to be heard slowly because it contains the moral weight later histories often remove from early cosmology. Beings “pay penalty and reparation to one another for their injustice according to the assessment of time.” Translation and grammatical connection are disputed, and the later source may have colored the wording. Nevertheless, the sentence treats emergence and perishing as an exchange governed by limit.</w:t>
      </w:r>
    </w:p>
    <w:p w14:paraId="3A49BA99" w14:textId="77777777" w:rsidR="00781E37" w:rsidRPr="00242A60" w:rsidRDefault="00781E37" w:rsidP="00781E37">
      <w:pPr>
        <w:pStyle w:val="BookBody"/>
      </w:pPr>
      <w:r w:rsidRPr="00242A60">
        <w:rPr>
          <w:szCs w:val="28"/>
        </w:rPr>
        <w:t>“Injustice” need not mean sin committed by conscious elements. It names excess: a determinate force occupies the place of another and is in turn displaced. Summer’s heat, winter’s cold, drought, rain, life, and death occur through temporal alternation. No quality owns the field forever. Time is not a neutral line on which events happen. It is the order by which domination is answered and balance restored.</w:t>
      </w:r>
    </w:p>
    <w:p w14:paraId="3988463D" w14:textId="77777777" w:rsidR="00781E37" w:rsidRPr="00242A60" w:rsidRDefault="00781E37" w:rsidP="00781E37">
      <w:pPr>
        <w:pStyle w:val="BookBody"/>
      </w:pPr>
      <w:r w:rsidRPr="00242A60">
        <w:rPr>
          <w:szCs w:val="28"/>
        </w:rPr>
        <w:t xml:space="preserve">This is a crucial step toward </w:t>
      </w:r>
      <w:r w:rsidRPr="00242A60">
        <w:rPr>
          <w:i/>
          <w:szCs w:val="28"/>
        </w:rPr>
        <w:t>kosmos</w:t>
      </w:r>
      <w:r w:rsidRPr="00242A60">
        <w:rPr>
          <w:szCs w:val="28"/>
        </w:rPr>
        <w:t>. Order no longer depends only on a king of the gods defeating rivals and distributing honors. It can be immanent in succession. The whole remains ordered because no finite determination escapes return. Individual beings perish, but their perishing belongs to the justice of the all. The account is tragic from the perspective of the individual and stable from the perspective of order.</w:t>
      </w:r>
    </w:p>
    <w:p w14:paraId="3BFB7704" w14:textId="77777777" w:rsidR="00781E37" w:rsidRPr="00242A60" w:rsidRDefault="00781E37" w:rsidP="00781E37">
      <w:pPr>
        <w:pStyle w:val="BookBody"/>
      </w:pPr>
      <w:r w:rsidRPr="00242A60">
        <w:rPr>
          <w:szCs w:val="28"/>
        </w:rPr>
        <w:t xml:space="preserve">The relation between cosmic and civic language is not accidental, though it should not be reduced to social projection. Archaic and classical Greek communities knew order through boundary, office, season, judgment, repayment, and the negotiated claims of persons and groups. Philosophical language carried these experiences beyond the polis. At the same time, cosmic order could return as a measure for human life. If excess destabilizes the natural order, </w:t>
      </w:r>
      <w:r w:rsidRPr="00242A60">
        <w:rPr>
          <w:i/>
          <w:szCs w:val="28"/>
        </w:rPr>
        <w:t>hubris</w:t>
      </w:r>
      <w:r w:rsidRPr="00242A60">
        <w:rPr>
          <w:szCs w:val="28"/>
        </w:rPr>
        <w:t xml:space="preserve"> is not merely bad manners. It is the shape of a mistake about limit.</w:t>
      </w:r>
    </w:p>
    <w:p w14:paraId="39119AA9" w14:textId="77777777" w:rsidR="00781E37" w:rsidRPr="00242A60" w:rsidRDefault="00781E37" w:rsidP="00781E37">
      <w:pPr>
        <w:pStyle w:val="BookBody"/>
      </w:pPr>
      <w:r w:rsidRPr="00242A60">
        <w:rPr>
          <w:szCs w:val="28"/>
        </w:rPr>
        <w:t>Later Greek philosophy will repeatedly transform this structure. Plato’s craftsman measures and proportions. Aristotle assigns beings forms, places, motions, and ends proper to their natures. The Stoics identify cosmic reason with law and fate. None simply repeats Anaximander. Yet all inherit the possibility that intelligibility and norm belong together. Explanation states not only how things move but what it is for their motion to be fitting.</w:t>
      </w:r>
    </w:p>
    <w:p w14:paraId="736726CC" w14:textId="77777777" w:rsidR="00781E37" w:rsidRPr="00242A60" w:rsidRDefault="00781E37" w:rsidP="00781E37">
      <w:pPr>
        <w:pStyle w:val="BookBody"/>
      </w:pPr>
      <w:r w:rsidRPr="00242A60">
        <w:rPr>
          <w:szCs w:val="28"/>
        </w:rPr>
        <w:t>This possibility is the opposite of arbitrary animism. The fragment does not attribute a private intention to every event. It generalizes the conditions under which opposed qualities can share a world. In doing so, it opens a route by which qualitative order becomes rationally discussable. A living cosmos need not be a giant animal with human motives. It can be a self-regulating order of bounded powers.</w:t>
      </w:r>
    </w:p>
    <w:p w14:paraId="57486568" w14:textId="77777777" w:rsidR="00781E37" w:rsidRPr="00242A60" w:rsidRDefault="00781E37" w:rsidP="00781E37">
      <w:pPr>
        <w:pStyle w:val="SectionHeading"/>
      </w:pPr>
      <w:r w:rsidRPr="00242A60">
        <w:rPr>
          <w:bCs/>
          <w:szCs w:val="28"/>
        </w:rPr>
        <w:t>Fire and Hidden Harmony</w:t>
      </w:r>
    </w:p>
    <w:p w14:paraId="0F672605" w14:textId="77777777" w:rsidR="00781E37" w:rsidRPr="00242A60" w:rsidRDefault="00781E37" w:rsidP="00781E37">
      <w:pPr>
        <w:pStyle w:val="BookBody"/>
      </w:pPr>
      <w:r w:rsidRPr="00242A60">
        <w:rPr>
          <w:szCs w:val="28"/>
        </w:rPr>
        <w:t xml:space="preserve">Heraclitus of Ephesus intensifies the problem. His fragments resist system because they speak in compressed oppositions and because their transmission detaches them from an original book. Yet certain words recur: </w:t>
      </w:r>
      <w:r w:rsidRPr="00242A60">
        <w:rPr>
          <w:i/>
          <w:szCs w:val="28"/>
        </w:rPr>
        <w:t>logos</w:t>
      </w:r>
      <w:r w:rsidRPr="00242A60">
        <w:rPr>
          <w:szCs w:val="28"/>
        </w:rPr>
        <w:t>, one and many, waking and sleeping, war, fire, measure, harmony. The world is not intelligible by stopping change. It is intelligible as measured change.</w:t>
      </w:r>
    </w:p>
    <w:p w14:paraId="032A3C20" w14:textId="77777777" w:rsidR="00781E37" w:rsidRPr="00242A60" w:rsidRDefault="00781E37" w:rsidP="00781E37">
      <w:pPr>
        <w:pStyle w:val="BookBody"/>
      </w:pPr>
      <w:r w:rsidRPr="00242A60">
        <w:rPr>
          <w:szCs w:val="28"/>
        </w:rPr>
        <w:t xml:space="preserve">“This </w:t>
      </w:r>
      <w:r w:rsidRPr="00242A60">
        <w:rPr>
          <w:i/>
          <w:szCs w:val="28"/>
        </w:rPr>
        <w:t>kosmos</w:t>
      </w:r>
      <w:r w:rsidRPr="00242A60">
        <w:rPr>
          <w:szCs w:val="28"/>
        </w:rPr>
        <w:t>, the same for all,” one fragment declares, “no god or human made”; it was, is, and will be ever-living fire, kindling in measures and going out in measures. The polemical target is unmistakable. Cosmic order is not a fabricated object that began at a moment through the action of an anthropomorphic maker. Yet the alternative is not dead matter. Fire is “ever-living,” and its transformations preserve measure. Stability belongs to regulated exchange rather than immobility.</w:t>
      </w:r>
      <w:r w:rsidRPr="00242A60">
        <w:rPr>
          <w:szCs w:val="28"/>
          <w:vertAlign w:val="superscript"/>
        </w:rPr>
        <w:t>6</w:t>
      </w:r>
    </w:p>
    <w:p w14:paraId="065154D8" w14:textId="77777777" w:rsidR="00781E37" w:rsidRPr="00242A60" w:rsidRDefault="00781E37" w:rsidP="00781E37">
      <w:pPr>
        <w:pStyle w:val="BookBody"/>
      </w:pPr>
      <w:r w:rsidRPr="00242A60">
        <w:rPr>
          <w:szCs w:val="28"/>
        </w:rPr>
        <w:t>Fire is a particularly apt image and principle because it exists through consuming and transforming. A flame maintains a recognizable form while its fuel and emissions continually change. It is neither a permanent block nor a mere sequence of unrelated states. Heraclitean order likewise holds through tension. The river remains a river while different waters flow. The bow and lyre work because opposed forces are stretched together. Harmony is not the absence of conflict but the fitting of contrary tendencies.</w:t>
      </w:r>
    </w:p>
    <w:p w14:paraId="7930A54E" w14:textId="77777777" w:rsidR="00781E37" w:rsidRPr="00242A60" w:rsidRDefault="00781E37" w:rsidP="00781E37">
      <w:pPr>
        <w:pStyle w:val="BookBody"/>
      </w:pPr>
      <w:r w:rsidRPr="00242A60">
        <w:rPr>
          <w:szCs w:val="28"/>
        </w:rPr>
        <w:t>One fragment says that the unapparent harmony is stronger than the apparent. Another compares the agreement of opposites to a “back-stretched” fitting. The cosmos can therefore look disorderly from a partial position. Day seems to defeat night, winter summer, satiety hunger. From the standpoint of the relation, each makes the other possible. War is called father and king, not because every act of violence is good but because differentiation emerges through opposition. A world without tension would not be a more perfect order; it would have no articulated beings.</w:t>
      </w:r>
    </w:p>
    <w:p w14:paraId="5A429311" w14:textId="77777777" w:rsidR="00781E37" w:rsidRPr="00242A60" w:rsidRDefault="00781E37" w:rsidP="00781E37">
      <w:pPr>
        <w:pStyle w:val="BookBody"/>
      </w:pPr>
      <w:r w:rsidRPr="00242A60">
        <w:rPr>
          <w:szCs w:val="28"/>
        </w:rPr>
        <w:t xml:space="preserve">The </w:t>
      </w:r>
      <w:r w:rsidRPr="00242A60">
        <w:rPr>
          <w:i/>
          <w:szCs w:val="28"/>
        </w:rPr>
        <w:t>logos</w:t>
      </w:r>
      <w:r w:rsidRPr="00242A60">
        <w:rPr>
          <w:szCs w:val="28"/>
        </w:rPr>
        <w:t xml:space="preserve"> is the possibility of hearing this common relation. Heraclitus criticizes those who live as though they had private understanding. Human beings encounter a shared order but fail to comprehend it. Reason does not construct coherence out of an otherwise meaningless flux. It awakens to a coherence already operating. To speak well is to follow what is common.</w:t>
      </w:r>
    </w:p>
    <w:p w14:paraId="4710D9E7" w14:textId="77777777" w:rsidR="00781E37" w:rsidRPr="00242A60" w:rsidRDefault="00781E37" w:rsidP="00781E37">
      <w:pPr>
        <w:pStyle w:val="BookBody"/>
      </w:pPr>
      <w:r w:rsidRPr="00242A60">
        <w:rPr>
          <w:szCs w:val="28"/>
        </w:rPr>
        <w:t>This structure gives early Greek rationality a characteristic ethical edge. Error is not only a false proposition. It is sleep, deafness, private enclosure, failure to live according to the common. Wisdom consists in recognizing that all things are one—not by erasing their differences, but by grasping the measured exchanges through which they belong together. The person must be reordered by the order understood.</w:t>
      </w:r>
    </w:p>
    <w:p w14:paraId="6C844DE1" w14:textId="77777777" w:rsidR="00781E37" w:rsidRPr="00242A60" w:rsidRDefault="00781E37" w:rsidP="00781E37">
      <w:pPr>
        <w:pStyle w:val="BookBody"/>
      </w:pPr>
      <w:r w:rsidRPr="00242A60">
        <w:rPr>
          <w:szCs w:val="28"/>
        </w:rPr>
        <w:t>Heraclitus also prevents the phrase “living cosmos” from becoming sentimental. Cosmic life includes death, strife, consumption, and reversal. Fire lives by going out in measure. The sea is pure for fish and polluted for humans. The road up and down is one. Qualities are relational and perspectival without being arbitrary. The whole contains differences that no single creature experiences in the same way.</w:t>
      </w:r>
    </w:p>
    <w:p w14:paraId="2AAC9E36" w14:textId="77777777" w:rsidR="00781E37" w:rsidRPr="00242A60" w:rsidRDefault="00781E37" w:rsidP="00781E37">
      <w:pPr>
        <w:pStyle w:val="BookBody"/>
      </w:pPr>
      <w:r w:rsidRPr="00242A60">
        <w:rPr>
          <w:szCs w:val="28"/>
        </w:rPr>
        <w:t>In later centuries Stoics will claim Heraclitus as an ancestor of their divine fire and cyclic cosmos. The genealogy is partly a Stoic construction, but the affinity is real. Both make rational measure immanent in transformation. Between them stands a competing demand: if knowledge is to be secure, must change be subordinated to something that does not change?</w:t>
      </w:r>
    </w:p>
    <w:p w14:paraId="3B3E3FA1" w14:textId="77777777" w:rsidR="00781E37" w:rsidRPr="00242A60" w:rsidRDefault="00781E37" w:rsidP="00781E37">
      <w:pPr>
        <w:pStyle w:val="SectionHeading"/>
      </w:pPr>
      <w:r w:rsidRPr="00242A60">
        <w:rPr>
          <w:bCs/>
          <w:szCs w:val="28"/>
        </w:rPr>
        <w:t>The Limit of Being</w:t>
      </w:r>
    </w:p>
    <w:p w14:paraId="5E1BDE4D" w14:textId="77777777" w:rsidR="00781E37" w:rsidRPr="00242A60" w:rsidRDefault="00781E37" w:rsidP="00781E37">
      <w:pPr>
        <w:pStyle w:val="BookBody"/>
      </w:pPr>
      <w:r w:rsidRPr="00242A60">
        <w:rPr>
          <w:szCs w:val="28"/>
        </w:rPr>
        <w:t>Parmenides answers by forcing thought to obey the implications of “is.” His poem presents a divine revelation: a goddess distinguishes the way that it is from the impossible way that it is not, then offers an account of mortal opinions. The religious frame is not leftover decoration around a logical argument. Revelation, poetic authority, and rigorous reasoning are made to occupy the same journey.</w:t>
      </w:r>
    </w:p>
    <w:p w14:paraId="6E2C0F81" w14:textId="77777777" w:rsidR="00781E37" w:rsidRPr="00242A60" w:rsidRDefault="00781E37" w:rsidP="00781E37">
      <w:pPr>
        <w:pStyle w:val="BookBody"/>
      </w:pPr>
      <w:r w:rsidRPr="00242A60">
        <w:rPr>
          <w:szCs w:val="28"/>
        </w:rPr>
        <w:t>On the way of truth, what-is is ungenerated, imperishable, whole, single, unmoving, and complete. Coming-to-be would require emergence from what-is-not; perishing would require passage into what-is-not. Neither can be thought or spoken. Division would introduce what is not. Motion would require an empty place into which being might move. Temporal becoming fractures into a full presence: it “is now, all together.”</w:t>
      </w:r>
      <w:r w:rsidRPr="00242A60">
        <w:rPr>
          <w:szCs w:val="28"/>
          <w:vertAlign w:val="superscript"/>
        </w:rPr>
        <w:t>7</w:t>
      </w:r>
    </w:p>
    <w:p w14:paraId="2B5BB868" w14:textId="77777777" w:rsidR="00781E37" w:rsidRPr="00242A60" w:rsidRDefault="00781E37" w:rsidP="00781E37">
      <w:pPr>
        <w:pStyle w:val="BookBody"/>
      </w:pPr>
      <w:r w:rsidRPr="00242A60">
        <w:rPr>
          <w:szCs w:val="28"/>
        </w:rPr>
        <w:t>Parmenides is often cast as the enemy of the living world, because ordinary life depends upon birth, growth, motion, difference, and death. In one sense the charge is correct. His argument makes the appearing world philosophically scandalous. How can change be intelligible without thinking nonbeing? Later natural philosophy must answer him. Empedocles preserves ungenerated elements while explaining mixtures; atomists make indivisible bodies move through void; Plato distinguishes being from becoming; Aristotle analyzes potentiality, actuality, form, and privation.</w:t>
      </w:r>
    </w:p>
    <w:p w14:paraId="78BE4106" w14:textId="77777777" w:rsidR="00781E37" w:rsidRPr="00242A60" w:rsidRDefault="00781E37" w:rsidP="00781E37">
      <w:pPr>
        <w:pStyle w:val="BookBody"/>
      </w:pPr>
      <w:r w:rsidRPr="00242A60">
        <w:rPr>
          <w:szCs w:val="28"/>
        </w:rPr>
        <w:t>Yet Parmenidean being is not modern infinite extension. It is bounded and complete, compared to the mass of a well-rounded sphere, equally balanced from the center. The image joins intelligibility to limit. What is perfect lacks nothing; what lacks nothing does not stretch indefinitely toward completion. Finitude here is not deprivation but wholeness.</w:t>
      </w:r>
    </w:p>
    <w:p w14:paraId="35D17BD1" w14:textId="77777777" w:rsidR="00781E37" w:rsidRPr="00242A60" w:rsidRDefault="00781E37" w:rsidP="00781E37">
      <w:pPr>
        <w:pStyle w:val="BookBody"/>
      </w:pPr>
      <w:r w:rsidRPr="00242A60">
        <w:rPr>
          <w:szCs w:val="28"/>
        </w:rPr>
        <w:t xml:space="preserve">This association will become fundamental to Greek cosmology. The unlimited can signify indeterminacy, excess, or incompletion; limit gives a thing knowable form. A circle returns upon itself. A sphere contains the greatest volume under the least surface and is alike in every direction. The finite heaven can therefore be more complete than an infinite universe. Later modern thought will reverse the valuation, identifying the infinite with divine greatness and finite boundary with arbitrary constraint. The Greek </w:t>
      </w:r>
      <w:r w:rsidRPr="00242A60">
        <w:rPr>
          <w:i/>
          <w:szCs w:val="28"/>
        </w:rPr>
        <w:t>kosmos</w:t>
      </w:r>
      <w:r w:rsidRPr="00242A60">
        <w:rPr>
          <w:szCs w:val="28"/>
        </w:rPr>
        <w:t xml:space="preserve"> is born under another intuition: to be whole is to have a determinate form.</w:t>
      </w:r>
    </w:p>
    <w:p w14:paraId="4087C57C" w14:textId="77777777" w:rsidR="00781E37" w:rsidRPr="00242A60" w:rsidRDefault="00781E37" w:rsidP="00781E37">
      <w:pPr>
        <w:pStyle w:val="BookBody"/>
      </w:pPr>
      <w:r w:rsidRPr="00242A60">
        <w:rPr>
          <w:szCs w:val="28"/>
        </w:rPr>
        <w:t>The poem’s second part, the account of mortal opinion, describes a differentiated cosmic arrangement involving light and night, celestial rings, generation, and a governing goddess. Scholars dispute the status of this cosmology. Is it the best available account of appearances, a deceptive concession, or something else? Whatever the answer, Parmenides did not merely announce an abstract monism and fall silent. He placed the sensible cosmos under a demand generated by reasoning about being.</w:t>
      </w:r>
    </w:p>
    <w:p w14:paraId="33B0079B" w14:textId="77777777" w:rsidR="00781E37" w:rsidRPr="00242A60" w:rsidRDefault="00781E37" w:rsidP="00781E37">
      <w:pPr>
        <w:pStyle w:val="BookBody"/>
      </w:pPr>
      <w:r w:rsidRPr="00242A60">
        <w:rPr>
          <w:szCs w:val="28"/>
        </w:rPr>
        <w:t>The demand transformed explanation. An account of nature could no longer name a process without asking what persists through it and how nonbeing is avoided. The cosmos became an object of ontology. This did not kill its qualitative character. It supplied a new criterion of reality—unity, permanence, completeness—against which motion and multiplicity must be articulated.</w:t>
      </w:r>
    </w:p>
    <w:p w14:paraId="03208BD2" w14:textId="77777777" w:rsidR="00781E37" w:rsidRPr="00242A60" w:rsidRDefault="00781E37" w:rsidP="00781E37">
      <w:pPr>
        <w:pStyle w:val="SectionHeading"/>
      </w:pPr>
      <w:r w:rsidRPr="00242A60">
        <w:rPr>
          <w:bCs/>
          <w:szCs w:val="28"/>
        </w:rPr>
        <w:t>Number, Limit, and Harmony</w:t>
      </w:r>
    </w:p>
    <w:p w14:paraId="12A0A7D8" w14:textId="77777777" w:rsidR="00781E37" w:rsidRPr="00242A60" w:rsidRDefault="00781E37" w:rsidP="00781E37">
      <w:pPr>
        <w:pStyle w:val="BookBody"/>
      </w:pPr>
      <w:r w:rsidRPr="00242A60">
        <w:rPr>
          <w:szCs w:val="28"/>
        </w:rPr>
        <w:t>“The Pythagoreans” are among the most difficult subjects in Greek intellectual history. Pythagoras himself wrote nothing; stories accumulated around his authority; early communities combined ways of life, ritual rules, political association, mathematics, music, and doctrines of the soul; later Platonists projected developed systems backward. Lloyd warns against treating the movement as a homogeneous scientific school. Carl Huffman’s reconstruction of Philolaus is indispensable because it separates an identifiable fifth-century thinker from the undifferentiated legend.</w:t>
      </w:r>
      <w:r w:rsidRPr="00242A60">
        <w:rPr>
          <w:szCs w:val="28"/>
          <w:vertAlign w:val="superscript"/>
        </w:rPr>
        <w:t>8</w:t>
      </w:r>
    </w:p>
    <w:p w14:paraId="3853D7EC" w14:textId="77777777" w:rsidR="00781E37" w:rsidRPr="00242A60" w:rsidRDefault="00781E37" w:rsidP="00781E37">
      <w:pPr>
        <w:pStyle w:val="BookBody"/>
      </w:pPr>
      <w:r w:rsidRPr="00242A60">
        <w:rPr>
          <w:szCs w:val="28"/>
        </w:rPr>
        <w:t>The caution changes but does not erase the argument. In the Pythagorean tradition, number and harmony become modes of cosmic intelligibility. The discovery that basic musical consonances correspond to simple numerical ratios provided an exemplary bridge between sensation and structure. Octave, fifth, and fourth are heard as qualities, yet their intervals can be expressed through ratios. Number does not drain music of experience. It states why distinct tones can belong together.</w:t>
      </w:r>
    </w:p>
    <w:p w14:paraId="038F4A09" w14:textId="77777777" w:rsidR="00781E37" w:rsidRPr="00242A60" w:rsidRDefault="00781E37" w:rsidP="00781E37">
      <w:pPr>
        <w:pStyle w:val="BookBody"/>
      </w:pPr>
      <w:r w:rsidRPr="00242A60">
        <w:rPr>
          <w:szCs w:val="28"/>
        </w:rPr>
        <w:t xml:space="preserve">Philolaus begins from limiters and unlimiteds. Neither alone can produce the ordered things we know. The unlimited supplies indeterminate continua—pitch, for example—while limit distinguishes interval and form. A </w:t>
      </w:r>
      <w:r w:rsidRPr="00242A60">
        <w:rPr>
          <w:i/>
          <w:szCs w:val="28"/>
        </w:rPr>
        <w:t>kosmos</w:t>
      </w:r>
      <w:r w:rsidRPr="00242A60">
        <w:rPr>
          <w:szCs w:val="28"/>
        </w:rPr>
        <w:t xml:space="preserve"> arises because heterogeneous principles are fitted through </w:t>
      </w:r>
      <w:r w:rsidRPr="00242A60">
        <w:rPr>
          <w:i/>
          <w:szCs w:val="28"/>
        </w:rPr>
        <w:t>harmonia</w:t>
      </w:r>
      <w:r w:rsidRPr="00242A60">
        <w:rPr>
          <w:szCs w:val="28"/>
        </w:rPr>
        <w:t>. Harmony is required precisely where unlike things must be joined. It is not decorative sweetness but the relation that makes a structured whole possible.</w:t>
      </w:r>
      <w:r w:rsidRPr="00242A60">
        <w:rPr>
          <w:szCs w:val="28"/>
          <w:vertAlign w:val="superscript"/>
        </w:rPr>
        <w:t>9</w:t>
      </w:r>
    </w:p>
    <w:p w14:paraId="2B17F1D2" w14:textId="77777777" w:rsidR="00781E37" w:rsidRPr="00242A60" w:rsidRDefault="00781E37" w:rsidP="00781E37">
      <w:pPr>
        <w:pStyle w:val="BookBody"/>
      </w:pPr>
      <w:r w:rsidRPr="00242A60">
        <w:rPr>
          <w:szCs w:val="28"/>
        </w:rPr>
        <w:t xml:space="preserve">Number renders this fitting knowable. Things become objects of knowledge insofar as they possess determinate numerical relations. The claim can sound like an early reduction of quality to quantity, a first step toward the operational world. But the historical direction is almost the reverse. Number discloses the qualitative articulation of the whole. A consonance is not less musical because it has ratio; celestial order is not less beautiful because its intervals can be thought mathematically. Mathematics belongs to </w:t>
      </w:r>
      <w:r w:rsidRPr="00242A60">
        <w:rPr>
          <w:i/>
          <w:szCs w:val="28"/>
        </w:rPr>
        <w:t>kosmos</w:t>
      </w:r>
      <w:r w:rsidRPr="00242A60">
        <w:rPr>
          <w:szCs w:val="28"/>
        </w:rPr>
        <w:t xml:space="preserve"> because order is both intelligible and fitting.</w:t>
      </w:r>
    </w:p>
    <w:p w14:paraId="50A4C1C1" w14:textId="77777777" w:rsidR="00781E37" w:rsidRPr="00242A60" w:rsidRDefault="00781E37" w:rsidP="00781E37">
      <w:pPr>
        <w:pStyle w:val="BookBody"/>
      </w:pPr>
      <w:r w:rsidRPr="00242A60">
        <w:rPr>
          <w:szCs w:val="28"/>
        </w:rPr>
        <w:t>Pythagorean cosmology placed fire at the center and arranged celestial bodies in a numerical order that may have included a counter-earth. The details are known through hostile or later testimony, and “harmony of the spheres” should not be carelessly assigned to Pythagoras himself. Still, the tradition established a durable ambition: the movements of the heavens might form a proportional system analogous to musical concord. What the eye sees as wandering could participate in an order grasped by mind.</w:t>
      </w:r>
    </w:p>
    <w:p w14:paraId="5BA9F95B" w14:textId="77777777" w:rsidR="00781E37" w:rsidRPr="00242A60" w:rsidRDefault="00781E37" w:rsidP="00781E37">
      <w:pPr>
        <w:pStyle w:val="BookBody"/>
      </w:pPr>
      <w:r w:rsidRPr="00242A60">
        <w:rPr>
          <w:szCs w:val="28"/>
        </w:rPr>
        <w:t>This ambition changes the authority of appearance. Ordinary perception does not hear celestial music, perhaps because it has been present from birth and therefore lacks contrast. The mathematical philosopher can infer order beneath unnoticed experience. The hidden harmony of Heraclitus becomes numerical. Reason sees more than the senses, not by abandoning the world but by disclosing its form.</w:t>
      </w:r>
    </w:p>
    <w:p w14:paraId="22CFF5A5" w14:textId="77777777" w:rsidR="00781E37" w:rsidRPr="00242A60" w:rsidRDefault="00781E37" w:rsidP="00781E37">
      <w:pPr>
        <w:pStyle w:val="BookBody"/>
      </w:pPr>
      <w:r w:rsidRPr="00242A60">
        <w:rPr>
          <w:szCs w:val="28"/>
        </w:rPr>
        <w:t>The way of life matters as much as the cosmology. Rules concerning diet, purification, speech, memory, friendship, and the soul joined knowledge to transformation. Belief in transmigration widened the field of kinship across embodied lives. Mathematical study could be a purification because it turned attention toward stable relations. Hadot’s category of philosophy as a way of life is especially apt here: discourse belongs to a practice intended to reorder the practitioner.</w:t>
      </w:r>
      <w:r w:rsidRPr="00242A60">
        <w:rPr>
          <w:szCs w:val="28"/>
          <w:vertAlign w:val="superscript"/>
        </w:rPr>
        <w:t>10</w:t>
      </w:r>
    </w:p>
    <w:p w14:paraId="1F0F8FC3" w14:textId="77777777" w:rsidR="00781E37" w:rsidRPr="00242A60" w:rsidRDefault="00781E37" w:rsidP="00781E37">
      <w:pPr>
        <w:pStyle w:val="BookBody"/>
      </w:pPr>
      <w:r w:rsidRPr="00242A60">
        <w:rPr>
          <w:szCs w:val="28"/>
        </w:rPr>
        <w:t>The result is not yet the mathematical physics of early modern Europe. No general law identifies the state of a body by measurable variables evolving in homogeneous space. Pythagorean number remains tied to limit, figure, musical quality, and ethical formation. It teaches that the world is intelligible because differences can be proportioned. This is a decisive inheritance for Plato.</w:t>
      </w:r>
    </w:p>
    <w:p w14:paraId="330AF6FE" w14:textId="77777777" w:rsidR="00781E37" w:rsidRPr="00242A60" w:rsidRDefault="00781E37" w:rsidP="00781E37">
      <w:pPr>
        <w:pStyle w:val="SectionHeading"/>
      </w:pPr>
      <w:r w:rsidRPr="00242A60">
        <w:rPr>
          <w:bCs/>
          <w:szCs w:val="28"/>
        </w:rPr>
        <w:t>Civic Time Under the Sky</w:t>
      </w:r>
    </w:p>
    <w:p w14:paraId="46B24F3B" w14:textId="77777777" w:rsidR="00781E37" w:rsidRPr="00242A60" w:rsidRDefault="00781E37" w:rsidP="00781E37">
      <w:pPr>
        <w:pStyle w:val="BookBody"/>
      </w:pPr>
      <w:r w:rsidRPr="00242A60">
        <w:rPr>
          <w:szCs w:val="28"/>
        </w:rPr>
        <w:t>Before turning to Plato, we must return philosophy to the city. Greek cosmic thought did not arise among solitary minds looking at an empty horizon. It developed within civic worlds whose times were differentiated by assemblies, magistracies, sacrifices, festivals, agricultural tasks, military seasons, and the appearances of stars. The calendar was not a neutral container in which these activities happened. It was one of the means by which a community made itself a temporal order.</w:t>
      </w:r>
    </w:p>
    <w:p w14:paraId="419665EC" w14:textId="77777777" w:rsidR="00781E37" w:rsidRPr="00242A60" w:rsidRDefault="00781E37" w:rsidP="00781E37">
      <w:pPr>
        <w:pStyle w:val="BookBody"/>
      </w:pPr>
      <w:r w:rsidRPr="00242A60">
        <w:rPr>
          <w:szCs w:val="28"/>
        </w:rPr>
        <w:t>Robert Hannah distinguishes several calendars operating in classical Athens. The festival calendar organized lunar months, sacrifices, and named days. The political or prytany calendar divided the service of the Council among tribal delegations and did not always coincide neatly with the festival year. Seasonal knowledge followed the Sun, weather, agriculture, and stellar appearances. These systems could be coordinated, but none was merely a defective version of our single standardized chronology.</w:t>
      </w:r>
      <w:r w:rsidRPr="00242A60">
        <w:rPr>
          <w:szCs w:val="28"/>
          <w:vertAlign w:val="superscript"/>
        </w:rPr>
        <w:t>11</w:t>
      </w:r>
    </w:p>
    <w:p w14:paraId="41D0E042" w14:textId="77777777" w:rsidR="00781E37" w:rsidRPr="00242A60" w:rsidRDefault="00781E37" w:rsidP="00781E37">
      <w:pPr>
        <w:pStyle w:val="BookBody"/>
      </w:pPr>
      <w:r w:rsidRPr="00242A60">
        <w:rPr>
          <w:szCs w:val="28"/>
        </w:rPr>
        <w:t>The festival month began by lunar observation or official determination. Its days were qualitative. A date did not mean only a position counted from an arbitrary origin; it could carry a divine name, ritual obligation, or civic memory. Intercalation kept lunar months roughly aligned with the solar seasons, but the procedure was historically variable and politically administered. The city did not discover that time was chaotic because its calendars diverged. It maintained several forms of time because civic life contained several forms of recurrence.</w:t>
      </w:r>
    </w:p>
    <w:p w14:paraId="05380F6F" w14:textId="77777777" w:rsidR="00781E37" w:rsidRPr="00242A60" w:rsidRDefault="00781E37" w:rsidP="00781E37">
      <w:pPr>
        <w:pStyle w:val="BookBody"/>
      </w:pPr>
      <w:r w:rsidRPr="00242A60">
        <w:rPr>
          <w:szCs w:val="28"/>
        </w:rPr>
        <w:t>The parapegma made another order visible. On an inscribed stone or board, holes beside a sequence of notices allowed a peg to be moved day by day. Entries could connect dates or intervals with stellar phases and expected weather. The object joined a counted sequence to appearances in the sky. A star’s heliacal rising might mark a seasonal transition even when clouds or local conditions prevented an actual sighting. The parapegma therefore stood between observation and norm: it recorded an idealized recurrence by which variable experience could be interpreted.</w:t>
      </w:r>
      <w:r w:rsidRPr="00242A60">
        <w:rPr>
          <w:szCs w:val="28"/>
          <w:vertAlign w:val="superscript"/>
        </w:rPr>
        <w:t>12</w:t>
      </w:r>
    </w:p>
    <w:p w14:paraId="52B4C56D" w14:textId="77777777" w:rsidR="00781E37" w:rsidRPr="00242A60" w:rsidRDefault="00781E37" w:rsidP="00781E37">
      <w:pPr>
        <w:pStyle w:val="BookBody"/>
      </w:pPr>
      <w:r w:rsidRPr="00242A60">
        <w:rPr>
          <w:szCs w:val="28"/>
        </w:rPr>
        <w:t>Such devices complicate the opposition between sacred time and rational time. A civic festival might be fixed by a lunar calendar; an assembly scheduled by political count; a voyage judged by stellar season; a philosophical school meeting according to its own rhythm. Calculation did not dissolve ritual quality. It helped maintain it. The exact day mattered because an offering, office, or communal action belonged there.</w:t>
      </w:r>
    </w:p>
    <w:p w14:paraId="7C06D7F6" w14:textId="77777777" w:rsidR="00781E37" w:rsidRPr="00242A60" w:rsidRDefault="00781E37" w:rsidP="00781E37">
      <w:pPr>
        <w:pStyle w:val="BookBody"/>
      </w:pPr>
      <w:r w:rsidRPr="00242A60">
        <w:rPr>
          <w:szCs w:val="28"/>
        </w:rPr>
        <w:t>The calendar also exposes power. Someone declared the month, inserted an intercalary period, reconciled records, and determined when obligations fell due. Manipulation was possible, and comic writers could mock calendrical disorder. Yet administration does not make the sky arbitrary. Lunar phases and seasonal returns constrained civic choices without dictating a single calendar. Natural recurrence and political order met through institutions.</w:t>
      </w:r>
    </w:p>
    <w:p w14:paraId="2D97F1C1" w14:textId="77777777" w:rsidR="00781E37" w:rsidRPr="00242A60" w:rsidRDefault="00781E37" w:rsidP="00781E37">
      <w:pPr>
        <w:pStyle w:val="BookBody"/>
      </w:pPr>
      <w:r w:rsidRPr="00242A60">
        <w:rPr>
          <w:szCs w:val="28"/>
        </w:rPr>
        <w:t>This meeting is one condition of Greek cosmology. The heavens were already public time before philosophers modeled them as a whole. Their movements oriented cultivation, sailing, worship, and memory. To rationalize celestial order was therefore not to turn away from life toward abstract space. It was to give an account of recurrences in which bodies and cities were already implicated.</w:t>
      </w:r>
    </w:p>
    <w:p w14:paraId="3922367B" w14:textId="77777777" w:rsidR="00781E37" w:rsidRPr="00242A60" w:rsidRDefault="00781E37" w:rsidP="00781E37">
      <w:pPr>
        <w:pStyle w:val="BookBody"/>
      </w:pPr>
      <w:r w:rsidRPr="00242A60">
        <w:rPr>
          <w:szCs w:val="28"/>
        </w:rPr>
        <w:t xml:space="preserve">The material witness for this chapter can now split into two related objects: the civic calendar that brings celestial order into collective practice, and the concentric model that brings the whole sky within a demonstrative frame. One locates the city under the heavens; the other locates the heavens around an observer. Greek </w:t>
      </w:r>
      <w:r w:rsidRPr="00242A60">
        <w:rPr>
          <w:i/>
          <w:szCs w:val="28"/>
        </w:rPr>
        <w:t>kosmos</w:t>
      </w:r>
      <w:r w:rsidRPr="00242A60">
        <w:rPr>
          <w:szCs w:val="28"/>
        </w:rPr>
        <w:t xml:space="preserve"> grows through their tension. It is lived locally and thought totally.</w:t>
      </w:r>
    </w:p>
    <w:p w14:paraId="7090DD74" w14:textId="77777777" w:rsidR="00781E37" w:rsidRPr="00242A60" w:rsidRDefault="00781E37" w:rsidP="00781E37">
      <w:pPr>
        <w:pStyle w:val="SectionHeading"/>
      </w:pPr>
      <w:r w:rsidRPr="00242A60">
        <w:rPr>
          <w:bCs/>
          <w:szCs w:val="28"/>
        </w:rPr>
        <w:t>Plato’s Best Possible Living Whole</w:t>
      </w:r>
    </w:p>
    <w:p w14:paraId="008CA401" w14:textId="77777777" w:rsidR="00781E37" w:rsidRPr="00242A60" w:rsidRDefault="00781E37" w:rsidP="00781E37">
      <w:pPr>
        <w:pStyle w:val="BookBody"/>
      </w:pPr>
      <w:r w:rsidRPr="00242A60">
        <w:rPr>
          <w:szCs w:val="28"/>
        </w:rPr>
        <w:t xml:space="preserve">Plato’s </w:t>
      </w:r>
      <w:r w:rsidRPr="00242A60">
        <w:rPr>
          <w:i/>
          <w:szCs w:val="28"/>
        </w:rPr>
        <w:t>Timaeus</w:t>
      </w:r>
      <w:r w:rsidRPr="00242A60">
        <w:rPr>
          <w:szCs w:val="28"/>
        </w:rPr>
        <w:t xml:space="preserve"> gives the rational living cosmos its most influential ancient form. The dialogue is not a simple statement of Plato’s settled physics. Timaeus calls his discourse a “likely” or “probable” account because its object belongs to becoming and is perceived rather than grasped as unchanging being. The form of the speech matters: cosmology cannot possess exactly the same certainty as an account of what always is. Reason must fit its mode of speech to the ontological status of its object.</w:t>
      </w:r>
      <w:r w:rsidRPr="00242A60">
        <w:rPr>
          <w:szCs w:val="28"/>
          <w:vertAlign w:val="superscript"/>
        </w:rPr>
        <w:t>13</w:t>
      </w:r>
    </w:p>
    <w:p w14:paraId="2E7C6D64" w14:textId="77777777" w:rsidR="00781E37" w:rsidRPr="00242A60" w:rsidRDefault="00781E37" w:rsidP="00781E37">
      <w:pPr>
        <w:pStyle w:val="BookBody"/>
      </w:pPr>
      <w:r w:rsidRPr="00242A60">
        <w:rPr>
          <w:szCs w:val="28"/>
        </w:rPr>
        <w:t>The opening distinction is between what always is and never becomes, and what becomes but never simply is. Whatever comes to be has a cause. Because the cosmos is visible, tangible, and bodily, it has come to be; because its maker is good and without jealousy, he looks to an eternal model and makes the result as good as possible. Order is therefore neither an accident nor the victory of arbitrary will. It is the communication of goodness under the conditions imposed by becoming.</w:t>
      </w:r>
    </w:p>
    <w:p w14:paraId="767D638D" w14:textId="77777777" w:rsidR="00781E37" w:rsidRPr="00242A60" w:rsidRDefault="00781E37" w:rsidP="00781E37">
      <w:pPr>
        <w:pStyle w:val="BookBody"/>
      </w:pPr>
      <w:r w:rsidRPr="00242A60">
        <w:rPr>
          <w:szCs w:val="28"/>
        </w:rPr>
        <w:t>The divine craftsman does not create from nothing. He encounters visible material in disorderly motion and brings it from disorder to order because order is better. The craftsman image preserves the intelligibility of artifact without making the cosmos a mere human product. A craftsperson works toward a form, relates parts to a whole, selects proportion, and acts for the sake of a good result. Cosmic explanation becomes teleological: to understand why the world has this arrangement, one asks what makes it best.</w:t>
      </w:r>
    </w:p>
    <w:p w14:paraId="436115D7" w14:textId="77777777" w:rsidR="00781E37" w:rsidRPr="00242A60" w:rsidRDefault="00781E37" w:rsidP="00781E37">
      <w:pPr>
        <w:pStyle w:val="BookBody"/>
      </w:pPr>
      <w:r w:rsidRPr="00242A60">
        <w:rPr>
          <w:szCs w:val="28"/>
        </w:rPr>
        <w:t>The answer begins with life. The maker judges that what possesses intelligence is fairer than what lacks it, and that intelligence cannot occur without soul. He therefore places intelligence in soul and soul in body, constructing the cosmos as a living creature endowed with soul and intelligence. The world is not an inert container populated by organisms. It is itself the primary visible living whole, containing within it the kinds of mortal living creatures.</w:t>
      </w:r>
      <w:r w:rsidRPr="00242A60">
        <w:rPr>
          <w:szCs w:val="28"/>
          <w:vertAlign w:val="superscript"/>
        </w:rPr>
        <w:t>14</w:t>
      </w:r>
    </w:p>
    <w:p w14:paraId="7E8FB3D7" w14:textId="77777777" w:rsidR="00781E37" w:rsidRPr="00242A60" w:rsidRDefault="00781E37" w:rsidP="00781E37">
      <w:pPr>
        <w:pStyle w:val="BookBody"/>
      </w:pPr>
      <w:r w:rsidRPr="00242A60">
        <w:rPr>
          <w:szCs w:val="28"/>
        </w:rPr>
        <w:t>Its unity follows from the model. If the intelligible living creature embraces all intelligible living beings, the visible copy must be one complete cosmos containing all visible creatures. A second cosmos would require a larger kind embracing both, and then the original model would not have been complete. There is one heaven, not because observation has counted every possible universe, but because perfection requires a comprehensive whole.</w:t>
      </w:r>
    </w:p>
    <w:p w14:paraId="69F33E08" w14:textId="77777777" w:rsidR="00781E37" w:rsidRPr="00242A60" w:rsidRDefault="00781E37" w:rsidP="00781E37">
      <w:pPr>
        <w:pStyle w:val="BookBody"/>
      </w:pPr>
      <w:r w:rsidRPr="00242A60">
        <w:rPr>
          <w:szCs w:val="28"/>
        </w:rPr>
        <w:t>The cosmos is spherical. The maker gives it the shape that contains all shapes and is most like itself everywhere. It needs no eyes, ears, lungs, or organs of nourishment because nothing exists outside it to be seen, heard, breathed, eaten, or excreted. It neither walks nor grasps. Its proper motion is rotation in the same place, the motion most associated with intelligence. Here finitude, self-sufficiency, and life converge. The perfect body is not one organism among others in an environment. It contains its environment within itself.</w:t>
      </w:r>
    </w:p>
    <w:p w14:paraId="339FADB8" w14:textId="77777777" w:rsidR="00781E37" w:rsidRPr="00242A60" w:rsidRDefault="00781E37" w:rsidP="00781E37">
      <w:pPr>
        <w:pStyle w:val="BookBody"/>
      </w:pPr>
      <w:r w:rsidRPr="00242A60">
        <w:rPr>
          <w:szCs w:val="28"/>
        </w:rPr>
        <w:t>Plato’s teleology does not eliminate necessity. The dialogue later distinguishes the works of intelligence from those of the “wandering cause,” and Timaeus says that reason persuades necessity to bring most things toward the best. This formulation is critical. The world’s order is neither mechanically necessitated in every detail nor imposed without resistance. It is the best arrangement achievable when intelligence works through bodily conditions.</w:t>
      </w:r>
    </w:p>
    <w:p w14:paraId="0FD84C81" w14:textId="77777777" w:rsidR="00781E37" w:rsidRPr="00242A60" w:rsidRDefault="00781E37" w:rsidP="00781E37">
      <w:pPr>
        <w:pStyle w:val="BookBody"/>
      </w:pPr>
      <w:r w:rsidRPr="00242A60">
        <w:rPr>
          <w:szCs w:val="28"/>
        </w:rPr>
        <w:t>The receptacle deepens the difficulty. Forms provide intelligible models; sensible things come to be and pass away; the receptacle is the “nurse” or space in which becoming appears. It cannot be identified with any of the elements because it receives them all. Timaeus approaches it through a “bastard reasoning,” as though speaking of a dream. This is not yet the homogeneous, inert space of classical mechanics. The receptacle is necessary for bodily differentiation, but it is conceptually elusive and described through maternal as well as spatial images.</w:t>
      </w:r>
      <w:r w:rsidRPr="00242A60">
        <w:rPr>
          <w:szCs w:val="28"/>
          <w:vertAlign w:val="superscript"/>
        </w:rPr>
        <w:t>15</w:t>
      </w:r>
    </w:p>
    <w:p w14:paraId="77FBB079" w14:textId="77777777" w:rsidR="00781E37" w:rsidRPr="00242A60" w:rsidRDefault="00781E37" w:rsidP="00781E37">
      <w:pPr>
        <w:pStyle w:val="BookBody"/>
      </w:pPr>
      <w:r w:rsidRPr="00242A60">
        <w:rPr>
          <w:szCs w:val="28"/>
        </w:rPr>
        <w:t>The four elemental bodies acquire geometrical structure. Fire, air, water, and earth are associated with regular solids built from triangles, making transformations among several elements mathematically intelligible. Geometry penetrates matter, but the result remains sensuous and qualitative. Sharp, mobile fire differs from the more stable cubic earth because geometrical form helps explain how each acts and feels. Mathematics articulates quality instead of abolishing it.</w:t>
      </w:r>
    </w:p>
    <w:p w14:paraId="0DAE1A54" w14:textId="77777777" w:rsidR="00781E37" w:rsidRPr="00242A60" w:rsidRDefault="00781E37" w:rsidP="00781E37">
      <w:pPr>
        <w:pStyle w:val="BookBody"/>
      </w:pPr>
      <w:r w:rsidRPr="00242A60">
        <w:rPr>
          <w:szCs w:val="28"/>
        </w:rPr>
        <w:t xml:space="preserve">The </w:t>
      </w:r>
      <w:r w:rsidRPr="00242A60">
        <w:rPr>
          <w:i/>
          <w:szCs w:val="28"/>
        </w:rPr>
        <w:t>Timaeus</w:t>
      </w:r>
      <w:r w:rsidRPr="00242A60">
        <w:rPr>
          <w:szCs w:val="28"/>
        </w:rPr>
        <w:t xml:space="preserve"> therefore gives later traditions multiple possibilities that do not always remain united: a divine maker; an eternal intelligible model; mathematically structured body; a world soul; a finite spherical whole; teleological goodness; necessity; and a recalcitrant receptacle. The dialogue’s power lies precisely in refusing to collapse these into one simple principle. The cosmos lives because several orders have been fitted together.</w:t>
      </w:r>
    </w:p>
    <w:p w14:paraId="6B34D278" w14:textId="77777777" w:rsidR="00781E37" w:rsidRPr="00242A60" w:rsidRDefault="00781E37" w:rsidP="00781E37">
      <w:pPr>
        <w:pStyle w:val="SectionHeading"/>
      </w:pPr>
      <w:r w:rsidRPr="00242A60">
        <w:rPr>
          <w:bCs/>
          <w:szCs w:val="28"/>
        </w:rPr>
        <w:t>Soul, Motion, and the Birth of Time</w:t>
      </w:r>
    </w:p>
    <w:p w14:paraId="647B2A25" w14:textId="77777777" w:rsidR="00781E37" w:rsidRPr="00242A60" w:rsidRDefault="00781E37" w:rsidP="00781E37">
      <w:pPr>
        <w:pStyle w:val="BookBody"/>
      </w:pPr>
      <w:r w:rsidRPr="00242A60">
        <w:rPr>
          <w:szCs w:val="28"/>
        </w:rPr>
        <w:t>Before the body of the world is completed, its soul is composed and stretched through it from center to circumference, then wrapped around it from outside. The order of exposition reverses the apparent order of dependence: soul is older and more authoritative than body. It is formed from mixtures of indivisible and divisible being, sameness, and difference, then divided according to a harmonic numerical scheme. The circles of Same and Different become the intelligible structure of celestial motion.</w:t>
      </w:r>
      <w:r w:rsidRPr="00242A60">
        <w:rPr>
          <w:szCs w:val="28"/>
          <w:vertAlign w:val="superscript"/>
        </w:rPr>
        <w:t>16</w:t>
      </w:r>
    </w:p>
    <w:p w14:paraId="640CC4A7" w14:textId="77777777" w:rsidR="00781E37" w:rsidRPr="00242A60" w:rsidRDefault="00781E37" w:rsidP="00781E37">
      <w:pPr>
        <w:pStyle w:val="BookBody"/>
      </w:pPr>
      <w:r w:rsidRPr="00242A60">
        <w:rPr>
          <w:szCs w:val="28"/>
        </w:rPr>
        <w:t>This passage gathers the chapter’s preceding themes. Parmenidean permanence and sensible divisibility are mediated rather than simply opposed. Pythagorean ratio structures soul. Circular motion expresses self-relation. Identity and difference become cosmic operations. The heavens can be known because the motions of the observer’s soul are akin to the rational motions of the world soul.</w:t>
      </w:r>
    </w:p>
    <w:p w14:paraId="58E11422" w14:textId="77777777" w:rsidR="00781E37" w:rsidRPr="00242A60" w:rsidRDefault="00781E37" w:rsidP="00781E37">
      <w:pPr>
        <w:pStyle w:val="BookBody"/>
      </w:pPr>
      <w:r w:rsidRPr="00242A60">
        <w:rPr>
          <w:szCs w:val="28"/>
        </w:rPr>
        <w:t>Time begins with the moving heaven. The maker, wishing the generated cosmos to resemble its eternal model more fully, creates a moving image of eternity according to number. Days, nights, months, and years come to be with celestial revolutions. Sun, Moon, and planets are not clocks placed in a time already flowing. Their ordered motions constitute measurable cosmic time.</w:t>
      </w:r>
      <w:r w:rsidRPr="00242A60">
        <w:rPr>
          <w:szCs w:val="28"/>
          <w:vertAlign w:val="superscript"/>
        </w:rPr>
        <w:t>17</w:t>
      </w:r>
    </w:p>
    <w:p w14:paraId="4DCE318B" w14:textId="77777777" w:rsidR="00781E37" w:rsidRPr="00242A60" w:rsidRDefault="00781E37" w:rsidP="00781E37">
      <w:pPr>
        <w:pStyle w:val="BookBody"/>
      </w:pPr>
      <w:r w:rsidRPr="00242A60">
        <w:rPr>
          <w:szCs w:val="28"/>
        </w:rPr>
        <w:t xml:space="preserve">The point resists a common modern assumption. We imagine an empty temporal axis extending uniformly whether anything changes or not. Events occupy its coordinates. In the </w:t>
      </w:r>
      <w:r w:rsidRPr="00242A60">
        <w:rPr>
          <w:i/>
          <w:szCs w:val="28"/>
        </w:rPr>
        <w:t>Timaeus</w:t>
      </w:r>
      <w:r w:rsidRPr="00242A60">
        <w:rPr>
          <w:szCs w:val="28"/>
        </w:rPr>
        <w:t>, counted time is inseparable from the periodic motions that display number. “Before” the cosmos is not another stretch of the same cosmic clock, because the clock is born with heaven. Time belongs to an order of becoming made intelligible by return.</w:t>
      </w:r>
    </w:p>
    <w:p w14:paraId="7A4F8F7D" w14:textId="77777777" w:rsidR="00781E37" w:rsidRPr="00242A60" w:rsidRDefault="00781E37" w:rsidP="00781E37">
      <w:pPr>
        <w:pStyle w:val="BookBody"/>
      </w:pPr>
      <w:r w:rsidRPr="00242A60">
        <w:rPr>
          <w:szCs w:val="28"/>
        </w:rPr>
        <w:t>The planets’ apparent irregularity poses a challenge. Ordinary observers notice the Sun’s year and the Moon’s month, but the periods of the other wandering stars are less evident. Timaeus says that few understand their revolutions and the complete number of time in which their cycles return together. The task of astronomy is not merely to record positions. It is to find order within wanderings.</w:t>
      </w:r>
    </w:p>
    <w:p w14:paraId="5940A120" w14:textId="77777777" w:rsidR="00781E37" w:rsidRPr="00242A60" w:rsidRDefault="00781E37" w:rsidP="00781E37">
      <w:pPr>
        <w:pStyle w:val="BookBody"/>
      </w:pPr>
      <w:r w:rsidRPr="00242A60">
        <w:rPr>
          <w:szCs w:val="28"/>
        </w:rPr>
        <w:t>Sight itself receives a teleological interpretation. We were given vision so that by observing the circuits of intelligence in the heavens we might apply them to the disturbed revolutions within ourselves. The regularities above become exercises for the soul below. Human reasoning is healed by kinship with cosmic reasoning. Astronomy is ethical therapy.</w:t>
      </w:r>
      <w:r w:rsidRPr="00242A60">
        <w:rPr>
          <w:szCs w:val="28"/>
          <w:vertAlign w:val="superscript"/>
        </w:rPr>
        <w:t>18</w:t>
      </w:r>
    </w:p>
    <w:p w14:paraId="1F722610" w14:textId="77777777" w:rsidR="00781E37" w:rsidRPr="00242A60" w:rsidRDefault="00781E37" w:rsidP="00781E37">
      <w:pPr>
        <w:pStyle w:val="BookBody"/>
      </w:pPr>
      <w:r w:rsidRPr="00242A60">
        <w:rPr>
          <w:szCs w:val="28"/>
        </w:rPr>
        <w:t>This claim must not be confused with the later slogan that “astronomy teaches humility” through immense scale. Plato’s cosmos is not primarily sublime because humanity is physically insignificant within vast distances. It is educative because visible motions instantiate intelligible proportion. Looking upward can restore order within the person because soul and heaven share a formal structure.</w:t>
      </w:r>
    </w:p>
    <w:p w14:paraId="792AFAB1" w14:textId="77777777" w:rsidR="00781E37" w:rsidRPr="00242A60" w:rsidRDefault="00781E37" w:rsidP="00781E37">
      <w:pPr>
        <w:pStyle w:val="BookBody"/>
      </w:pPr>
      <w:r w:rsidRPr="00242A60">
        <w:rPr>
          <w:szCs w:val="28"/>
        </w:rPr>
        <w:t>The relation also prevents contemplation from being merely passive. To know the cosmic motions, the learner must cultivate mathematical capacities, distinguish apparent from real motion, and correct the disorder of embodied perception. The observer becomes fit for the object. Cosmic intelligibility is not information delivered unchanged to any spectator; it is an achievement of formation.</w:t>
      </w:r>
    </w:p>
    <w:p w14:paraId="00E05210" w14:textId="77777777" w:rsidR="00781E37" w:rsidRPr="00242A60" w:rsidRDefault="00781E37" w:rsidP="00781E37">
      <w:pPr>
        <w:pStyle w:val="BookBody"/>
      </w:pPr>
      <w:r w:rsidRPr="00242A60">
        <w:rPr>
          <w:szCs w:val="28"/>
        </w:rPr>
        <w:t xml:space="preserve">Here the living cosmos reaches a philosophical peak. It is a god, an animal, a geometrical structure, a temporal order, and an ethical model. These predicates would later separate into theology, biology, mathematics, physics, and moral psychology. In the </w:t>
      </w:r>
      <w:r w:rsidRPr="00242A60">
        <w:rPr>
          <w:i/>
          <w:szCs w:val="28"/>
        </w:rPr>
        <w:t>Timaeus</w:t>
      </w:r>
      <w:r w:rsidRPr="00242A60">
        <w:rPr>
          <w:szCs w:val="28"/>
        </w:rPr>
        <w:t xml:space="preserve"> they belong to one construction.</w:t>
      </w:r>
    </w:p>
    <w:p w14:paraId="38B8E9BC" w14:textId="77777777" w:rsidR="00781E37" w:rsidRPr="00242A60" w:rsidRDefault="00781E37" w:rsidP="00781E37">
      <w:pPr>
        <w:pStyle w:val="SectionHeading"/>
      </w:pPr>
      <w:r w:rsidRPr="00242A60">
        <w:rPr>
          <w:bCs/>
          <w:szCs w:val="28"/>
        </w:rPr>
        <w:t>Saving the Wandering Stars</w:t>
      </w:r>
    </w:p>
    <w:p w14:paraId="28EB946F" w14:textId="77777777" w:rsidR="00781E37" w:rsidRPr="00242A60" w:rsidRDefault="00781E37" w:rsidP="00781E37">
      <w:pPr>
        <w:pStyle w:val="BookBody"/>
      </w:pPr>
      <w:r w:rsidRPr="00242A60">
        <w:rPr>
          <w:szCs w:val="28"/>
        </w:rPr>
        <w:t>The planetary motions visible from earth do not trace the simple regularity demanded by a perfect heaven. Planets slow, stop, reverse direction, vary in brightness, and remain close to the ecliptic while following different periods. Greek mathematical astronomy developed models that could combine uniform circular motions to account for these appearances. Eudoxus of Cnidus is credited with an early system of concentric or homocentric spheres; Callippus modified it, and Aristotle gave related spheres a physical role.</w:t>
      </w:r>
    </w:p>
    <w:p w14:paraId="70AA4209" w14:textId="77777777" w:rsidR="00781E37" w:rsidRPr="00242A60" w:rsidRDefault="00781E37" w:rsidP="00781E37">
      <w:pPr>
        <w:pStyle w:val="BookBody"/>
      </w:pPr>
      <w:r w:rsidRPr="00242A60">
        <w:rPr>
          <w:szCs w:val="28"/>
        </w:rPr>
        <w:t>The phrase “save the phenomena” is often used to summarize the program, though its exact historical application requires caution. The task was to preserve observed appearances by finding combinations of orderly motion that would generate them. A planet’s visible loop need not be its single physical path. It can be the resultant appearance produced when several rotations are compounded.</w:t>
      </w:r>
    </w:p>
    <w:p w14:paraId="4EB439B2" w14:textId="77777777" w:rsidR="00781E37" w:rsidRPr="00242A60" w:rsidRDefault="00781E37" w:rsidP="00781E37">
      <w:pPr>
        <w:pStyle w:val="BookBody"/>
      </w:pPr>
      <w:r w:rsidRPr="00242A60">
        <w:rPr>
          <w:szCs w:val="28"/>
        </w:rPr>
        <w:t>For each luminary, Eudoxus assigned nested spheres sharing the earth as center. The outer sphere carried the daily rotation; inner spheres accounted for movement along the zodiac and more complex deviations, including retrogradation. The celebrated hippopede, or figure-eight-like curve generated through compounded rotations, showed how mathematical construction could derive an apparent reversal from motions that remained circular and uniform.</w:t>
      </w:r>
      <w:r w:rsidRPr="00242A60">
        <w:rPr>
          <w:szCs w:val="28"/>
          <w:vertAlign w:val="superscript"/>
        </w:rPr>
        <w:t>19</w:t>
      </w:r>
    </w:p>
    <w:p w14:paraId="73164730" w14:textId="77777777" w:rsidR="00781E37" w:rsidRPr="00242A60" w:rsidRDefault="00781E37" w:rsidP="00781E37">
      <w:pPr>
        <w:pStyle w:val="BookBody"/>
      </w:pPr>
      <w:r w:rsidRPr="00242A60">
        <w:rPr>
          <w:szCs w:val="28"/>
        </w:rPr>
        <w:t>No surviving text by Eudoxus gives the system in his own words, and reconstructions rely heavily on later testimony. We should therefore resist the image of a polished planetarium copied directly from a fourth-century blueprint. Even so, the conceptual achievement is clear. Irregular appearance can be a perspective effect of regular relations. The observer does not accuse the planet of breaking order; the model locates a deeper order capable of producing what appears irregular from earth.</w:t>
      </w:r>
    </w:p>
    <w:p w14:paraId="38B6015C" w14:textId="77777777" w:rsidR="00781E37" w:rsidRPr="00242A60" w:rsidRDefault="00781E37" w:rsidP="00781E37">
      <w:pPr>
        <w:pStyle w:val="BookBody"/>
      </w:pPr>
      <w:r w:rsidRPr="00242A60">
        <w:rPr>
          <w:szCs w:val="28"/>
        </w:rPr>
        <w:t>The concentric model also preserves qualitative commitments. Earth occupies the center, the spheres have an ordered nesting, circular motion is privileged, and the heavens form a bounded whole. Mathematics does not yet operate in an infinite homogeneous space where any coordinate origin is equivalent to any other. It works inside a cosmos with center, circumference, kinds of motion, and a hierarchy of regions.</w:t>
      </w:r>
    </w:p>
    <w:p w14:paraId="395F0941" w14:textId="77777777" w:rsidR="00781E37" w:rsidRPr="00242A60" w:rsidRDefault="00781E37" w:rsidP="00781E37">
      <w:pPr>
        <w:pStyle w:val="BookBody"/>
      </w:pPr>
      <w:r w:rsidRPr="00242A60">
        <w:rPr>
          <w:szCs w:val="28"/>
        </w:rPr>
        <w:t>Lloyd emphasizes the difference between a mathematical model and Aristotle’s attempt to turn such models into a connected physical system. A mathematician may combine rotations sufficient to reproduce appearances without deciding that each geometrical sphere is a massive shell. A natural philosopher asks what moves, what transmits motion, what a celestial body is made of, and how all motions belong to one heaven.</w:t>
      </w:r>
      <w:r w:rsidRPr="00242A60">
        <w:rPr>
          <w:szCs w:val="28"/>
          <w:vertAlign w:val="superscript"/>
        </w:rPr>
        <w:t>20</w:t>
      </w:r>
    </w:p>
    <w:p w14:paraId="0DF2CC7F" w14:textId="77777777" w:rsidR="00781E37" w:rsidRPr="00242A60" w:rsidRDefault="00781E37" w:rsidP="00781E37">
      <w:pPr>
        <w:pStyle w:val="BookBody"/>
      </w:pPr>
      <w:r w:rsidRPr="00242A60">
        <w:rPr>
          <w:szCs w:val="28"/>
        </w:rPr>
        <w:t>This difference will endure. Astronomy can generate exact predictions with a model whose physical interpretation is contested. The success of an equation does not by itself settle what entities exist. In Greek thought, however, the distinction did not yet produce a permanent divorce of instrumental calculation from cosmic meaning. Mathematical astronomy was one route toward the structure of a real ordered whole.</w:t>
      </w:r>
    </w:p>
    <w:p w14:paraId="369BDB5C" w14:textId="77777777" w:rsidR="00781E37" w:rsidRPr="00242A60" w:rsidRDefault="00781E37" w:rsidP="00781E37">
      <w:pPr>
        <w:pStyle w:val="BookBody"/>
      </w:pPr>
      <w:r w:rsidRPr="00242A60">
        <w:rPr>
          <w:szCs w:val="28"/>
        </w:rPr>
        <w:t>The later armillary sphere makes this route tangible. Its circles let a teacher or observer demonstrate coordinate relations and celestial motions. It turns the sky into manipulable geometry while retaining the central standpoint and spherical totality of ancient cosmology. The instrument is abstract, but it is not neutral. What it makes easy to think—a centered observer, circular order, bounded heavens—is a history cast in metal.</w:t>
      </w:r>
    </w:p>
    <w:p w14:paraId="143B2D3E" w14:textId="77777777" w:rsidR="00781E37" w:rsidRPr="00242A60" w:rsidRDefault="00781E37" w:rsidP="00781E37">
      <w:pPr>
        <w:pStyle w:val="SectionHeading"/>
      </w:pPr>
      <w:r w:rsidRPr="00242A60">
        <w:rPr>
          <w:bCs/>
          <w:szCs w:val="28"/>
        </w:rPr>
        <w:t>Aristotle’s Nature: Motion from Within</w:t>
      </w:r>
    </w:p>
    <w:p w14:paraId="3D436EAD" w14:textId="77777777" w:rsidR="00781E37" w:rsidRPr="00242A60" w:rsidRDefault="00781E37" w:rsidP="00781E37">
      <w:pPr>
        <w:pStyle w:val="BookBody"/>
      </w:pPr>
      <w:r w:rsidRPr="00242A60">
        <w:rPr>
          <w:szCs w:val="28"/>
        </w:rPr>
        <w:t>Aristotle inherits the problems of his predecessors and changes their vocabulary. He opposes Plato’s separate Forms, criticizes the mathematical construction of substances, and treats the visible world as eternal rather than the product of a temporal beginning. Yet he preserves a finite, purposive, differentiated cosmos. His natural philosophy offers perhaps the most systematic rational articulation of a world that moves and lives from within.</w:t>
      </w:r>
    </w:p>
    <w:p w14:paraId="5EF9C3CE" w14:textId="77777777" w:rsidR="00781E37" w:rsidRPr="00242A60" w:rsidRDefault="00781E37" w:rsidP="00781E37">
      <w:pPr>
        <w:pStyle w:val="BookBody"/>
      </w:pPr>
      <w:r w:rsidRPr="00242A60">
        <w:rPr>
          <w:szCs w:val="28"/>
        </w:rPr>
        <w:t xml:space="preserve">In </w:t>
      </w:r>
      <w:r w:rsidRPr="00242A60">
        <w:rPr>
          <w:i/>
          <w:szCs w:val="28"/>
        </w:rPr>
        <w:t>Physics</w:t>
      </w:r>
      <w:r w:rsidRPr="00242A60">
        <w:rPr>
          <w:szCs w:val="28"/>
        </w:rPr>
        <w:t xml:space="preserve"> II, natural beings are distinguished from artifacts because they have in themselves a principle of motion and rest. An animal grows, changes, moves, and ceases moving by capacities belonging to what it is. A bed moves downward because its wood is heavy, not because bedness supplies a natural tendency. Art can imitate or complete nature, but an artifact’s organizing source is initially external in a way a living organism’s is not.</w:t>
      </w:r>
      <w:r w:rsidRPr="00242A60">
        <w:rPr>
          <w:szCs w:val="28"/>
          <w:vertAlign w:val="superscript"/>
        </w:rPr>
        <w:t>21</w:t>
      </w:r>
    </w:p>
    <w:p w14:paraId="2ED99153" w14:textId="77777777" w:rsidR="00781E37" w:rsidRPr="00242A60" w:rsidRDefault="00781E37" w:rsidP="00781E37">
      <w:pPr>
        <w:pStyle w:val="BookBody"/>
      </w:pPr>
      <w:r w:rsidRPr="00242A60">
        <w:rPr>
          <w:szCs w:val="28"/>
        </w:rPr>
        <w:t>The distinction is not absolute. Aristotle’s elements have natural motions; earth and water tend downward, air and fire upward. Nature is therefore broader than biological life. But living beings provide the clearest cases because their development displays an internal end. An acorn becomes an oak not because a miniature tree pushes it mechanically from outside, but because its form organizes matter through a characteristic sequence of actualizations.</w:t>
      </w:r>
    </w:p>
    <w:p w14:paraId="6BA8EEAC" w14:textId="77777777" w:rsidR="00781E37" w:rsidRPr="00242A60" w:rsidRDefault="00781E37" w:rsidP="00781E37">
      <w:pPr>
        <w:pStyle w:val="BookBody"/>
      </w:pPr>
      <w:r w:rsidRPr="00242A60">
        <w:rPr>
          <w:szCs w:val="28"/>
        </w:rPr>
        <w:t>Aristotle’s four causes articulate different answers to “why”: the matter from which something comes, the form or structure it is, the source of change, and the end for the sake of which it occurs. Later mechanical philosophy will often reserve “cause” for efficient production and treat purpose as a subjective projection or a special property of agents. Aristotle’s nature cannot be understood within that restriction. Form and end are causal because they explain the organized regularity of becoming.</w:t>
      </w:r>
    </w:p>
    <w:p w14:paraId="4AD92E4D" w14:textId="77777777" w:rsidR="00781E37" w:rsidRPr="00242A60" w:rsidRDefault="00781E37" w:rsidP="00781E37">
      <w:pPr>
        <w:pStyle w:val="BookBody"/>
      </w:pPr>
      <w:r w:rsidRPr="00242A60">
        <w:rPr>
          <w:szCs w:val="28"/>
        </w:rPr>
        <w:t>His defense of natural teleology does not claim that nature deliberates like a craftsperson. If swallows build nests and teeth grow in useful arrangements regularly rather than by chance, the processes can be for ends without conscious planning by each part. Rain may fall from material necessity and incidentally benefit crops; not every consequence is an end. The question is whether recurrent organization is intelligible only as accidental conjunction. Aristotle argues that it is not.</w:t>
      </w:r>
      <w:r w:rsidRPr="00242A60">
        <w:rPr>
          <w:szCs w:val="28"/>
          <w:vertAlign w:val="superscript"/>
        </w:rPr>
        <w:t>22</w:t>
      </w:r>
    </w:p>
    <w:p w14:paraId="08D21685" w14:textId="77777777" w:rsidR="00781E37" w:rsidRPr="00242A60" w:rsidRDefault="00781E37" w:rsidP="00781E37">
      <w:pPr>
        <w:pStyle w:val="BookBody"/>
      </w:pPr>
      <w:r w:rsidRPr="00242A60">
        <w:rPr>
          <w:szCs w:val="28"/>
        </w:rPr>
        <w:t xml:space="preserve">This account rationalizes life without reducing it to inert collisions. Soul, in </w:t>
      </w:r>
      <w:r w:rsidRPr="00242A60">
        <w:rPr>
          <w:i/>
          <w:szCs w:val="28"/>
        </w:rPr>
        <w:t>On the Soul</w:t>
      </w:r>
      <w:r w:rsidRPr="00242A60">
        <w:rPr>
          <w:szCs w:val="28"/>
        </w:rPr>
        <w:t>, is the form and first actuality of a living body capable of life. It is not normally a separate pilot lodged inside a machine. Nutrition, perception, desire, locomotion, and thought are powers of differently organized living beings. Body and soul are distinguishable in account but constitute one living substance.</w:t>
      </w:r>
    </w:p>
    <w:p w14:paraId="7EB697EC" w14:textId="77777777" w:rsidR="00781E37" w:rsidRPr="00242A60" w:rsidRDefault="00781E37" w:rsidP="00781E37">
      <w:pPr>
        <w:pStyle w:val="BookBody"/>
      </w:pPr>
      <w:r w:rsidRPr="00242A60">
        <w:rPr>
          <w:szCs w:val="28"/>
        </w:rPr>
        <w:t>The conceptual gain is enormous. Life can be studied through its organs, functions, generations, habitats, and variations while remaining irreducibly purposive. Aristotle’s biological works embody this program in detailed observation and comparison. To explain an animal is to ask what its parts do for the life of the whole, how its matter permits those functions, and what processes generate it.</w:t>
      </w:r>
    </w:p>
    <w:p w14:paraId="3DEF2DFF" w14:textId="77777777" w:rsidR="00781E37" w:rsidRPr="00242A60" w:rsidRDefault="00781E37" w:rsidP="00781E37">
      <w:pPr>
        <w:pStyle w:val="BookBody"/>
      </w:pPr>
      <w:r w:rsidRPr="00242A60">
        <w:rPr>
          <w:szCs w:val="28"/>
        </w:rPr>
        <w:t>Cosmology expands the same grammar. Elements possess natural places and motions; the heavens possess a distinctive circular motion; the whole is finite and eternal; motion ultimately depends upon actuality that does not itself require motion. The order is neither a sequence of divine births nor a manufactured machine. It is a hierarchy of natures.</w:t>
      </w:r>
    </w:p>
    <w:p w14:paraId="1BC473D2" w14:textId="77777777" w:rsidR="00781E37" w:rsidRPr="00242A60" w:rsidRDefault="00781E37" w:rsidP="00781E37">
      <w:pPr>
        <w:pStyle w:val="SectionHeading"/>
      </w:pPr>
      <w:r w:rsidRPr="00242A60">
        <w:rPr>
          <w:bCs/>
          <w:szCs w:val="28"/>
        </w:rPr>
        <w:t>Place, Direction, and the Finite Heaven</w:t>
      </w:r>
    </w:p>
    <w:p w14:paraId="5A9BED25" w14:textId="77777777" w:rsidR="00781E37" w:rsidRPr="00242A60" w:rsidRDefault="00781E37" w:rsidP="00781E37">
      <w:pPr>
        <w:pStyle w:val="BookBody"/>
      </w:pPr>
      <w:r w:rsidRPr="00242A60">
        <w:rPr>
          <w:szCs w:val="28"/>
        </w:rPr>
        <w:t xml:space="preserve">Aristotle’s cosmos is qualitative because place is not an indifferent container. In </w:t>
      </w:r>
      <w:r w:rsidRPr="00242A60">
        <w:rPr>
          <w:i/>
          <w:szCs w:val="28"/>
        </w:rPr>
        <w:t>Physics</w:t>
      </w:r>
      <w:r w:rsidRPr="00242A60">
        <w:rPr>
          <w:szCs w:val="28"/>
        </w:rPr>
        <w:t xml:space="preserve"> IV he rejects several easy identifications: place is not simply a body’s matter, form, or an independently existing void. He defines it as the innermost unmoving boundary of what contains a body. A thing is somewhere because it is bounded by a containing body, and the cosmos as a whole is not “in” a larger place in the same way its parts are.</w:t>
      </w:r>
      <w:r w:rsidRPr="00242A60">
        <w:rPr>
          <w:szCs w:val="28"/>
          <w:vertAlign w:val="superscript"/>
        </w:rPr>
        <w:t>23</w:t>
      </w:r>
    </w:p>
    <w:p w14:paraId="2AE58493" w14:textId="77777777" w:rsidR="00781E37" w:rsidRPr="00242A60" w:rsidRDefault="00781E37" w:rsidP="00781E37">
      <w:pPr>
        <w:pStyle w:val="BookBody"/>
      </w:pPr>
      <w:r w:rsidRPr="00242A60">
        <w:rPr>
          <w:szCs w:val="28"/>
        </w:rPr>
        <w:t>This is difficult for readers trained to picture space as an infinite grid existing before bodies. On that picture, remove every body and locations remain. Aristotle denies both infinite void and a spatial container beyond the heaven. Place is relational to the structured bodies that contain and are contained. The outermost heaven bounds the system; it does not float in a larger emptiness.</w:t>
      </w:r>
    </w:p>
    <w:p w14:paraId="421BD6F7" w14:textId="77777777" w:rsidR="00781E37" w:rsidRPr="00242A60" w:rsidRDefault="00781E37" w:rsidP="00781E37">
      <w:pPr>
        <w:pStyle w:val="BookBody"/>
      </w:pPr>
      <w:r w:rsidRPr="00242A60">
        <w:rPr>
          <w:szCs w:val="28"/>
        </w:rPr>
        <w:t>Direction follows the world’s organization. Up and down are not merely relative to an observer’s posture. Heavy bodies move naturally toward the center; light bodies move away from it. “Down” is toward the center of the whole, “up” toward the circumference. The directions have physical meaning because elements possess tendencies and the cosmos possesses a form.</w:t>
      </w:r>
    </w:p>
    <w:p w14:paraId="41129A39" w14:textId="77777777" w:rsidR="00781E37" w:rsidRPr="00242A60" w:rsidRDefault="00781E37" w:rsidP="00781E37">
      <w:pPr>
        <w:pStyle w:val="BookBody"/>
      </w:pPr>
      <w:r w:rsidRPr="00242A60">
        <w:rPr>
          <w:szCs w:val="28"/>
        </w:rPr>
        <w:t>Natural motion therefore expresses what a body is. Earth moves downward unless impeded; fire moves upward; neither requires a continuous external pull toward an arbitrary coordinate. Violent motion forces a thing contrary to its tendency. Rest at the proper place is not the exhaustion of motion but fulfillment. A falling stone and a growing organism are not identical processes, yet both become intelligible through directed actualization.</w:t>
      </w:r>
    </w:p>
    <w:p w14:paraId="01B3440B" w14:textId="77777777" w:rsidR="00781E37" w:rsidRPr="00242A60" w:rsidRDefault="00781E37" w:rsidP="00781E37">
      <w:pPr>
        <w:pStyle w:val="BookBody"/>
      </w:pPr>
      <w:r w:rsidRPr="00242A60">
        <w:rPr>
          <w:szCs w:val="28"/>
        </w:rPr>
        <w:t xml:space="preserve">The celestial region differs. In </w:t>
      </w:r>
      <w:r w:rsidRPr="00242A60">
        <w:rPr>
          <w:i/>
          <w:szCs w:val="28"/>
        </w:rPr>
        <w:t>On the Heavens</w:t>
      </w:r>
      <w:r w:rsidRPr="00242A60">
        <w:rPr>
          <w:szCs w:val="28"/>
        </w:rPr>
        <w:t>, Aristotle argues that circular motion is prior to rectilinear motion because it is complete and continuous, returning upon itself without contrary endpoint. The heavenly body that moves circularly cannot be made of the four sublunary elements, whose natural motions are up or down. It is composed of a fifth body, later called aether, ungenerated and imperishable in its natural state.</w:t>
      </w:r>
      <w:r w:rsidRPr="00242A60">
        <w:rPr>
          <w:szCs w:val="28"/>
          <w:vertAlign w:val="superscript"/>
        </w:rPr>
        <w:t>24</w:t>
      </w:r>
    </w:p>
    <w:p w14:paraId="55460A79" w14:textId="77777777" w:rsidR="00781E37" w:rsidRPr="00242A60" w:rsidRDefault="00781E37" w:rsidP="00781E37">
      <w:pPr>
        <w:pStyle w:val="BookBody"/>
      </w:pPr>
      <w:r w:rsidRPr="00242A60">
        <w:rPr>
          <w:szCs w:val="28"/>
        </w:rPr>
        <w:t>The distinction creates a powerful qualitative geography. Below the Moon lie generation and corruption, opposed elemental motions, meteorological change, and mortal life. Above lie regular circular movements and imperishable celestial bodies. The heavens are not remote rocks governed by exactly the same local physics as falling stones. They are a superior region whose visible regularity expresses a superior mode of being.</w:t>
      </w:r>
    </w:p>
    <w:p w14:paraId="7B0CB1CD" w14:textId="77777777" w:rsidR="00781E37" w:rsidRPr="00242A60" w:rsidRDefault="00781E37" w:rsidP="00781E37">
      <w:pPr>
        <w:pStyle w:val="BookBody"/>
      </w:pPr>
      <w:r w:rsidRPr="00242A60">
        <w:rPr>
          <w:szCs w:val="28"/>
        </w:rPr>
        <w:t>This hierarchy would later become a target of criticism. Comets, new stars, telescopic blemishes, and the dynamics of terrestrial and celestial motion helped dismantle the incorruptible heaven. But within Aristotle’s system the hierarchy is not an arbitrary theological add-on. It follows from the attempt to assign a nature to circular motion and to explain the persistence of celestial order.</w:t>
      </w:r>
    </w:p>
    <w:p w14:paraId="310E0141" w14:textId="77777777" w:rsidR="00781E37" w:rsidRPr="00242A60" w:rsidRDefault="00781E37" w:rsidP="00781E37">
      <w:pPr>
        <w:pStyle w:val="BookBody"/>
      </w:pPr>
      <w:r w:rsidRPr="00242A60">
        <w:rPr>
          <w:szCs w:val="28"/>
        </w:rPr>
        <w:t>The world must also be finite. An infinite body cannot rotate as a whole, cannot have a center and circumference, and cannot be traversed in a finite time. The elements’ directed motions presuppose termini. Completeness belongs to what has an end or limit. Aristotle denies a completed infinite magnitude while allowing potential infinity in division and counting. The actual cosmos is one, bounded, and all-encompassing.</w:t>
      </w:r>
      <w:r w:rsidRPr="00242A60">
        <w:rPr>
          <w:szCs w:val="28"/>
          <w:vertAlign w:val="superscript"/>
        </w:rPr>
        <w:t>25</w:t>
      </w:r>
    </w:p>
    <w:p w14:paraId="0152F727" w14:textId="77777777" w:rsidR="00781E37" w:rsidRPr="00242A60" w:rsidRDefault="00781E37" w:rsidP="00781E37">
      <w:pPr>
        <w:pStyle w:val="BookBody"/>
      </w:pPr>
      <w:r w:rsidRPr="00242A60">
        <w:rPr>
          <w:szCs w:val="28"/>
        </w:rPr>
        <w:t>Its eternity does not contradict its finitude. The heaven has no temporal beginning or end, yet its magnitude is determinate. Circular motion supplies the image of duration without degradation: return endlessly renews position without seeking an external terminus. Greek perfection is not infinite expansion. It is complete activity within form.</w:t>
      </w:r>
    </w:p>
    <w:p w14:paraId="66E05328" w14:textId="77777777" w:rsidR="00781E37" w:rsidRPr="00242A60" w:rsidRDefault="00781E37" w:rsidP="00781E37">
      <w:pPr>
        <w:pStyle w:val="BookBody"/>
      </w:pPr>
      <w:r w:rsidRPr="00242A60">
        <w:rPr>
          <w:szCs w:val="28"/>
        </w:rPr>
        <w:t xml:space="preserve">At the summit stands the unmoved mover, desired and thought as the final source of eternal circular motion. Aristotle’s compact theology in </w:t>
      </w:r>
      <w:r w:rsidRPr="00242A60">
        <w:rPr>
          <w:i/>
          <w:szCs w:val="28"/>
        </w:rPr>
        <w:t>Metaphysics</w:t>
      </w:r>
      <w:r w:rsidRPr="00242A60">
        <w:rPr>
          <w:szCs w:val="28"/>
        </w:rPr>
        <w:t xml:space="preserve"> XII generated centuries of interpretation. For the present argument, the critical feature is that the highest cause moves as an object of desire and thought rather than by pushing the outer sphere from behind. Cosmic motion is finally oriented toward actuality. Purpose is built into the architecture of motion.</w:t>
      </w:r>
    </w:p>
    <w:p w14:paraId="46E30404" w14:textId="77777777" w:rsidR="00781E37" w:rsidRPr="00242A60" w:rsidRDefault="00781E37" w:rsidP="00781E37">
      <w:pPr>
        <w:pStyle w:val="BookBody"/>
      </w:pPr>
      <w:r w:rsidRPr="00242A60">
        <w:rPr>
          <w:szCs w:val="28"/>
        </w:rPr>
        <w:t>The Aristotelian cosmos thus binds physics, biology, and theology without making them indistinguishable. Stones do not have souls; stars are not simply animals like horses; the unmoved mover is not a large celestial body. The unity lies in explanatory form: beings possess determinate natures, natural changes move from potentiality toward actuality, and the hierarchy culminates in activity without unrealized potential.</w:t>
      </w:r>
    </w:p>
    <w:p w14:paraId="0E1DF4A2" w14:textId="77777777" w:rsidR="00781E37" w:rsidRPr="00242A60" w:rsidRDefault="00781E37" w:rsidP="00781E37">
      <w:pPr>
        <w:pStyle w:val="BookBody"/>
      </w:pPr>
      <w:r w:rsidRPr="00242A60">
        <w:rPr>
          <w:szCs w:val="28"/>
        </w:rPr>
        <w:t>Reason has now articulated nearly every feature of a living qualitative cosmos. There is one finite whole; regions and directions differ; bodies have intrinsic tendencies; living forms organize their matter; regular processes occur for ends; celestial motion expresses incorruptible actuality. Nothing here is vague animism. It is a highly differentiated conceptual system. Its later authority arose because it could organize many observations while explaining why the world was more than matter displaced through emptiness.</w:t>
      </w:r>
    </w:p>
    <w:p w14:paraId="2E3EA2E6" w14:textId="77777777" w:rsidR="00781E37" w:rsidRPr="00242A60" w:rsidRDefault="00781E37" w:rsidP="00781E37">
      <w:pPr>
        <w:pStyle w:val="SectionHeading"/>
      </w:pPr>
      <w:r w:rsidRPr="00242A60">
        <w:rPr>
          <w:bCs/>
          <w:szCs w:val="28"/>
        </w:rPr>
        <w:t>Philosophy as the Work of Becoming Cosmic</w:t>
      </w:r>
    </w:p>
    <w:p w14:paraId="33FC264D" w14:textId="77777777" w:rsidR="00781E37" w:rsidRPr="00242A60" w:rsidRDefault="00781E37" w:rsidP="00781E37">
      <w:pPr>
        <w:pStyle w:val="BookBody"/>
      </w:pPr>
      <w:r w:rsidRPr="00242A60">
        <w:rPr>
          <w:szCs w:val="28"/>
        </w:rPr>
        <w:t>If Plato and Aristotle were read only as suppliers of doctrines, half of ancient philosophy would disappear. Hadot insists that a philosophical school offered a way of living structured by discourse. One did not first acquire a neutral theory and then decide whether to apply it. The act of joining a school involved a practical orientation toward good, truth, community, desire, death, and the whole.</w:t>
      </w:r>
      <w:r w:rsidRPr="00242A60">
        <w:rPr>
          <w:szCs w:val="28"/>
          <w:vertAlign w:val="superscript"/>
        </w:rPr>
        <w:t>26</w:t>
      </w:r>
    </w:p>
    <w:p w14:paraId="6B561C28" w14:textId="77777777" w:rsidR="00781E37" w:rsidRPr="00242A60" w:rsidRDefault="00781E37" w:rsidP="00781E37">
      <w:pPr>
        <w:pStyle w:val="BookBody"/>
      </w:pPr>
      <w:r w:rsidRPr="00242A60">
        <w:rPr>
          <w:szCs w:val="28"/>
        </w:rPr>
        <w:t>This does not mean arguments were therapeutic fictions. Ancient philosophers disagreed intensely about logic, nature, knowledge, pleasure, virtue, and providence because the truth of an account mattered to the life it authorized. The point is that rational discourse had an existential destination. To assent to a cosmology was to alter the scale and pattern of one’s concerns.</w:t>
      </w:r>
    </w:p>
    <w:p w14:paraId="61830F9C" w14:textId="77777777" w:rsidR="00781E37" w:rsidRPr="00242A60" w:rsidRDefault="00781E37" w:rsidP="00781E37">
      <w:pPr>
        <w:pStyle w:val="BookBody"/>
      </w:pPr>
      <w:r w:rsidRPr="00242A60">
        <w:rPr>
          <w:szCs w:val="28"/>
        </w:rPr>
        <w:t>Plato’s Academy joined mathematical study, dialectic, political reflection, and the formation of desire. Aristotle’s school treated contemplation as the highest human activity while pursuing empirical inquiries into animals, constitutions, poetry, and nature. Epicureans studied atoms and void in order to free themselves from fear of divine punishment and death. Stoics studied logic and physics so that assent and action might accord with universal reason. Skeptics sought tranquility through disciplined suspension of judgment. Cosmology was not background scenery for ethics; it helped constitute the possible forms of freedom.</w:t>
      </w:r>
    </w:p>
    <w:p w14:paraId="7BFAAEDB" w14:textId="77777777" w:rsidR="00781E37" w:rsidRPr="00242A60" w:rsidRDefault="00781E37" w:rsidP="00781E37">
      <w:pPr>
        <w:pStyle w:val="BookBody"/>
      </w:pPr>
      <w:r w:rsidRPr="00242A60">
        <w:rPr>
          <w:szCs w:val="28"/>
        </w:rPr>
        <w:t>Hadot’s “view from above” names a recurrent exercise. The philosopher imagines human affairs from a cosmic vantage: armies, estates, borders, honors, and griefs shrink within the earth’s extent and the duration of the whole. Private importance is exposed as local. Yet the exercise need not produce nihilism. It can restore participation. My distress is not the all, but I belong to an order larger than my distress. The view reduces ego without reducing cosmos to emptiness.</w:t>
      </w:r>
      <w:r w:rsidRPr="00242A60">
        <w:rPr>
          <w:szCs w:val="28"/>
          <w:vertAlign w:val="superscript"/>
        </w:rPr>
        <w:t>27</w:t>
      </w:r>
    </w:p>
    <w:p w14:paraId="5B1309EF" w14:textId="77777777" w:rsidR="00781E37" w:rsidRPr="00242A60" w:rsidRDefault="00781E37" w:rsidP="00781E37">
      <w:pPr>
        <w:pStyle w:val="BookBody"/>
      </w:pPr>
      <w:r w:rsidRPr="00242A60">
        <w:rPr>
          <w:szCs w:val="28"/>
        </w:rPr>
        <w:t>The astronomical model supports the exercise. To imagine concentric circles around the earth is to relocate oneself within relations not visible from ordinary ground. The city becomes one place under a common heaven. The civic calendar and the cosmic sphere then perform complementary disciplines: one embeds a person in local obligations; the other shows the locality of those obligations within the whole.</w:t>
      </w:r>
    </w:p>
    <w:p w14:paraId="0470F1C4" w14:textId="77777777" w:rsidR="00781E37" w:rsidRPr="00242A60" w:rsidRDefault="00781E37" w:rsidP="00781E37">
      <w:pPr>
        <w:pStyle w:val="BookBody"/>
      </w:pPr>
      <w:r w:rsidRPr="00242A60">
        <w:rPr>
          <w:szCs w:val="28"/>
        </w:rPr>
        <w:t>Ancient philosophy also cultivated attention to the present. Cosmic time can seem to dwarf the instant, but the practical conclusion is often concentration rather than escape. Past and future are not under present command; the act available now can accord with reason. The ordered whole becomes effective at the point of assent, perception, or action.</w:t>
      </w:r>
    </w:p>
    <w:p w14:paraId="7BF79ACE" w14:textId="77777777" w:rsidR="00781E37" w:rsidRPr="00242A60" w:rsidRDefault="00781E37" w:rsidP="00781E37">
      <w:pPr>
        <w:pStyle w:val="BookBody"/>
      </w:pPr>
      <w:r w:rsidRPr="00242A60">
        <w:rPr>
          <w:szCs w:val="28"/>
        </w:rPr>
        <w:t>This way of life preserves an aspect of cosmic vitality that theory alone cannot show. A living cosmos is not only one to which an author attributes soul. It is a world encountered as normatively addressable. Its structure can correct perception, train desire, console mortality, or demand justice. One lives differently because the whole is thought differently.</w:t>
      </w:r>
    </w:p>
    <w:p w14:paraId="64FAD049" w14:textId="77777777" w:rsidR="00781E37" w:rsidRPr="00242A60" w:rsidRDefault="00781E37" w:rsidP="00781E37">
      <w:pPr>
        <w:pStyle w:val="BookBody"/>
      </w:pPr>
      <w:r w:rsidRPr="00242A60">
        <w:rPr>
          <w:szCs w:val="28"/>
        </w:rPr>
        <w:t xml:space="preserve">The schools did not agree on what the whole was. Epicurean infinite worlds and divine nonintervention challenged Platonic and Stoic providence; Skeptic practice challenged confidence in dogmatic accounts. These alternatives show that “Greek reason” did not naturally entail one closed cosmos. The present chapter follows the traditions most important to the later qualitative heavens, but dissent belongs to the discovery. </w:t>
      </w:r>
      <w:r w:rsidRPr="00242A60">
        <w:rPr>
          <w:i/>
          <w:szCs w:val="28"/>
        </w:rPr>
        <w:t>Kosmos</w:t>
      </w:r>
      <w:r w:rsidRPr="00242A60">
        <w:rPr>
          <w:szCs w:val="28"/>
        </w:rPr>
        <w:t xml:space="preserve"> became powerful because it could be argued about.</w:t>
      </w:r>
    </w:p>
    <w:p w14:paraId="05157FAD" w14:textId="77777777" w:rsidR="00781E37" w:rsidRPr="00242A60" w:rsidRDefault="00781E37" w:rsidP="00781E37">
      <w:pPr>
        <w:pStyle w:val="SectionHeading"/>
      </w:pPr>
      <w:r w:rsidRPr="00242A60">
        <w:rPr>
          <w:bCs/>
          <w:szCs w:val="28"/>
        </w:rPr>
        <w:t>The Stoic Animal</w:t>
      </w:r>
    </w:p>
    <w:p w14:paraId="24CFCCB1" w14:textId="77777777" w:rsidR="00781E37" w:rsidRPr="00242A60" w:rsidRDefault="00781E37" w:rsidP="00781E37">
      <w:pPr>
        <w:pStyle w:val="BookBody"/>
      </w:pPr>
      <w:r w:rsidRPr="00242A60">
        <w:rPr>
          <w:szCs w:val="28"/>
        </w:rPr>
        <w:t>The Stoics gave cosmic participation its most thorough Hellenistic formulation. Their writings survive in fragments and reports assembled from later authors, making A. A. Long and D. N. Sedley’s translated collection essential. The evidence must be read as a dossier, not a continuous book. Across its disagreements and historical phases, however, Stoic physics presents one living, rational, providential cosmos organized by an active breath.</w:t>
      </w:r>
      <w:r w:rsidRPr="00242A60">
        <w:rPr>
          <w:szCs w:val="28"/>
          <w:vertAlign w:val="superscript"/>
        </w:rPr>
        <w:t>28</w:t>
      </w:r>
    </w:p>
    <w:p w14:paraId="52EC68A8" w14:textId="77777777" w:rsidR="00781E37" w:rsidRPr="00242A60" w:rsidRDefault="00781E37" w:rsidP="00781E37">
      <w:pPr>
        <w:pStyle w:val="BookBody"/>
      </w:pPr>
      <w:r w:rsidRPr="00242A60">
        <w:rPr>
          <w:szCs w:val="28"/>
        </w:rPr>
        <w:t>Stoics distinguish two principles: passive matter and an active principle identified as reason, god, or the craft-like fire. These are not two independent substances occupying separate realms. The active principle pervades matter, giving it cohesion, qualities, and organized powers. God is immanent in the world, not a craftsman who completes a product and withdraws.</w:t>
      </w:r>
    </w:p>
    <w:p w14:paraId="5277E460" w14:textId="77777777" w:rsidR="00781E37" w:rsidRPr="00242A60" w:rsidRDefault="00781E37" w:rsidP="00781E37">
      <w:pPr>
        <w:pStyle w:val="BookBody"/>
      </w:pPr>
      <w:r w:rsidRPr="00242A60">
        <w:rPr>
          <w:i/>
          <w:szCs w:val="28"/>
        </w:rPr>
        <w:t>Pneuma</w:t>
      </w:r>
      <w:r w:rsidRPr="00242A60">
        <w:rPr>
          <w:szCs w:val="28"/>
        </w:rPr>
        <w:t>—breath or spirit—is the vehicle of this organization. Composed in Stoic theory from fire and air, it possesses tension and moves both inward and outward. At different levels of organization it appears as the tenor holding a stone together, the nature governing plant growth, soul in animals, and rational soul in human beings. The same active continuum accounts for cohesion without erasing degrees of being.</w:t>
      </w:r>
      <w:r w:rsidRPr="00242A60">
        <w:rPr>
          <w:szCs w:val="28"/>
          <w:vertAlign w:val="superscript"/>
        </w:rPr>
        <w:t>29</w:t>
      </w:r>
    </w:p>
    <w:p w14:paraId="5C810D91" w14:textId="77777777" w:rsidR="00781E37" w:rsidRPr="00242A60" w:rsidRDefault="00781E37" w:rsidP="00781E37">
      <w:pPr>
        <w:pStyle w:val="BookBody"/>
      </w:pPr>
      <w:r w:rsidRPr="00242A60">
        <w:rPr>
          <w:szCs w:val="28"/>
        </w:rPr>
        <w:t>The theory answers a problem raised by any composite world: why do bodies remain unified rather than disperse? Atomists can appeal to hooks, impacts, and entanglements; Aristotle to form and the natures of substances. Stoics appeal to tensile breath. A body is not merely matter bounded from outside. Its state is a dynamic holding-together.</w:t>
      </w:r>
    </w:p>
    <w:p w14:paraId="5DF25395" w14:textId="77777777" w:rsidR="00781E37" w:rsidRPr="00242A60" w:rsidRDefault="00781E37" w:rsidP="00781E37">
      <w:pPr>
        <w:pStyle w:val="BookBody"/>
      </w:pPr>
      <w:r w:rsidRPr="00242A60">
        <w:rPr>
          <w:szCs w:val="28"/>
        </w:rPr>
        <w:t xml:space="preserve">This physics supports cosmic sympathy. Because one active </w:t>
      </w:r>
      <w:r w:rsidRPr="00242A60">
        <w:rPr>
          <w:i/>
          <w:szCs w:val="28"/>
        </w:rPr>
        <w:t>pneuma</w:t>
      </w:r>
      <w:r w:rsidRPr="00242A60">
        <w:rPr>
          <w:szCs w:val="28"/>
        </w:rPr>
        <w:t xml:space="preserve"> pervades the whole, events are not isolated in principle. Parts can correspond because they belong to one animal. “Sympathy” here is not emotional warmth. It is co-affection within an organized totality: a change in one region can be related to another through shared structure and causal order.</w:t>
      </w:r>
    </w:p>
    <w:p w14:paraId="347D6827" w14:textId="77777777" w:rsidR="00781E37" w:rsidRPr="00242A60" w:rsidRDefault="00781E37" w:rsidP="00781E37">
      <w:pPr>
        <w:pStyle w:val="BookBody"/>
      </w:pPr>
      <w:r w:rsidRPr="00242A60">
        <w:rPr>
          <w:szCs w:val="28"/>
        </w:rPr>
        <w:t>The cosmos itself is a living being, rational and ensouled. God can be named Zeus, nature, fate, providence, seminal reason, or the commanding faculty of the whole according to the aspect under consideration. Such plurality does not necessarily imply separate divine agents. Stoic theology interprets traditional names as expressions of functions within one rational order. Myth is not simply discarded; it is philosophically translated.</w:t>
      </w:r>
    </w:p>
    <w:p w14:paraId="4A115EA8" w14:textId="77777777" w:rsidR="00781E37" w:rsidRPr="00242A60" w:rsidRDefault="00781E37" w:rsidP="00781E37">
      <w:pPr>
        <w:pStyle w:val="BookBody"/>
      </w:pPr>
      <w:r w:rsidRPr="00242A60">
        <w:rPr>
          <w:szCs w:val="28"/>
        </w:rPr>
        <w:t>Fate is the unbroken network of causes. Nothing happens outside the total order, yet Stoic ethics still distinguishes what depends upon us through the character of assent and agency. Later testimony debates how responsibility survives causal determination. The core solution is compatibilist: an action can be caused through the agent’s own rational or irrational disposition rather than forced against it. Freedom is not exemption from cosmos but the mode in which one’s nature participates in causation.</w:t>
      </w:r>
      <w:r w:rsidRPr="00242A60">
        <w:rPr>
          <w:szCs w:val="28"/>
          <w:vertAlign w:val="superscript"/>
        </w:rPr>
        <w:t>30</w:t>
      </w:r>
    </w:p>
    <w:p w14:paraId="17693F9B" w14:textId="77777777" w:rsidR="00781E37" w:rsidRPr="00242A60" w:rsidRDefault="00781E37" w:rsidP="00781E37">
      <w:pPr>
        <w:pStyle w:val="BookBody"/>
      </w:pPr>
      <w:r w:rsidRPr="00242A60">
        <w:rPr>
          <w:szCs w:val="28"/>
        </w:rPr>
        <w:t>Providence states the same unity normatively. The whole is ordered for the best, although local suffering may be necessary within its structure or arise through the relations that make finite goods possible. Stoic arguments from celestial regularity, the usefulness of natural arrangements, and the hierarchy of rational beings treat order as evidence of divine reason. The problem of evil remains severe; providence is a claim tested by the task of living through apparent disorder.</w:t>
      </w:r>
    </w:p>
    <w:p w14:paraId="3BB9D85A" w14:textId="77777777" w:rsidR="00781E37" w:rsidRPr="00242A60" w:rsidRDefault="00781E37" w:rsidP="00781E37">
      <w:pPr>
        <w:pStyle w:val="BookBody"/>
      </w:pPr>
      <w:r w:rsidRPr="00242A60">
        <w:rPr>
          <w:szCs w:val="28"/>
        </w:rPr>
        <w:t>The Stoic cosmos is periodically consumed in conflagration and generated again. The divine fiery reason gathers all things into itself, then unfolds the ordered world according to seminal principles. Some sources support exact recurrence, down to the same persons and events; the doctrine’s details varied. The important contrast with Aristotle is that the whole can pass through cosmic transformation without falling outside reason. Fire destroys an arrangement while preserving the rational principle of its return.</w:t>
      </w:r>
      <w:r w:rsidRPr="00242A60">
        <w:rPr>
          <w:szCs w:val="28"/>
          <w:vertAlign w:val="superscript"/>
        </w:rPr>
        <w:t>31</w:t>
      </w:r>
    </w:p>
    <w:p w14:paraId="63ADD3A1" w14:textId="77777777" w:rsidR="00781E37" w:rsidRPr="00242A60" w:rsidRDefault="00781E37" w:rsidP="00781E37">
      <w:pPr>
        <w:pStyle w:val="BookBody"/>
      </w:pPr>
      <w:r w:rsidRPr="00242A60">
        <w:rPr>
          <w:szCs w:val="28"/>
        </w:rPr>
        <w:t xml:space="preserve">This cyclicality renews Heraclitus under a systematic physics. Fire kindles and extinguishes in measure; cosmic tension joins opposition; </w:t>
      </w:r>
      <w:r w:rsidRPr="00242A60">
        <w:rPr>
          <w:i/>
          <w:szCs w:val="28"/>
        </w:rPr>
        <w:t>logos</w:t>
      </w:r>
      <w:r w:rsidRPr="00242A60">
        <w:rPr>
          <w:szCs w:val="28"/>
        </w:rPr>
        <w:t xml:space="preserve"> is common; wisdom consists in living according to it. Stoics turned those resonances into a program uniting logic, physics, and ethics. To live according to nature is to bring one’s governing faculty into agreement with the governance of the whole.</w:t>
      </w:r>
    </w:p>
    <w:p w14:paraId="1E9CA6A6" w14:textId="77777777" w:rsidR="00781E37" w:rsidRPr="00242A60" w:rsidRDefault="00781E37" w:rsidP="00781E37">
      <w:pPr>
        <w:pStyle w:val="BookBody"/>
      </w:pPr>
      <w:r w:rsidRPr="00242A60">
        <w:rPr>
          <w:szCs w:val="28"/>
        </w:rPr>
        <w:t xml:space="preserve">Divination becomes thinkable within this unity. If gods exist, exercise providence, and make signs available within a sympathetic cosmos, celestial and terrestrial events may disclose connected order. Cicero’s </w:t>
      </w:r>
      <w:r w:rsidRPr="00242A60">
        <w:rPr>
          <w:i/>
          <w:szCs w:val="28"/>
        </w:rPr>
        <w:t>On Divination</w:t>
      </w:r>
      <w:r w:rsidRPr="00242A60">
        <w:rPr>
          <w:szCs w:val="28"/>
        </w:rPr>
        <w:t xml:space="preserve"> preserves Stoic arguments as well as Academic criticism of them. The work is valuable not as transparent evidence for one settled doctrine but as a staged Roman debate over whether cosmic order authorizes the reading of signs.</w:t>
      </w:r>
      <w:r w:rsidRPr="00242A60">
        <w:rPr>
          <w:szCs w:val="28"/>
          <w:vertAlign w:val="superscript"/>
        </w:rPr>
        <w:t>32</w:t>
      </w:r>
    </w:p>
    <w:p w14:paraId="7AB1FC01" w14:textId="77777777" w:rsidR="00781E37" w:rsidRPr="00242A60" w:rsidRDefault="00781E37" w:rsidP="00781E37">
      <w:pPr>
        <w:pStyle w:val="BookBody"/>
      </w:pPr>
      <w:r w:rsidRPr="00242A60">
        <w:rPr>
          <w:szCs w:val="28"/>
        </w:rPr>
        <w:t>The old repackaged English translation supplied for this project can assist orientation, but it should not bear close philological claims. Long and Sedley provide the stronger scholarly basis for Stoic evidence. The difference is methodological as well as bibliographical: reliability belongs not to the antiquity of an author’s name on a file but to the transmission, translation, editorial framing, and claim for which an edition is used.</w:t>
      </w:r>
    </w:p>
    <w:p w14:paraId="191D9A11" w14:textId="77777777" w:rsidR="00781E37" w:rsidRPr="00242A60" w:rsidRDefault="00781E37" w:rsidP="00781E37">
      <w:pPr>
        <w:pStyle w:val="BookBody"/>
      </w:pPr>
      <w:r w:rsidRPr="00242A60">
        <w:rPr>
          <w:szCs w:val="28"/>
        </w:rPr>
        <w:t>Stoic sympathy will have a long afterlife. It can authorize care for a common world, natural theology, medical correspondences, omen interpretation, and astrology. It can also encourage the dangerous assumption that every coincidence must signify. A connected cosmos does not tell its interpreter which connections are real. The Stoic achievement was to make universal relation conceptually rigorous; it did not eliminate the need to judge particular claims.</w:t>
      </w:r>
    </w:p>
    <w:p w14:paraId="1FAC40A4" w14:textId="77777777" w:rsidR="00781E37" w:rsidRPr="00242A60" w:rsidRDefault="00781E37" w:rsidP="00781E37">
      <w:pPr>
        <w:pStyle w:val="SectionHeading"/>
      </w:pPr>
      <w:r w:rsidRPr="00242A60">
        <w:rPr>
          <w:bCs/>
          <w:szCs w:val="28"/>
        </w:rPr>
        <w:t>What Kosmos Made Possible</w:t>
      </w:r>
    </w:p>
    <w:p w14:paraId="2E388B7A" w14:textId="77777777" w:rsidR="00781E37" w:rsidRPr="00242A60" w:rsidRDefault="00781E37" w:rsidP="00781E37">
      <w:pPr>
        <w:pStyle w:val="BookBody"/>
      </w:pPr>
      <w:r w:rsidRPr="00242A60">
        <w:rPr>
          <w:szCs w:val="28"/>
        </w:rPr>
        <w:t xml:space="preserve">Across these traditions, Greek reason does not move in a straight line. Anaximander’s temporal justice, Heraclitean measure, Parmenidean completeness, Pythagorean harmony, Platonic world soul, Aristotelian nature, and Stoic </w:t>
      </w:r>
      <w:r w:rsidRPr="00242A60">
        <w:rPr>
          <w:i/>
          <w:szCs w:val="28"/>
        </w:rPr>
        <w:t>pneuma</w:t>
      </w:r>
      <w:r w:rsidRPr="00242A60">
        <w:rPr>
          <w:szCs w:val="28"/>
        </w:rPr>
        <w:t xml:space="preserve"> cannot be combined without contradiction. The finite Platonic-Aristotelian heaven differs from Stoic conflagration; Aristotle’s eternal world differs from Plato’s crafted likely account; a Stoic immanent god differs from a transcendent intelligible model. The history matters because of the disagreements.</w:t>
      </w:r>
    </w:p>
    <w:p w14:paraId="4A4B8E21" w14:textId="77777777" w:rsidR="00781E37" w:rsidRPr="00242A60" w:rsidRDefault="00781E37" w:rsidP="00781E37">
      <w:pPr>
        <w:pStyle w:val="BookBody"/>
      </w:pPr>
      <w:r w:rsidRPr="00242A60">
        <w:rPr>
          <w:szCs w:val="28"/>
        </w:rPr>
        <w:t>Yet the disagreements establish a shared field. The whole can be asked about as a whole. Its unity, boundary, motion, life, time, direction, causation, intelligibility, and goodness become explicit problems. “Cosmos” can name ordered totality rather than a heap of events. Once that name is available, rational inquiry can preserve cosmic quality by explaining it.</w:t>
      </w:r>
    </w:p>
    <w:p w14:paraId="4F98546A" w14:textId="77777777" w:rsidR="00781E37" w:rsidRPr="00242A60" w:rsidRDefault="00781E37" w:rsidP="00781E37">
      <w:pPr>
        <w:pStyle w:val="BookBody"/>
      </w:pPr>
      <w:r w:rsidRPr="00242A60">
        <w:rPr>
          <w:szCs w:val="28"/>
        </w:rPr>
        <w:t>Number makes proportion articulable. It does not yet mean that only the measurable is real. Form identifies the intelligible organization of a being. It does not yet become an external shape imposed on indifferent material. Soul names capacities of life, perception, and self-motion. It does not yet retreat into a private interior opposed to extended body. Motion expresses nature and actuality. It does not yet become only change of position measured against homogeneous coordinates. Place differentiates the world. Purpose explains regular development. Limit perfects the whole.</w:t>
      </w:r>
    </w:p>
    <w:p w14:paraId="21EB4AD7" w14:textId="77777777" w:rsidR="00781E37" w:rsidRPr="00242A60" w:rsidRDefault="00781E37" w:rsidP="00781E37">
      <w:pPr>
        <w:pStyle w:val="BookBody"/>
      </w:pPr>
      <w:r w:rsidRPr="00242A60">
        <w:rPr>
          <w:szCs w:val="28"/>
        </w:rPr>
        <w:t>These principles produce a cosmos in which knowing is participation. The human soul can recognize celestial order because it belongs to the same structured totality. Philosophy forms a life because truth about the whole changes the scale of desire. The model held in the hands does not grant absolute exteriority. It teaches the observer to imagine relations within which the observer remains centered, bounded, and responsible.</w:t>
      </w:r>
    </w:p>
    <w:p w14:paraId="5AA2D5E6" w14:textId="77777777" w:rsidR="00781E37" w:rsidRPr="00242A60" w:rsidRDefault="00781E37" w:rsidP="00781E37">
      <w:pPr>
        <w:pStyle w:val="BookBody"/>
      </w:pPr>
      <w:r w:rsidRPr="00242A60">
        <w:rPr>
          <w:szCs w:val="28"/>
        </w:rPr>
        <w:t xml:space="preserve">The achievement has political ambiguity. Cosmic hierarchy can naturalize civic hierarchy; the superiority of reason can marginalize labor, women, foreigners, and enslaved persons whose work supported philosophical leisure; appeals to nature can convert contingent arrangements into necessary order. A beautiful whole can conceal the suffering of its parts. Greek </w:t>
      </w:r>
      <w:r w:rsidRPr="00242A60">
        <w:rPr>
          <w:i/>
          <w:szCs w:val="28"/>
        </w:rPr>
        <w:t>kosmos</w:t>
      </w:r>
      <w:r w:rsidRPr="00242A60">
        <w:rPr>
          <w:szCs w:val="28"/>
        </w:rPr>
        <w:t xml:space="preserve"> is not innocent merely because it is alive.</w:t>
      </w:r>
    </w:p>
    <w:p w14:paraId="33F4B072" w14:textId="77777777" w:rsidR="00781E37" w:rsidRPr="00242A60" w:rsidRDefault="00781E37" w:rsidP="00781E37">
      <w:pPr>
        <w:pStyle w:val="BookBody"/>
      </w:pPr>
      <w:r w:rsidRPr="00242A60">
        <w:rPr>
          <w:szCs w:val="28"/>
        </w:rPr>
        <w:t>But neither is it a superstition that science had to destroy. Later European thought will inherit its demand for intelligibility, its mathematical aspirations, its distinction between appearance and underlying order, and its search for causes. The scientific revolution will not arise by rejecting Greek reason wholesale. It will transform the objects and priorities that Greek reason established: infinity will challenge finite perfection; inertial motion will challenge natural place; universal mechanics will join heaven and earth; efficient cause will displace formal and final causes; matter will become increasingly indifferent to qualitative position.</w:t>
      </w:r>
    </w:p>
    <w:p w14:paraId="4D21E1BA" w14:textId="77777777" w:rsidR="00781E37" w:rsidRPr="00242A60" w:rsidRDefault="00781E37" w:rsidP="00781E37">
      <w:pPr>
        <w:pStyle w:val="BookBody"/>
      </w:pPr>
      <w:r w:rsidRPr="00242A60">
        <w:rPr>
          <w:szCs w:val="28"/>
        </w:rPr>
        <w:t>That later transformation is precisely why the Greek moment must not be narrated as disenchantment already complete. The sky of Plato, Aristotle, and the Stoics is rational without being neutral. Celestial movements are visible intelligence, natural actuality, or divine tension. Geometry clarifies a living order. Philosophy responds by making a life commensurate with the whole.</w:t>
      </w:r>
    </w:p>
    <w:p w14:paraId="27DD6E05" w14:textId="77777777" w:rsidR="00781E37" w:rsidRPr="00242A60" w:rsidRDefault="00781E37" w:rsidP="00781E37">
      <w:pPr>
        <w:pStyle w:val="SectionHeading"/>
      </w:pPr>
      <w:r w:rsidRPr="00242A60">
        <w:rPr>
          <w:bCs/>
          <w:szCs w:val="28"/>
        </w:rPr>
        <w:t>From Ordered Whole to Qualitative Heaven</w:t>
      </w:r>
    </w:p>
    <w:p w14:paraId="74D27A4C" w14:textId="77777777" w:rsidR="00781E37" w:rsidRPr="00242A60" w:rsidRDefault="00781E37" w:rsidP="00781E37">
      <w:pPr>
        <w:pStyle w:val="BookBody"/>
      </w:pPr>
      <w:r w:rsidRPr="00242A60">
        <w:rPr>
          <w:szCs w:val="28"/>
        </w:rPr>
        <w:t>One further possibility follows once the heavens are both ordered and internally differentiated. If planets occupy distinct circles, possess different motions, and belong to a finite hierarchy, their differences can be rendered exact without becoming meaningless. Calculation can identify where a planet is; qualitative cosmology can say what that place and planet signify. Astronomy and astrology need not yet appear as enemies.</w:t>
      </w:r>
    </w:p>
    <w:p w14:paraId="49AAB690" w14:textId="77777777" w:rsidR="00781E37" w:rsidRPr="00242A60" w:rsidRDefault="00781E37" w:rsidP="00781E37">
      <w:pPr>
        <w:pStyle w:val="BookBody"/>
      </w:pPr>
      <w:r w:rsidRPr="00242A60">
        <w:rPr>
          <w:szCs w:val="28"/>
        </w:rPr>
        <w:t>Greek astronomical models supplied techniques for organizing celestial motion. Civic calendars supplied practices for joining recurrence to collective action. Platonic and Aristotelian cosmologies supplied ranked regions, elemental qualities, and purposive structure. Stoic sympathy supplied a principle by which distant parts of one animal might correspond. Hellenistic astrology would assemble these inheritances with Mesopotamian omen traditions and Egyptian calendrical and cultic knowledge into a new art of celestial judgment.</w:t>
      </w:r>
    </w:p>
    <w:p w14:paraId="352A7D04" w14:textId="77777777" w:rsidR="00781E37" w:rsidRPr="00242A60" w:rsidRDefault="00781E37" w:rsidP="00781E37">
      <w:pPr>
        <w:pStyle w:val="BookBody"/>
      </w:pPr>
      <w:r w:rsidRPr="00242A60">
        <w:rPr>
          <w:szCs w:val="28"/>
        </w:rPr>
        <w:t xml:space="preserve">The transition is not automatic. Concentric spheres do not prove that Mars signifies conflict; world soul does not determine a horoscope; sympathy does not license every analogy. Astrology requires its own technical genres, doctrines, institutions, clients, and histories of criticism. But Greek </w:t>
      </w:r>
      <w:r w:rsidRPr="00242A60">
        <w:rPr>
          <w:i/>
          <w:szCs w:val="28"/>
        </w:rPr>
        <w:t>kosmos</w:t>
      </w:r>
      <w:r w:rsidRPr="00242A60">
        <w:rPr>
          <w:szCs w:val="28"/>
        </w:rPr>
        <w:t xml:space="preserve"> creates the conceptual room in which exact position and qualitative difference can meet.</w:t>
      </w:r>
    </w:p>
    <w:p w14:paraId="3A0ADFF7" w14:textId="77777777" w:rsidR="00781E37" w:rsidRPr="00242A60" w:rsidRDefault="00781E37" w:rsidP="00781E37">
      <w:pPr>
        <w:pStyle w:val="BookBody"/>
      </w:pPr>
      <w:r w:rsidRPr="00242A60">
        <w:rPr>
          <w:szCs w:val="28"/>
        </w:rPr>
        <w:t>Return, then, to the rings. Turn the ecliptic against the horizon; locate a rising degree; follow a planet through a zodiacal division. The instrument makes the heaven calculable. Yet every circle remains part of one ordered body, and every location retains relation to center, season, and living observer. The same model can serve demonstration, prediction, contemplation, and judgment.</w:t>
      </w:r>
    </w:p>
    <w:p w14:paraId="4E3ED495" w14:textId="77777777" w:rsidR="00781E37" w:rsidRPr="00242A60" w:rsidRDefault="00781E37" w:rsidP="00781E37">
      <w:pPr>
        <w:pStyle w:val="BookBody"/>
      </w:pPr>
      <w:r w:rsidRPr="00242A60">
        <w:rPr>
          <w:szCs w:val="28"/>
        </w:rPr>
        <w:t xml:space="preserve">The danger is already present. Once an order is mathematized, its successful operations can gradually seem more real than the qualities they were designed to articulate. The model can cease to mediate a living heaven and become a self-sufficient system of positions. That outcome is not contained in geometry alone. For now, number serves </w:t>
      </w:r>
      <w:r w:rsidRPr="00242A60">
        <w:rPr>
          <w:i/>
          <w:szCs w:val="28"/>
        </w:rPr>
        <w:t>kosmos</w:t>
      </w:r>
      <w:r w:rsidRPr="00242A60">
        <w:rPr>
          <w:szCs w:val="28"/>
        </w:rPr>
        <w:t>.</w:t>
      </w:r>
    </w:p>
    <w:p w14:paraId="5B6E2767" w14:textId="77777777" w:rsidR="00781E37" w:rsidRPr="00242A60" w:rsidRDefault="00781E37" w:rsidP="00781E37">
      <w:pPr>
        <w:pStyle w:val="BookBody"/>
      </w:pPr>
      <w:r w:rsidRPr="00242A60">
        <w:rPr>
          <w:szCs w:val="28"/>
        </w:rPr>
        <w:t>Chapter 2 showed ancient celestial knowledge embedded in tablet, temple, river, and royal counsel. This chapter has shown Greek philosophy translating embedded order into explicit cosmic principles without immediately severing life from reason. The next chapter follows the heaven as it becomes a map of qualitative difference: planets, zodiacal places, lots, aspects, times, bodies, and destinies coordinated within one world. The cosmos has acquired a grammar. Astrology will test how much that grammar can say.</w:t>
      </w:r>
    </w:p>
    <w:p w14:paraId="2BEA7B01" w14:textId="77777777" w:rsidR="00781E37" w:rsidRPr="00242A60" w:rsidRDefault="00781E37" w:rsidP="00781E37">
      <w:pPr>
        <w:pStyle w:val="NotesHeading"/>
      </w:pPr>
      <w:r w:rsidRPr="00242A60">
        <w:rPr>
          <w:bCs/>
          <w:szCs w:val="28"/>
        </w:rPr>
        <w:t>Notes</w:t>
      </w:r>
    </w:p>
    <w:p w14:paraId="5D7D8E02" w14:textId="77777777" w:rsidR="00781E37" w:rsidRPr="00242A60" w:rsidRDefault="00781E37" w:rsidP="00781E37">
      <w:pPr>
        <w:pStyle w:val="NoteEntry"/>
      </w:pPr>
      <w:r w:rsidRPr="00242A60">
        <w:rPr>
          <w:szCs w:val="28"/>
        </w:rPr>
        <w:t xml:space="preserve">1. James Evans, </w:t>
      </w:r>
      <w:r w:rsidRPr="00242A60">
        <w:rPr>
          <w:i/>
          <w:szCs w:val="28"/>
        </w:rPr>
        <w:t>The History and Practice of Ancient Astronomy</w:t>
      </w:r>
      <w:r w:rsidRPr="00242A60">
        <w:rPr>
          <w:szCs w:val="28"/>
        </w:rPr>
        <w:t xml:space="preserve"> (New York: Oxford University Press, 1998), chaps. 2, 4, 7, and 9. On Eudoxus and later geometrical modeling, see also G. E. R. Lloyd, </w:t>
      </w:r>
      <w:r w:rsidRPr="00242A60">
        <w:rPr>
          <w:i/>
          <w:szCs w:val="28"/>
        </w:rPr>
        <w:t>Early Greek Science: Thales to Aristotle</w:t>
      </w:r>
      <w:r w:rsidRPr="00242A60">
        <w:rPr>
          <w:szCs w:val="28"/>
        </w:rPr>
        <w:t xml:space="preserve"> (London: Chatto &amp; Windus, 1970), 80–98. The armillary sphere is used here as a later material condensation of Greek spherical astronomy, not assigned anachronistically to the earliest natural philosophers.</w:t>
      </w:r>
    </w:p>
    <w:p w14:paraId="34BDC8DB" w14:textId="77777777" w:rsidR="00781E37" w:rsidRPr="00242A60" w:rsidRDefault="00781E37" w:rsidP="00781E37">
      <w:pPr>
        <w:pStyle w:val="NoteEntry"/>
      </w:pPr>
      <w:r w:rsidRPr="00242A60">
        <w:rPr>
          <w:szCs w:val="28"/>
        </w:rPr>
        <w:t xml:space="preserve">2. Lloyd, </w:t>
      </w:r>
      <w:r w:rsidRPr="00242A60">
        <w:rPr>
          <w:i/>
          <w:szCs w:val="28"/>
        </w:rPr>
        <w:t>Early Greek Science</w:t>
      </w:r>
      <w:r w:rsidRPr="00242A60">
        <w:rPr>
          <w:szCs w:val="28"/>
        </w:rPr>
        <w:t>, 1–49, 125–46.</w:t>
      </w:r>
    </w:p>
    <w:p w14:paraId="6FCF4323" w14:textId="77777777" w:rsidR="00781E37" w:rsidRPr="00242A60" w:rsidRDefault="00781E37" w:rsidP="00781E37">
      <w:pPr>
        <w:pStyle w:val="NoteEntry"/>
      </w:pPr>
      <w:r w:rsidRPr="00242A60">
        <w:rPr>
          <w:szCs w:val="28"/>
        </w:rPr>
        <w:t xml:space="preserve">3. Pierre Hadot, </w:t>
      </w:r>
      <w:r w:rsidRPr="00242A60">
        <w:rPr>
          <w:i/>
          <w:szCs w:val="28"/>
        </w:rPr>
        <w:t>What Is Ancient Philosophy?</w:t>
      </w:r>
      <w:r w:rsidRPr="00242A60">
        <w:rPr>
          <w:szCs w:val="28"/>
        </w:rPr>
        <w:t xml:space="preserve">, trans. Michael Chase (Cambridge, MA: Belknap Press of Harvard University Press, 2002), 1–6, 55–145; Pierre Hadot, </w:t>
      </w:r>
      <w:r w:rsidRPr="00242A60">
        <w:rPr>
          <w:i/>
          <w:szCs w:val="28"/>
        </w:rPr>
        <w:t>Philosophy as a Way of Life: Spiritual Exercises from Socrates to Foucault</w:t>
      </w:r>
      <w:r w:rsidRPr="00242A60">
        <w:rPr>
          <w:szCs w:val="28"/>
        </w:rPr>
        <w:t>, ed. Arnold I. Davidson, trans. Michael Chase (Oxford: Blackwell, 1995), 264–76.</w:t>
      </w:r>
    </w:p>
    <w:p w14:paraId="7D4F7DC9" w14:textId="77777777" w:rsidR="00781E37" w:rsidRPr="00242A60" w:rsidRDefault="00781E37" w:rsidP="00781E37">
      <w:pPr>
        <w:pStyle w:val="NoteEntry"/>
      </w:pPr>
      <w:r w:rsidRPr="00242A60">
        <w:rPr>
          <w:szCs w:val="28"/>
        </w:rPr>
        <w:t xml:space="preserve">4. Patricia Curd, ed., </w:t>
      </w:r>
      <w:r w:rsidRPr="00242A60">
        <w:rPr>
          <w:i/>
          <w:szCs w:val="28"/>
        </w:rPr>
        <w:t>A Presocratics Reader: Selected Fragments and Testimonia</w:t>
      </w:r>
      <w:r w:rsidRPr="00242A60">
        <w:rPr>
          <w:szCs w:val="28"/>
        </w:rPr>
        <w:t xml:space="preserve">, 2nd ed., trans. Richard D. McKirahan Jr. (Indianapolis: Hackett, 2011), selections on Thales and Anaximenes; Lloyd, </w:t>
      </w:r>
      <w:r w:rsidRPr="00242A60">
        <w:rPr>
          <w:i/>
          <w:szCs w:val="28"/>
        </w:rPr>
        <w:t>Early Greek Science</w:t>
      </w:r>
      <w:r w:rsidRPr="00242A60">
        <w:rPr>
          <w:szCs w:val="28"/>
        </w:rPr>
        <w:t>, 16–23.</w:t>
      </w:r>
    </w:p>
    <w:p w14:paraId="6D9993C2" w14:textId="77777777" w:rsidR="00781E37" w:rsidRPr="00242A60" w:rsidRDefault="00781E37" w:rsidP="00781E37">
      <w:pPr>
        <w:pStyle w:val="NoteEntry"/>
      </w:pPr>
      <w:r w:rsidRPr="00242A60">
        <w:rPr>
          <w:szCs w:val="28"/>
        </w:rPr>
        <w:t xml:space="preserve">5. Curd, </w:t>
      </w:r>
      <w:r w:rsidRPr="00242A60">
        <w:rPr>
          <w:i/>
          <w:szCs w:val="28"/>
        </w:rPr>
        <w:t>Presocratics Reader</w:t>
      </w:r>
      <w:r w:rsidRPr="00242A60">
        <w:rPr>
          <w:szCs w:val="28"/>
        </w:rPr>
        <w:t xml:space="preserve">, Anaximander testimonia and fragment DK 12 B1; Lloyd, </w:t>
      </w:r>
      <w:r w:rsidRPr="00242A60">
        <w:rPr>
          <w:i/>
          <w:szCs w:val="28"/>
        </w:rPr>
        <w:t>Early Greek Science</w:t>
      </w:r>
      <w:r w:rsidRPr="00242A60">
        <w:rPr>
          <w:szCs w:val="28"/>
        </w:rPr>
        <w:t>, 16–23.</w:t>
      </w:r>
    </w:p>
    <w:p w14:paraId="37C6708A" w14:textId="77777777" w:rsidR="00781E37" w:rsidRPr="00242A60" w:rsidRDefault="00781E37" w:rsidP="00781E37">
      <w:pPr>
        <w:pStyle w:val="NoteEntry"/>
      </w:pPr>
      <w:r w:rsidRPr="00242A60">
        <w:rPr>
          <w:szCs w:val="28"/>
        </w:rPr>
        <w:t xml:space="preserve">6. Curd, </w:t>
      </w:r>
      <w:r w:rsidRPr="00242A60">
        <w:rPr>
          <w:i/>
          <w:szCs w:val="28"/>
        </w:rPr>
        <w:t>Presocratics Reader</w:t>
      </w:r>
      <w:r w:rsidRPr="00242A60">
        <w:rPr>
          <w:szCs w:val="28"/>
        </w:rPr>
        <w:t>, Heraclitus fragments DK 22 B30, B50–B54, B60, and B80.</w:t>
      </w:r>
    </w:p>
    <w:p w14:paraId="52D829BC" w14:textId="77777777" w:rsidR="00781E37" w:rsidRPr="00242A60" w:rsidRDefault="00781E37" w:rsidP="00781E37">
      <w:pPr>
        <w:pStyle w:val="NoteEntry"/>
      </w:pPr>
      <w:r w:rsidRPr="00242A60">
        <w:rPr>
          <w:szCs w:val="28"/>
        </w:rPr>
        <w:t xml:space="preserve">7. Curd, </w:t>
      </w:r>
      <w:r w:rsidRPr="00242A60">
        <w:rPr>
          <w:i/>
          <w:szCs w:val="28"/>
        </w:rPr>
        <w:t>Presocratics Reader</w:t>
      </w:r>
      <w:r w:rsidRPr="00242A60">
        <w:rPr>
          <w:szCs w:val="28"/>
        </w:rPr>
        <w:t>, Parmenides DK 28 B2, B6–B8.</w:t>
      </w:r>
    </w:p>
    <w:p w14:paraId="49C5F5B3" w14:textId="77777777" w:rsidR="00781E37" w:rsidRPr="00242A60" w:rsidRDefault="00781E37" w:rsidP="00781E37">
      <w:pPr>
        <w:pStyle w:val="NoteEntry"/>
      </w:pPr>
      <w:r w:rsidRPr="00242A60">
        <w:rPr>
          <w:szCs w:val="28"/>
        </w:rPr>
        <w:t xml:space="preserve">8. Lloyd, </w:t>
      </w:r>
      <w:r w:rsidRPr="00242A60">
        <w:rPr>
          <w:i/>
          <w:szCs w:val="28"/>
        </w:rPr>
        <w:t>Early Greek Science</w:t>
      </w:r>
      <w:r w:rsidRPr="00242A60">
        <w:rPr>
          <w:szCs w:val="28"/>
        </w:rPr>
        <w:t xml:space="preserve">, 24–35; Carl A. Huffman, </w:t>
      </w:r>
      <w:r w:rsidRPr="00242A60">
        <w:rPr>
          <w:i/>
          <w:szCs w:val="28"/>
        </w:rPr>
        <w:t>Philolaus of Croton: Pythagorean and Presocratic</w:t>
      </w:r>
      <w:r w:rsidRPr="00242A60">
        <w:rPr>
          <w:szCs w:val="28"/>
        </w:rPr>
        <w:t xml:space="preserve"> (Cambridge: Cambridge University Press, 1993), introduction and chaps. 1–3.</w:t>
      </w:r>
    </w:p>
    <w:p w14:paraId="4A6FBD27" w14:textId="77777777" w:rsidR="00781E37" w:rsidRPr="00242A60" w:rsidRDefault="00781E37" w:rsidP="00781E37">
      <w:pPr>
        <w:pStyle w:val="NoteEntry"/>
      </w:pPr>
      <w:r w:rsidRPr="00242A60">
        <w:rPr>
          <w:szCs w:val="28"/>
        </w:rPr>
        <w:t xml:space="preserve">9. Huffman, </w:t>
      </w:r>
      <w:r w:rsidRPr="00242A60">
        <w:rPr>
          <w:i/>
          <w:szCs w:val="28"/>
        </w:rPr>
        <w:t>Philolaus of Croton</w:t>
      </w:r>
      <w:r w:rsidRPr="00242A60">
        <w:rPr>
          <w:szCs w:val="28"/>
        </w:rPr>
        <w:t>, fragments 1–6 and commentary.</w:t>
      </w:r>
    </w:p>
    <w:p w14:paraId="3BB854F0" w14:textId="77777777" w:rsidR="00781E37" w:rsidRPr="00242A60" w:rsidRDefault="00781E37" w:rsidP="00781E37">
      <w:pPr>
        <w:pStyle w:val="NoteEntry"/>
      </w:pPr>
      <w:r w:rsidRPr="00242A60">
        <w:rPr>
          <w:szCs w:val="28"/>
        </w:rPr>
        <w:t xml:space="preserve">10. Hadot, </w:t>
      </w:r>
      <w:r w:rsidRPr="00242A60">
        <w:rPr>
          <w:i/>
          <w:szCs w:val="28"/>
        </w:rPr>
        <w:t>What Is Ancient Philosophy?</w:t>
      </w:r>
      <w:r w:rsidRPr="00242A60">
        <w:rPr>
          <w:szCs w:val="28"/>
        </w:rPr>
        <w:t xml:space="preserve">, 15–54, 91–145; Hadot, </w:t>
      </w:r>
      <w:r w:rsidRPr="00242A60">
        <w:rPr>
          <w:i/>
          <w:szCs w:val="28"/>
        </w:rPr>
        <w:t>Philosophy as a Way of Life</w:t>
      </w:r>
      <w:r w:rsidRPr="00242A60">
        <w:rPr>
          <w:szCs w:val="28"/>
        </w:rPr>
        <w:t>, 49–80, 264–76.</w:t>
      </w:r>
    </w:p>
    <w:p w14:paraId="299F57E0" w14:textId="77777777" w:rsidR="00781E37" w:rsidRPr="00242A60" w:rsidRDefault="00781E37" w:rsidP="00781E37">
      <w:pPr>
        <w:pStyle w:val="NoteEntry"/>
      </w:pPr>
      <w:r w:rsidRPr="00242A60">
        <w:rPr>
          <w:szCs w:val="28"/>
        </w:rPr>
        <w:t xml:space="preserve">11. Robert Hannah, </w:t>
      </w:r>
      <w:r w:rsidRPr="00242A60">
        <w:rPr>
          <w:i/>
          <w:szCs w:val="28"/>
        </w:rPr>
        <w:t>Greek and Roman Calendars: Constructions of Time in the Classical World</w:t>
      </w:r>
      <w:r w:rsidRPr="00242A60">
        <w:rPr>
          <w:szCs w:val="28"/>
        </w:rPr>
        <w:t xml:space="preserve"> (London: Duckworth, 2005), 16–65.</w:t>
      </w:r>
    </w:p>
    <w:p w14:paraId="60FAFA4C" w14:textId="77777777" w:rsidR="00781E37" w:rsidRPr="00242A60" w:rsidRDefault="00781E37" w:rsidP="00781E37">
      <w:pPr>
        <w:pStyle w:val="NoteEntry"/>
      </w:pPr>
      <w:r w:rsidRPr="00242A60">
        <w:rPr>
          <w:szCs w:val="28"/>
        </w:rPr>
        <w:t xml:space="preserve">12. Hannah, </w:t>
      </w:r>
      <w:r w:rsidRPr="00242A60">
        <w:rPr>
          <w:i/>
          <w:szCs w:val="28"/>
        </w:rPr>
        <w:t>Greek and Roman Calendars</w:t>
      </w:r>
      <w:r w:rsidRPr="00242A60">
        <w:rPr>
          <w:szCs w:val="28"/>
        </w:rPr>
        <w:t xml:space="preserve">, 32–41, 56–65; Evans, </w:t>
      </w:r>
      <w:r w:rsidRPr="00242A60">
        <w:rPr>
          <w:i/>
          <w:szCs w:val="28"/>
        </w:rPr>
        <w:t>History and Practice</w:t>
      </w:r>
      <w:r w:rsidRPr="00242A60">
        <w:rPr>
          <w:szCs w:val="28"/>
        </w:rPr>
        <w:t>, chap. 7.</w:t>
      </w:r>
    </w:p>
    <w:p w14:paraId="17613238" w14:textId="77777777" w:rsidR="00781E37" w:rsidRPr="00242A60" w:rsidRDefault="00781E37" w:rsidP="00781E37">
      <w:pPr>
        <w:pStyle w:val="NoteEntry"/>
      </w:pPr>
      <w:r w:rsidRPr="00242A60">
        <w:rPr>
          <w:szCs w:val="28"/>
        </w:rPr>
        <w:t xml:space="preserve">13. Plato, </w:t>
      </w:r>
      <w:r w:rsidRPr="00242A60">
        <w:rPr>
          <w:i/>
          <w:szCs w:val="28"/>
        </w:rPr>
        <w:t>Timaeus</w:t>
      </w:r>
      <w:r w:rsidRPr="00242A60">
        <w:rPr>
          <w:szCs w:val="28"/>
        </w:rPr>
        <w:t xml:space="preserve"> 27d–29d, in </w:t>
      </w:r>
      <w:r w:rsidRPr="00242A60">
        <w:rPr>
          <w:i/>
          <w:szCs w:val="28"/>
        </w:rPr>
        <w:t>Plato: Complete Works</w:t>
      </w:r>
      <w:r w:rsidRPr="00242A60">
        <w:rPr>
          <w:szCs w:val="28"/>
        </w:rPr>
        <w:t>, ed. John M. Cooper, assoc. ed. D. S. Hutchinson (Indianapolis: Hackett, 1997). References to Plato use Stephanus numbers.</w:t>
      </w:r>
    </w:p>
    <w:p w14:paraId="06D04472" w14:textId="77777777" w:rsidR="00781E37" w:rsidRPr="00242A60" w:rsidRDefault="00781E37" w:rsidP="00781E37">
      <w:pPr>
        <w:pStyle w:val="NoteEntry"/>
      </w:pPr>
      <w:r w:rsidRPr="00242A60">
        <w:rPr>
          <w:szCs w:val="28"/>
        </w:rPr>
        <w:t xml:space="preserve">14. Plato, </w:t>
      </w:r>
      <w:r w:rsidRPr="00242A60">
        <w:rPr>
          <w:i/>
          <w:szCs w:val="28"/>
        </w:rPr>
        <w:t>Timaeus</w:t>
      </w:r>
      <w:r w:rsidRPr="00242A60">
        <w:rPr>
          <w:szCs w:val="28"/>
        </w:rPr>
        <w:t xml:space="preserve"> 29e–34b; Lloyd, </w:t>
      </w:r>
      <w:r w:rsidRPr="00242A60">
        <w:rPr>
          <w:i/>
          <w:szCs w:val="28"/>
        </w:rPr>
        <w:t>Early Greek Science</w:t>
      </w:r>
      <w:r w:rsidRPr="00242A60">
        <w:rPr>
          <w:szCs w:val="28"/>
        </w:rPr>
        <w:t>, 66–79.</w:t>
      </w:r>
    </w:p>
    <w:p w14:paraId="7EDE826E" w14:textId="77777777" w:rsidR="00781E37" w:rsidRPr="00242A60" w:rsidRDefault="00781E37" w:rsidP="00781E37">
      <w:pPr>
        <w:pStyle w:val="NoteEntry"/>
      </w:pPr>
      <w:r w:rsidRPr="00242A60">
        <w:rPr>
          <w:szCs w:val="28"/>
        </w:rPr>
        <w:t xml:space="preserve">15. Plato, </w:t>
      </w:r>
      <w:r w:rsidRPr="00242A60">
        <w:rPr>
          <w:i/>
          <w:szCs w:val="28"/>
        </w:rPr>
        <w:t>Timaeus</w:t>
      </w:r>
      <w:r w:rsidRPr="00242A60">
        <w:rPr>
          <w:szCs w:val="28"/>
        </w:rPr>
        <w:t xml:space="preserve"> 47e–53c.</w:t>
      </w:r>
    </w:p>
    <w:p w14:paraId="393EBEEE" w14:textId="77777777" w:rsidR="00781E37" w:rsidRPr="00242A60" w:rsidRDefault="00781E37" w:rsidP="00781E37">
      <w:pPr>
        <w:pStyle w:val="NoteEntry"/>
      </w:pPr>
      <w:r w:rsidRPr="00242A60">
        <w:rPr>
          <w:szCs w:val="28"/>
        </w:rPr>
        <w:t xml:space="preserve">16. Plato, </w:t>
      </w:r>
      <w:r w:rsidRPr="00242A60">
        <w:rPr>
          <w:i/>
          <w:szCs w:val="28"/>
        </w:rPr>
        <w:t>Timaeus</w:t>
      </w:r>
      <w:r w:rsidRPr="00242A60">
        <w:rPr>
          <w:szCs w:val="28"/>
        </w:rPr>
        <w:t xml:space="preserve"> 34b–37c.</w:t>
      </w:r>
    </w:p>
    <w:p w14:paraId="372F8BCD" w14:textId="77777777" w:rsidR="00781E37" w:rsidRPr="00242A60" w:rsidRDefault="00781E37" w:rsidP="00781E37">
      <w:pPr>
        <w:pStyle w:val="NoteEntry"/>
      </w:pPr>
      <w:r w:rsidRPr="00242A60">
        <w:rPr>
          <w:szCs w:val="28"/>
        </w:rPr>
        <w:t xml:space="preserve">17. Plato, </w:t>
      </w:r>
      <w:r w:rsidRPr="00242A60">
        <w:rPr>
          <w:i/>
          <w:szCs w:val="28"/>
        </w:rPr>
        <w:t>Timaeus</w:t>
      </w:r>
      <w:r w:rsidRPr="00242A60">
        <w:rPr>
          <w:szCs w:val="28"/>
        </w:rPr>
        <w:t xml:space="preserve"> 37c–39e.</w:t>
      </w:r>
    </w:p>
    <w:p w14:paraId="3612FB0F" w14:textId="77777777" w:rsidR="00781E37" w:rsidRPr="00242A60" w:rsidRDefault="00781E37" w:rsidP="00781E37">
      <w:pPr>
        <w:pStyle w:val="NoteEntry"/>
      </w:pPr>
      <w:r w:rsidRPr="00242A60">
        <w:rPr>
          <w:szCs w:val="28"/>
        </w:rPr>
        <w:t xml:space="preserve">18. Plato, </w:t>
      </w:r>
      <w:r w:rsidRPr="00242A60">
        <w:rPr>
          <w:i/>
          <w:szCs w:val="28"/>
        </w:rPr>
        <w:t>Timaeus</w:t>
      </w:r>
      <w:r w:rsidRPr="00242A60">
        <w:rPr>
          <w:szCs w:val="28"/>
        </w:rPr>
        <w:t xml:space="preserve"> 46e–47c; Hadot, </w:t>
      </w:r>
      <w:r w:rsidRPr="00242A60">
        <w:rPr>
          <w:i/>
          <w:szCs w:val="28"/>
        </w:rPr>
        <w:t>Philosophy as a Way of Life</w:t>
      </w:r>
      <w:r w:rsidRPr="00242A60">
        <w:rPr>
          <w:szCs w:val="28"/>
        </w:rPr>
        <w:t>, 217–63.</w:t>
      </w:r>
    </w:p>
    <w:p w14:paraId="11364226" w14:textId="77777777" w:rsidR="00781E37" w:rsidRPr="00242A60" w:rsidRDefault="00781E37" w:rsidP="00781E37">
      <w:pPr>
        <w:pStyle w:val="NoteEntry"/>
      </w:pPr>
      <w:r w:rsidRPr="00242A60">
        <w:rPr>
          <w:szCs w:val="28"/>
        </w:rPr>
        <w:t xml:space="preserve">19. Lloyd, </w:t>
      </w:r>
      <w:r w:rsidRPr="00242A60">
        <w:rPr>
          <w:i/>
          <w:szCs w:val="28"/>
        </w:rPr>
        <w:t>Early Greek Science</w:t>
      </w:r>
      <w:r w:rsidRPr="00242A60">
        <w:rPr>
          <w:szCs w:val="28"/>
        </w:rPr>
        <w:t xml:space="preserve">, 80–98; Evans, </w:t>
      </w:r>
      <w:r w:rsidRPr="00242A60">
        <w:rPr>
          <w:i/>
          <w:szCs w:val="28"/>
        </w:rPr>
        <w:t>History and Practice</w:t>
      </w:r>
      <w:r w:rsidRPr="00242A60">
        <w:rPr>
          <w:szCs w:val="28"/>
        </w:rPr>
        <w:t>, chap. 9.</w:t>
      </w:r>
    </w:p>
    <w:p w14:paraId="69945B28" w14:textId="77777777" w:rsidR="00781E37" w:rsidRPr="00242A60" w:rsidRDefault="00781E37" w:rsidP="00781E37">
      <w:pPr>
        <w:pStyle w:val="NoteEntry"/>
      </w:pPr>
      <w:r w:rsidRPr="00242A60">
        <w:rPr>
          <w:szCs w:val="28"/>
        </w:rPr>
        <w:t xml:space="preserve">20. Lloyd, </w:t>
      </w:r>
      <w:r w:rsidRPr="00242A60">
        <w:rPr>
          <w:i/>
          <w:szCs w:val="28"/>
        </w:rPr>
        <w:t>Early Greek Science</w:t>
      </w:r>
      <w:r w:rsidRPr="00242A60">
        <w:rPr>
          <w:szCs w:val="28"/>
        </w:rPr>
        <w:t>, 80–98, 99–124.</w:t>
      </w:r>
    </w:p>
    <w:p w14:paraId="7B7A05F0" w14:textId="77777777" w:rsidR="00781E37" w:rsidRPr="00242A60" w:rsidRDefault="00781E37" w:rsidP="00781E37">
      <w:pPr>
        <w:pStyle w:val="NoteEntry"/>
      </w:pPr>
      <w:r w:rsidRPr="00242A60">
        <w:rPr>
          <w:szCs w:val="28"/>
        </w:rPr>
        <w:t xml:space="preserve">21. Aristotle, </w:t>
      </w:r>
      <w:r w:rsidRPr="00242A60">
        <w:rPr>
          <w:i/>
          <w:szCs w:val="28"/>
        </w:rPr>
        <w:t>Physics</w:t>
      </w:r>
      <w:r w:rsidRPr="00242A60">
        <w:rPr>
          <w:szCs w:val="28"/>
        </w:rPr>
        <w:t xml:space="preserve"> II.1, 192b8–23, in </w:t>
      </w:r>
      <w:r w:rsidRPr="00242A60">
        <w:rPr>
          <w:i/>
          <w:szCs w:val="28"/>
        </w:rPr>
        <w:t>The Complete Works of Aristotle: The Revised Oxford Translation</w:t>
      </w:r>
      <w:r w:rsidRPr="00242A60">
        <w:rPr>
          <w:szCs w:val="28"/>
        </w:rPr>
        <w:t>, ed. Jonathan Barnes, 2 vols. (Princeton: Princeton University Press, 1984). References to Aristotle use Bekker numbers.</w:t>
      </w:r>
    </w:p>
    <w:p w14:paraId="1342C46C" w14:textId="77777777" w:rsidR="00781E37" w:rsidRPr="00242A60" w:rsidRDefault="00781E37" w:rsidP="00781E37">
      <w:pPr>
        <w:pStyle w:val="NoteEntry"/>
      </w:pPr>
      <w:r w:rsidRPr="00242A60">
        <w:rPr>
          <w:szCs w:val="28"/>
        </w:rPr>
        <w:t xml:space="preserve">22. Aristotle, </w:t>
      </w:r>
      <w:r w:rsidRPr="00242A60">
        <w:rPr>
          <w:i/>
          <w:szCs w:val="28"/>
        </w:rPr>
        <w:t>Physics</w:t>
      </w:r>
      <w:r w:rsidRPr="00242A60">
        <w:rPr>
          <w:szCs w:val="28"/>
        </w:rPr>
        <w:t xml:space="preserve"> II.8, 198b10–199b33.</w:t>
      </w:r>
    </w:p>
    <w:p w14:paraId="03761D02" w14:textId="77777777" w:rsidR="00781E37" w:rsidRPr="00242A60" w:rsidRDefault="00781E37" w:rsidP="00781E37">
      <w:pPr>
        <w:pStyle w:val="NoteEntry"/>
      </w:pPr>
      <w:r w:rsidRPr="00242A60">
        <w:rPr>
          <w:szCs w:val="28"/>
        </w:rPr>
        <w:t xml:space="preserve">23. Aristotle, </w:t>
      </w:r>
      <w:r w:rsidRPr="00242A60">
        <w:rPr>
          <w:i/>
          <w:szCs w:val="28"/>
        </w:rPr>
        <w:t>Physics</w:t>
      </w:r>
      <w:r w:rsidRPr="00242A60">
        <w:rPr>
          <w:szCs w:val="28"/>
        </w:rPr>
        <w:t xml:space="preserve"> IV.1–5, 208a27–212b29.</w:t>
      </w:r>
    </w:p>
    <w:p w14:paraId="65438AEC" w14:textId="77777777" w:rsidR="00781E37" w:rsidRPr="00242A60" w:rsidRDefault="00781E37" w:rsidP="00781E37">
      <w:pPr>
        <w:pStyle w:val="NoteEntry"/>
      </w:pPr>
      <w:r w:rsidRPr="00242A60">
        <w:rPr>
          <w:szCs w:val="28"/>
        </w:rPr>
        <w:t xml:space="preserve">24. Aristotle, </w:t>
      </w:r>
      <w:r w:rsidRPr="00242A60">
        <w:rPr>
          <w:i/>
          <w:szCs w:val="28"/>
        </w:rPr>
        <w:t>On the Heavens</w:t>
      </w:r>
      <w:r w:rsidRPr="00242A60">
        <w:rPr>
          <w:szCs w:val="28"/>
        </w:rPr>
        <w:t xml:space="preserve"> I.2–3, 268b11–270b31.</w:t>
      </w:r>
    </w:p>
    <w:p w14:paraId="6B357E96" w14:textId="77777777" w:rsidR="00781E37" w:rsidRPr="00242A60" w:rsidRDefault="00781E37" w:rsidP="00781E37">
      <w:pPr>
        <w:pStyle w:val="NoteEntry"/>
      </w:pPr>
      <w:r w:rsidRPr="00242A60">
        <w:rPr>
          <w:szCs w:val="28"/>
        </w:rPr>
        <w:t xml:space="preserve">25. Aristotle, </w:t>
      </w:r>
      <w:r w:rsidRPr="00242A60">
        <w:rPr>
          <w:i/>
          <w:szCs w:val="28"/>
        </w:rPr>
        <w:t>On the Heavens</w:t>
      </w:r>
      <w:r w:rsidRPr="00242A60">
        <w:rPr>
          <w:szCs w:val="28"/>
        </w:rPr>
        <w:t xml:space="preserve"> I.5–9, 271b1–279b3; II.2–5, 284b6–288b7; Lloyd, </w:t>
      </w:r>
      <w:r w:rsidRPr="00242A60">
        <w:rPr>
          <w:i/>
          <w:szCs w:val="28"/>
        </w:rPr>
        <w:t>Early Greek Science</w:t>
      </w:r>
      <w:r w:rsidRPr="00242A60">
        <w:rPr>
          <w:szCs w:val="28"/>
        </w:rPr>
        <w:t>, 99–124.</w:t>
      </w:r>
    </w:p>
    <w:p w14:paraId="7E462E2F" w14:textId="77777777" w:rsidR="00781E37" w:rsidRPr="00242A60" w:rsidRDefault="00781E37" w:rsidP="00781E37">
      <w:pPr>
        <w:pStyle w:val="NoteEntry"/>
      </w:pPr>
      <w:r w:rsidRPr="00242A60">
        <w:rPr>
          <w:szCs w:val="28"/>
        </w:rPr>
        <w:t xml:space="preserve">26. Hadot, </w:t>
      </w:r>
      <w:r w:rsidRPr="00242A60">
        <w:rPr>
          <w:i/>
          <w:szCs w:val="28"/>
        </w:rPr>
        <w:t>What Is Ancient Philosophy?</w:t>
      </w:r>
      <w:r w:rsidRPr="00242A60">
        <w:rPr>
          <w:szCs w:val="28"/>
        </w:rPr>
        <w:t>, 1–6, 55–90, 146–233.</w:t>
      </w:r>
    </w:p>
    <w:p w14:paraId="6566BE47" w14:textId="77777777" w:rsidR="00781E37" w:rsidRPr="00242A60" w:rsidRDefault="00781E37" w:rsidP="00781E37">
      <w:pPr>
        <w:pStyle w:val="NoteEntry"/>
      </w:pPr>
      <w:r w:rsidRPr="00242A60">
        <w:rPr>
          <w:szCs w:val="28"/>
        </w:rPr>
        <w:t xml:space="preserve">27. Hadot, </w:t>
      </w:r>
      <w:r w:rsidRPr="00242A60">
        <w:rPr>
          <w:i/>
          <w:szCs w:val="28"/>
        </w:rPr>
        <w:t>Philosophy as a Way of Life</w:t>
      </w:r>
      <w:r w:rsidRPr="00242A60">
        <w:rPr>
          <w:szCs w:val="28"/>
        </w:rPr>
        <w:t>, 217–63.</w:t>
      </w:r>
    </w:p>
    <w:p w14:paraId="319E97B7" w14:textId="77777777" w:rsidR="00781E37" w:rsidRPr="00242A60" w:rsidRDefault="00781E37" w:rsidP="00781E37">
      <w:pPr>
        <w:pStyle w:val="NoteEntry"/>
      </w:pPr>
      <w:r w:rsidRPr="00242A60">
        <w:rPr>
          <w:szCs w:val="28"/>
        </w:rPr>
        <w:t xml:space="preserve">28. A. A. Long and D. N. Sedley, </w:t>
      </w:r>
      <w:r w:rsidRPr="00242A60">
        <w:rPr>
          <w:i/>
          <w:szCs w:val="28"/>
        </w:rPr>
        <w:t>The Hellenistic Philosophers</w:t>
      </w:r>
      <w:r w:rsidRPr="00242A60">
        <w:rPr>
          <w:szCs w:val="28"/>
        </w:rPr>
        <w:t xml:space="preserve">, vol. 1, </w:t>
      </w:r>
      <w:r w:rsidRPr="00242A60">
        <w:rPr>
          <w:i/>
          <w:szCs w:val="28"/>
        </w:rPr>
        <w:t>Translations of the Principal Sources with Philosophical Commentary</w:t>
      </w:r>
      <w:r w:rsidRPr="00242A60">
        <w:rPr>
          <w:szCs w:val="28"/>
        </w:rPr>
        <w:t xml:space="preserve"> (Cambridge: Cambridge University Press, 1987), secs. 43–55. The supplied file is labeled as a 2013 issue; citations identify the work’s original publication year.</w:t>
      </w:r>
    </w:p>
    <w:p w14:paraId="2C2F0CDE" w14:textId="77777777" w:rsidR="00781E37" w:rsidRPr="00242A60" w:rsidRDefault="00781E37" w:rsidP="00781E37">
      <w:pPr>
        <w:pStyle w:val="NoteEntry"/>
      </w:pPr>
      <w:r w:rsidRPr="00242A60">
        <w:rPr>
          <w:szCs w:val="28"/>
        </w:rPr>
        <w:t xml:space="preserve">29. Long and Sedley, </w:t>
      </w:r>
      <w:r w:rsidRPr="00242A60">
        <w:rPr>
          <w:i/>
          <w:szCs w:val="28"/>
        </w:rPr>
        <w:t>Hellenistic Philosophers</w:t>
      </w:r>
      <w:r w:rsidRPr="00242A60">
        <w:rPr>
          <w:szCs w:val="28"/>
        </w:rPr>
        <w:t>, 1: secs. 46–48.</w:t>
      </w:r>
    </w:p>
    <w:p w14:paraId="240D5BC5" w14:textId="77777777" w:rsidR="00781E37" w:rsidRPr="00242A60" w:rsidRDefault="00781E37" w:rsidP="00781E37">
      <w:pPr>
        <w:pStyle w:val="NoteEntry"/>
      </w:pPr>
      <w:r w:rsidRPr="00242A60">
        <w:rPr>
          <w:szCs w:val="28"/>
        </w:rPr>
        <w:t xml:space="preserve">30. Long and Sedley, </w:t>
      </w:r>
      <w:r w:rsidRPr="00242A60">
        <w:rPr>
          <w:i/>
          <w:szCs w:val="28"/>
        </w:rPr>
        <w:t>Hellenistic Philosophers</w:t>
      </w:r>
      <w:r w:rsidRPr="00242A60">
        <w:rPr>
          <w:szCs w:val="28"/>
        </w:rPr>
        <w:t>, 1: secs. 55–62.</w:t>
      </w:r>
    </w:p>
    <w:p w14:paraId="2F86541B" w14:textId="77777777" w:rsidR="00781E37" w:rsidRPr="00242A60" w:rsidRDefault="00781E37" w:rsidP="00781E37">
      <w:pPr>
        <w:pStyle w:val="NoteEntry"/>
      </w:pPr>
      <w:r w:rsidRPr="00242A60">
        <w:rPr>
          <w:szCs w:val="28"/>
        </w:rPr>
        <w:t xml:space="preserve">31. Long and Sedley, </w:t>
      </w:r>
      <w:r w:rsidRPr="00242A60">
        <w:rPr>
          <w:i/>
          <w:szCs w:val="28"/>
        </w:rPr>
        <w:t>Hellenistic Philosophers</w:t>
      </w:r>
      <w:r w:rsidRPr="00242A60">
        <w:rPr>
          <w:szCs w:val="28"/>
        </w:rPr>
        <w:t>, 1: secs. 46 and 52.</w:t>
      </w:r>
    </w:p>
    <w:p w14:paraId="4F556AD9" w14:textId="77777777" w:rsidR="00781E37" w:rsidRPr="00242A60" w:rsidRDefault="00781E37" w:rsidP="00781E37">
      <w:pPr>
        <w:pStyle w:val="NoteEntry"/>
      </w:pPr>
      <w:r w:rsidRPr="00242A60">
        <w:rPr>
          <w:szCs w:val="28"/>
        </w:rPr>
        <w:t xml:space="preserve">32. Cicero, </w:t>
      </w:r>
      <w:r w:rsidRPr="00242A60">
        <w:rPr>
          <w:i/>
          <w:szCs w:val="28"/>
        </w:rPr>
        <w:t>On Divination</w:t>
      </w:r>
      <w:r w:rsidRPr="00242A60">
        <w:rPr>
          <w:szCs w:val="28"/>
        </w:rPr>
        <w:t>, especially books 1–2. The supplied “2020” PDF is a modern digital repackaging of an older public-domain translation and is used only as a supplementary guide; close claims about Stoic physics rest on Long and Sedley.</w:t>
      </w:r>
    </w:p>
    <w:p w14:paraId="1AF0D4E9" w14:textId="77777777" w:rsidR="009F3BA9" w:rsidRPr="00242A60" w:rsidRDefault="009F3BA9" w:rsidP="009F3BA9">
      <w:pPr>
        <w:pStyle w:val="ChapterHeading"/>
      </w:pPr>
      <w:bookmarkStart w:id="5" w:name="toc_chapter_4"/>
      <w:r>
        <w:rPr>
          <w:sz w:val="28"/>
        </w:rPr>
        <w:t>Chapter 4</w:t>
      </w:r>
      <w:r>
        <w:rPr>
          <w:sz w:val="28"/>
        </w:rPr>
        <w:br/>
      </w:r>
      <w:r>
        <w:t>The Qualitative Heavens</w:t>
      </w:r>
      <w:bookmarkEnd w:id="5"/>
    </w:p>
    <w:p w14:paraId="2424AC76" w14:textId="77777777" w:rsidR="009F3BA9" w:rsidRPr="00242A60" w:rsidRDefault="009F3BA9" w:rsidP="009F3BA9">
      <w:pPr>
        <w:pStyle w:val="SectionHeading"/>
      </w:pPr>
      <w:r w:rsidRPr="00242A60">
        <w:rPr>
          <w:bCs/>
          <w:szCs w:val="28"/>
        </w:rPr>
        <w:t>A Birth Written on Papyrus</w:t>
      </w:r>
    </w:p>
    <w:p w14:paraId="2DF8FF17" w14:textId="77777777" w:rsidR="009F3BA9" w:rsidRPr="00242A60" w:rsidRDefault="009F3BA9" w:rsidP="009F3BA9">
      <w:pPr>
        <w:pStyle w:val="BookBody"/>
      </w:pPr>
      <w:r w:rsidRPr="00242A60">
        <w:rPr>
          <w:szCs w:val="28"/>
        </w:rPr>
        <w:t>Begin not with the familiar colored wheel of a modern horoscope, but with a damaged sheet of papyrus. Its lines are spare. They identify a year and a day, name the hour, and list the Sun, Moon, and five visible planets by zodiacal sign. The ascendant—the degree of the zodiac rising in the east—is supplied or can be reconstructed. A circle added to one surviving document distributes the names of planets around twelve divisions. There is no portrait of a private interior, no questionnaire, and no vocabulary of “self-expression.” There are positions, relations, and a life understood to have begun within them.</w:t>
      </w:r>
    </w:p>
    <w:p w14:paraId="445ECF20" w14:textId="77777777" w:rsidR="009F3BA9" w:rsidRPr="00242A60" w:rsidRDefault="009F3BA9" w:rsidP="009F3BA9">
      <w:pPr>
        <w:pStyle w:val="BookBody"/>
      </w:pPr>
      <w:r w:rsidRPr="00242A60">
        <w:rPr>
          <w:szCs w:val="28"/>
        </w:rPr>
        <w:t xml:space="preserve">One of the documents edited by Otto Neugebauer and H. B. Van Hoesen, numbered 15/22 in </w:t>
      </w:r>
      <w:r w:rsidRPr="00242A60">
        <w:rPr>
          <w:i/>
          <w:szCs w:val="28"/>
        </w:rPr>
        <w:t>Greek Horoscopes</w:t>
      </w:r>
      <w:r w:rsidRPr="00242A60">
        <w:rPr>
          <w:szCs w:val="28"/>
        </w:rPr>
        <w:t>, records a nativity in the reign of Tiberius. The editors reconstruct its date as September 29 in the year 15 CE, though the damaged text and the use of Egyptian and Alexandrian calendars require careful argument. The diagram places the ascendant, planets, and lunar nodes within a rough circle. Its purpose is not pictorial realism. It compresses the sky at a particular terrestrial horizon into a portable field of judgment.</w:t>
      </w:r>
      <w:r w:rsidRPr="00242A60">
        <w:rPr>
          <w:szCs w:val="28"/>
          <w:vertAlign w:val="superscript"/>
        </w:rPr>
        <w:t>1</w:t>
      </w:r>
    </w:p>
    <w:p w14:paraId="043CDA31" w14:textId="77777777" w:rsidR="009F3BA9" w:rsidRPr="00242A60" w:rsidRDefault="009F3BA9" w:rsidP="009F3BA9">
      <w:pPr>
        <w:pStyle w:val="BookBody"/>
      </w:pPr>
      <w:r w:rsidRPr="00242A60">
        <w:rPr>
          <w:szCs w:val="28"/>
        </w:rPr>
        <w:t xml:space="preserve">That papyrus is a material witness to a startling proposition: a moment can possess a structure. The native is not simply born </w:t>
      </w:r>
      <w:r w:rsidRPr="00242A60">
        <w:rPr>
          <w:i/>
          <w:szCs w:val="28"/>
        </w:rPr>
        <w:t>at</w:t>
      </w:r>
      <w:r w:rsidRPr="00242A60">
        <w:rPr>
          <w:szCs w:val="28"/>
        </w:rPr>
        <w:t xml:space="preserve"> a time, as a train departs at 3:10. The native is born </w:t>
      </w:r>
      <w:r w:rsidRPr="00242A60">
        <w:rPr>
          <w:i/>
          <w:szCs w:val="28"/>
        </w:rPr>
        <w:t>within</w:t>
      </w:r>
      <w:r w:rsidRPr="00242A60">
        <w:rPr>
          <w:szCs w:val="28"/>
        </w:rPr>
        <w:t xml:space="preserve"> a configuration whose parts differ in kind, strength, visibility, direction, and relation. Day is not interchangeable with night. East is not interchangeable with west. A planet rising is not the same as the same planet setting; Mars in Aries is not Mars in Libra; a trine is not a square. Time has become geometrically exact without becoming qualitatively empty.</w:t>
      </w:r>
    </w:p>
    <w:p w14:paraId="2D8B3BEE" w14:textId="77777777" w:rsidR="009F3BA9" w:rsidRPr="00242A60" w:rsidRDefault="009F3BA9" w:rsidP="009F3BA9">
      <w:pPr>
        <w:pStyle w:val="BookBody"/>
      </w:pPr>
      <w:r w:rsidRPr="00242A60">
        <w:rPr>
          <w:szCs w:val="28"/>
        </w:rPr>
        <w:t>The papyrus also corrects a common misconception. An ancient horoscope was often a terse dossier rather than a complete circular chart. Some documentary horoscopes give little more than date and planetary positions; literary examples add judgment, timing procedures, and biographical detail. Tamysn Barton notes that surviving nonliterary charts frequently omit information that a practitioner could calculate or that a later interpreter would want. The positions themselves could be approximate, derived from tables rather than fresh observation. The object is therefore neither a photograph of the heavens nor an exhaustive inventory of a person. It is an operational summary produced within a tradition of calculation and interpretation.</w:t>
      </w:r>
      <w:r w:rsidRPr="00242A60">
        <w:rPr>
          <w:szCs w:val="28"/>
          <w:vertAlign w:val="superscript"/>
        </w:rPr>
        <w:t>2</w:t>
      </w:r>
    </w:p>
    <w:p w14:paraId="5186E0CB" w14:textId="77777777" w:rsidR="009F3BA9" w:rsidRPr="00242A60" w:rsidRDefault="009F3BA9" w:rsidP="009F3BA9">
      <w:pPr>
        <w:pStyle w:val="BookBody"/>
      </w:pPr>
      <w:r w:rsidRPr="00242A60">
        <w:rPr>
          <w:szCs w:val="28"/>
        </w:rPr>
        <w:t>What world must exist for such a summary to make sense? The question is prior to whether astrology’s predictions are true. One can reject its judgments and still ask what ontology they presuppose. A natal chart becomes intelligible only if celestial differences are more than changes of location in homogeneous space; only if a beginning can bear the character of a whole sequence; only if the body entering the world belongs to a network of terrestrial and celestial relations; only if calculation can disclose a quality that calculation did not invent.</w:t>
      </w:r>
    </w:p>
    <w:p w14:paraId="3E6AA297" w14:textId="77777777" w:rsidR="009F3BA9" w:rsidRPr="00242A60" w:rsidRDefault="009F3BA9" w:rsidP="009F3BA9">
      <w:pPr>
        <w:pStyle w:val="BookBody"/>
      </w:pPr>
      <w:r w:rsidRPr="00242A60">
        <w:rPr>
          <w:szCs w:val="28"/>
        </w:rPr>
        <w:t>The chart does not need to be a mechanism pushing traits into an infant. It can be read as a sign, a causal configuration, an allotment, a map of providence, or some mixture of these. Ancient astrologers did not agree on one theory of causation. Their practice was more stable than their explanations. Across those explanations, however, the horoscope assumes a differentiated cosmos in which place, time, body, fate, and interpretation can meet.</w:t>
      </w:r>
    </w:p>
    <w:p w14:paraId="1BEC4257" w14:textId="77777777" w:rsidR="009F3BA9" w:rsidRPr="00242A60" w:rsidRDefault="009F3BA9" w:rsidP="009F3BA9">
      <w:pPr>
        <w:pStyle w:val="SectionHeading"/>
      </w:pPr>
      <w:r w:rsidRPr="00242A60">
        <w:rPr>
          <w:bCs/>
          <w:szCs w:val="28"/>
        </w:rPr>
        <w:t>Not a Personality Test</w:t>
      </w:r>
    </w:p>
    <w:p w14:paraId="51B9C205" w14:textId="77777777" w:rsidR="009F3BA9" w:rsidRPr="00242A60" w:rsidRDefault="009F3BA9" w:rsidP="009F3BA9">
      <w:pPr>
        <w:pStyle w:val="BookBody"/>
      </w:pPr>
      <w:r w:rsidRPr="00242A60">
        <w:rPr>
          <w:szCs w:val="28"/>
        </w:rPr>
        <w:t>The easiest way to misunderstand Hellenistic astrology is to translate it immediately into modern personality language. “Mars” becomes aggression, “Venus” relationship style, “Mercury” communication, and the chart becomes a symbolic description of an autonomous psyche. Ancient texts sometimes do attribute temperament, desire, intelligence, reputation, or habits to celestial conditions. Ptolemy devotes chapters to qualities of soul; Valens and Dorotheus give judgments about character and conduct. Yet these judgments occupy a much wider field that includes parents, siblings, bodily constitution, illness, property, marriage, children, occupation, rank, travel, danger, exile, length of life, and manner of death.</w:t>
      </w:r>
    </w:p>
    <w:p w14:paraId="5E551F6B" w14:textId="77777777" w:rsidR="009F3BA9" w:rsidRPr="00242A60" w:rsidRDefault="009F3BA9" w:rsidP="009F3BA9">
      <w:pPr>
        <w:pStyle w:val="BookBody"/>
      </w:pPr>
      <w:r w:rsidRPr="00242A60">
        <w:rPr>
          <w:szCs w:val="28"/>
        </w:rPr>
        <w:t>The native is not first imagined as a private consciousness and only secondarily placed in a social world. A life is constituted by relations and exposures. Birth inserts a body into household, city, climate, status, inheritance, sex, labor, and political power. A chart speaks to these conditions because “the person” is not sealed behind the skin. What happens to one’s father, whether patrons assist, whether a voyage succeeds, and whether illness arrives belong to the life being judged.</w:t>
      </w:r>
    </w:p>
    <w:p w14:paraId="02A33167" w14:textId="77777777" w:rsidR="009F3BA9" w:rsidRPr="00242A60" w:rsidRDefault="009F3BA9" w:rsidP="009F3BA9">
      <w:pPr>
        <w:pStyle w:val="BookBody"/>
      </w:pPr>
      <w:r w:rsidRPr="00242A60">
        <w:rPr>
          <w:szCs w:val="28"/>
        </w:rPr>
        <w:t>Nor does the chart equal the soul. This distinction will matter throughout the book. Even when an astrologer claims that celestial conditions indicate qualities of mind, the diagram contains no object labeled “the soul.” It maps the positions of planets and calculated points relative to a place and moment. The relation between that map and embodied character must still be argued. Ptolemy distinguishes bodily and psychic outcomes, then qualifies astrological judgment by ancestry, country, upbringing, and custom. The technical tradition distinguishes the Lot of Fortune, commonly associated with body, circumstances, and what befalls a person, from the Lot of Daimon or Spirit, associated in various sources with action, intention, reputation, or what a person brings about. Dorian Greenbaum shows that even this pair cannot be reduced to a modern opposition between body and inner self. Fortune and daimon carry older religious, philosophical, and cultural meanings, and their formulas and interpretations vary.</w:t>
      </w:r>
      <w:r w:rsidRPr="00242A60">
        <w:rPr>
          <w:szCs w:val="28"/>
          <w:vertAlign w:val="superscript"/>
        </w:rPr>
        <w:t>3</w:t>
      </w:r>
    </w:p>
    <w:p w14:paraId="49AAF49D" w14:textId="77777777" w:rsidR="009F3BA9" w:rsidRPr="00242A60" w:rsidRDefault="009F3BA9" w:rsidP="009F3BA9">
      <w:pPr>
        <w:pStyle w:val="BookBody"/>
      </w:pPr>
      <w:r w:rsidRPr="00242A60">
        <w:rPr>
          <w:szCs w:val="28"/>
        </w:rPr>
        <w:t>The horoscope is therefore better understood as a diagram of allotted relations. “Allotment” does not mean a simple sentence imposed by a celestial bureaucracy. It names the portion, position, and field in which a life unfolds: this body, this beginning, these kin, these opportunities, these constraints, these periods of activation. Ancient fatalisms can be severe, and the tradition contains predictions no humane reader should romanticize. But the chart’s logic is not exhausted by coercion. It asks how a finite life receives a place within a finite whole.</w:t>
      </w:r>
    </w:p>
    <w:p w14:paraId="3E770DB8" w14:textId="77777777" w:rsidR="009F3BA9" w:rsidRPr="00242A60" w:rsidRDefault="009F3BA9" w:rsidP="009F3BA9">
      <w:pPr>
        <w:pStyle w:val="BookBody"/>
      </w:pPr>
      <w:r w:rsidRPr="00242A60">
        <w:rPr>
          <w:szCs w:val="28"/>
        </w:rPr>
        <w:t>Modern psychological astrology often rescues the chart from fatalism by relocating all of its figures inside the psyche. That move can produce subtle reflection, but it changes the ancient object. Saturn was not merely one’s “inner critic,” nor Jupiter only a capacity for optimism. They were wandering stars, visible gods or divinely charged bodies, chronocrators capable of governing periods, and signs within a shared cosmos. Their meanings reached bodies, weather, kingdoms, families, and acts as well as dispositions.</w:t>
      </w:r>
    </w:p>
    <w:p w14:paraId="78561EC9" w14:textId="77777777" w:rsidR="009F3BA9" w:rsidRPr="00242A60" w:rsidRDefault="009F3BA9" w:rsidP="009F3BA9">
      <w:pPr>
        <w:pStyle w:val="BookBody"/>
      </w:pPr>
      <w:r w:rsidRPr="00242A60">
        <w:rPr>
          <w:szCs w:val="28"/>
        </w:rPr>
        <w:t>To recover the qualitative heavens is not to adopt their judgments. It is to resist shrinking them. Ancient astrology makes a larger, more dangerous claim than personality description: human beginnings participate in cosmic order.</w:t>
      </w:r>
    </w:p>
    <w:p w14:paraId="1AE80826" w14:textId="77777777" w:rsidR="009F3BA9" w:rsidRPr="00242A60" w:rsidRDefault="009F3BA9" w:rsidP="009F3BA9">
      <w:pPr>
        <w:pStyle w:val="SectionHeading"/>
      </w:pPr>
      <w:r w:rsidRPr="00242A60">
        <w:rPr>
          <w:bCs/>
          <w:szCs w:val="28"/>
        </w:rPr>
        <w:t>From Omen to Nativity</w:t>
      </w:r>
    </w:p>
    <w:p w14:paraId="528D487C" w14:textId="77777777" w:rsidR="009F3BA9" w:rsidRPr="00242A60" w:rsidRDefault="009F3BA9" w:rsidP="009F3BA9">
      <w:pPr>
        <w:pStyle w:val="BookBody"/>
      </w:pPr>
      <w:r w:rsidRPr="00242A60">
        <w:rPr>
          <w:szCs w:val="28"/>
        </w:rPr>
        <w:t>Hellenistic natal astrology did not appear fully formed from a single culture or inventor. It emerged through long contact among Mesopotamian celestial divination and mathematical astronomy, Egyptian calendrical, decanal, and cultic traditions, and Greek geometrical astronomy and natural philosophy. The evidence is uneven, the routes of transmission are debated, and retrospective attributions to legendary sages often conceal development. Barton is right to warn that neat stories of “Babylonian astrology” passing intact into Greece substitute a label for an explanation.</w:t>
      </w:r>
      <w:r w:rsidRPr="00242A60">
        <w:rPr>
          <w:szCs w:val="28"/>
          <w:vertAlign w:val="superscript"/>
        </w:rPr>
        <w:t>4</w:t>
      </w:r>
    </w:p>
    <w:p w14:paraId="11229D1C" w14:textId="77777777" w:rsidR="009F3BA9" w:rsidRPr="00242A60" w:rsidRDefault="009F3BA9" w:rsidP="009F3BA9">
      <w:pPr>
        <w:pStyle w:val="BookBody"/>
      </w:pPr>
      <w:r w:rsidRPr="00242A60">
        <w:rPr>
          <w:szCs w:val="28"/>
        </w:rPr>
        <w:t>Mesopotamian omen series characteristically read unusual celestial events in relation to king, land, harvest, war, and collective danger. A lunar eclipse in a particular watch, region of the sky, or month could portend a differentiated consequence. The event was not a mechanical force causing the future catastrophe. It was a legible occurrence within an ordered field of divine communication and expert inference. By the late first millennium BCE, sustained records, numerical schemes, zodiacal divisions, and planetary theories made celestial positions increasingly calculable. The earliest surviving Babylonian horoscopes joined a person’s birth to such data, but they did not yet contain the full apparatus later found in Greek texts.</w:t>
      </w:r>
      <w:r w:rsidRPr="00242A60">
        <w:rPr>
          <w:szCs w:val="28"/>
          <w:vertAlign w:val="superscript"/>
        </w:rPr>
        <w:t>5</w:t>
      </w:r>
    </w:p>
    <w:p w14:paraId="77F1E966" w14:textId="77777777" w:rsidR="009F3BA9" w:rsidRPr="00242A60" w:rsidRDefault="009F3BA9" w:rsidP="009F3BA9">
      <w:pPr>
        <w:pStyle w:val="BookBody"/>
      </w:pPr>
      <w:r w:rsidRPr="00242A60">
        <w:rPr>
          <w:szCs w:val="28"/>
        </w:rPr>
        <w:t>The Hellenistic nativity adds a decisive terrestrial anchor: the rising point determined by the local horizon and time of birth. From it, the twelve places of the chart can be established. The same planetary positions will therefore be related differently for simultaneous births at different locations, and even a modest shift in time can alter the ascendant. The heavens are no longer read only as a royal or civic canopy. They are projected around a singular beginning.</w:t>
      </w:r>
    </w:p>
    <w:p w14:paraId="1693F108" w14:textId="77777777" w:rsidR="009F3BA9" w:rsidRPr="00242A60" w:rsidRDefault="009F3BA9" w:rsidP="009F3BA9">
      <w:pPr>
        <w:pStyle w:val="BookBody"/>
      </w:pPr>
      <w:r w:rsidRPr="00242A60">
        <w:rPr>
          <w:szCs w:val="28"/>
        </w:rPr>
        <w:t>Egyptian contributions are harder to isolate than old diffusionist accounts suggest. The thirty-six decans—stellar groups associated with divisions of the night and later with ten-degree sectors—provided a powerful grammar of differentiated celestial time. Egyptian temple imagery, calendars, priestly knowledge, and the authority attributed to figures such as Nechepso, Petosiris, and Hermes shaped the prestige and vocabulary of the art. Yet a zodiacal temple ceiling is not itself a natal horoscope, and an Egyptian name attached to a Greek text does not prove pharaonic antiquity. The synthesis belonged to the cosmopolitan worlds of the Hellenistic and Roman Mediterranean.</w:t>
      </w:r>
      <w:r w:rsidRPr="00242A60">
        <w:rPr>
          <w:szCs w:val="28"/>
          <w:vertAlign w:val="superscript"/>
        </w:rPr>
        <w:t>6</w:t>
      </w:r>
    </w:p>
    <w:p w14:paraId="449286DD" w14:textId="77777777" w:rsidR="009F3BA9" w:rsidRPr="00242A60" w:rsidRDefault="009F3BA9" w:rsidP="009F3BA9">
      <w:pPr>
        <w:pStyle w:val="BookBody"/>
      </w:pPr>
      <w:r w:rsidRPr="00242A60">
        <w:rPr>
          <w:szCs w:val="28"/>
        </w:rPr>
        <w:t xml:space="preserve">Greek contributions included a twelve-sign zodiac fitted to geometrical relations, planetary theories, spherical coordinates, elemental classifications, and philosophical accounts of fate, providence, soul, and cosmic sympathy. None of these independently yields astrology. Geometry can measure an angle without assigning it benefic or malefic force. Stoic sympathy can make distant correspondence conceivable without telling an interpreter how to calculate the Lot of Fortune. Astrology became a distinct </w:t>
      </w:r>
      <w:r w:rsidRPr="00242A60">
        <w:rPr>
          <w:i/>
          <w:szCs w:val="28"/>
        </w:rPr>
        <w:t>technē</w:t>
      </w:r>
      <w:r w:rsidRPr="00242A60">
        <w:rPr>
          <w:szCs w:val="28"/>
        </w:rPr>
        <w:t xml:space="preserve"> because practitioners joined such elements into rules, texts, tables, diagrams, teaching lineages, and consultations.</w:t>
      </w:r>
    </w:p>
    <w:p w14:paraId="444CA6A6" w14:textId="77777777" w:rsidR="009F3BA9" w:rsidRPr="00242A60" w:rsidRDefault="009F3BA9" w:rsidP="009F3BA9">
      <w:pPr>
        <w:pStyle w:val="BookBody"/>
      </w:pPr>
      <w:r w:rsidRPr="00242A60">
        <w:rPr>
          <w:szCs w:val="28"/>
        </w:rPr>
        <w:t>The movement from omen to nativity is therefore not simply a movement from superstition to science or from collective religion to individual psychology. It is a change in scale and technique. The older sky of signs is reorganized around a birth. Celestial recurrence becomes a grammar capable of addressing one embodied trajectory. Prediction, character, and fate can now be coordinated because the beginning is treated as the seed of a temporal whole.</w:t>
      </w:r>
    </w:p>
    <w:p w14:paraId="4BA20A64" w14:textId="77777777" w:rsidR="009F3BA9" w:rsidRPr="00242A60" w:rsidRDefault="009F3BA9" w:rsidP="009F3BA9">
      <w:pPr>
        <w:pStyle w:val="SectionHeading"/>
      </w:pPr>
      <w:r w:rsidRPr="00242A60">
        <w:rPr>
          <w:bCs/>
          <w:szCs w:val="28"/>
        </w:rPr>
        <w:t>What a Chart Is</w:t>
      </w:r>
    </w:p>
    <w:p w14:paraId="2275813C" w14:textId="77777777" w:rsidR="009F3BA9" w:rsidRPr="00242A60" w:rsidRDefault="009F3BA9" w:rsidP="009F3BA9">
      <w:pPr>
        <w:pStyle w:val="BookBody"/>
      </w:pPr>
      <w:r w:rsidRPr="00242A60">
        <w:rPr>
          <w:szCs w:val="28"/>
        </w:rPr>
        <w:t>A horoscope begins with an act of conversion. The sky is spherical, in motion, and observed from a particular location. The chart flattens selected relations into a diagram or list. The ecliptic is divided into twelve signs; planetary longitudes are placed within them; the eastern horizon supplies the ascendant or “hour-marker”; other angles and places follow. What the observer sees as a rising light becomes a numerical position. What the practitioner reads is not the appearance alone but the structure produced by calculation.</w:t>
      </w:r>
    </w:p>
    <w:p w14:paraId="10EBABA6" w14:textId="77777777" w:rsidR="009F3BA9" w:rsidRPr="00242A60" w:rsidRDefault="009F3BA9" w:rsidP="009F3BA9">
      <w:pPr>
        <w:pStyle w:val="BookBody"/>
      </w:pPr>
      <w:r w:rsidRPr="00242A60">
        <w:rPr>
          <w:szCs w:val="28"/>
        </w:rPr>
        <w:t>This conversion can create the illusion that the chart is a thing existing independently in nature. It is not. No circle divided into twelve houses floats over the delivery room. The diagram is an intellectual artifact, like the armillary sphere of the previous chapter. It selects, standardizes, and relates. Yet being made does not make it arbitrary. It answers to observable cycles, a terrestrial horizon, inherited mathematical procedures, and a disciplined vocabulary. Its artificiality is the condition of its legibility.</w:t>
      </w:r>
    </w:p>
    <w:p w14:paraId="3C24B268" w14:textId="77777777" w:rsidR="009F3BA9" w:rsidRPr="00242A60" w:rsidRDefault="009F3BA9" w:rsidP="009F3BA9">
      <w:pPr>
        <w:pStyle w:val="BookBody"/>
      </w:pPr>
      <w:r w:rsidRPr="00242A60">
        <w:rPr>
          <w:szCs w:val="28"/>
        </w:rPr>
        <w:t>The chart holds several orders together. It is astronomical because it depends upon celestial positions. It is geographical because the horizon and meridian belong to a place. It is calendrical because date and hour must be translated among systems. It is biological because a bodily birth supplies the event. It is social because someone records the time, preserves the data, requests a judgment, and interprets the result. It is theological or philosophical when its relations are understood through gods, nature, fate, providence, or sympathy.</w:t>
      </w:r>
    </w:p>
    <w:p w14:paraId="66DD14F9" w14:textId="77777777" w:rsidR="009F3BA9" w:rsidRPr="00242A60" w:rsidRDefault="009F3BA9" w:rsidP="009F3BA9">
      <w:pPr>
        <w:pStyle w:val="BookBody"/>
      </w:pPr>
      <w:r w:rsidRPr="00242A60">
        <w:rPr>
          <w:szCs w:val="28"/>
        </w:rPr>
        <w:t>This layered object resists two reductions. The first treats the chart as a machine: planets emit influences that stamp a passive infant. Some ancient accounts move toward natural causation, but the techniques include nonbodily points, geometrical relations, symbolic names, and doctrines of rulership that are not easily translated into pushes and impacts. The second treats the chart as a projection: human beings cast meanings onto indifferent lights. Projection may describe part of any interpretive practice, but it fails to explain how ancient practitioners understood their work. For them, meaning was discovered in a world already articulated.</w:t>
      </w:r>
    </w:p>
    <w:p w14:paraId="4A7A8274" w14:textId="77777777" w:rsidR="009F3BA9" w:rsidRPr="00242A60" w:rsidRDefault="009F3BA9" w:rsidP="009F3BA9">
      <w:pPr>
        <w:pStyle w:val="BookBody"/>
      </w:pPr>
      <w:r w:rsidRPr="00242A60">
        <w:rPr>
          <w:szCs w:val="28"/>
        </w:rPr>
        <w:t>A chart is best called relational. A planet has a general nature, but its judgment changes with sign, place, phase, visibility, motion, aspect, sect, and rulership. A sign has qualities, but no sign acts alone. A place governs a topic, but its condition depends on planets occupying or ruling it. A lot has no visible body, yet its calculated location becomes meaningful through its ruler and relations. Nothing important can be read as an isolated token.</w:t>
      </w:r>
    </w:p>
    <w:p w14:paraId="58EB687E" w14:textId="77777777" w:rsidR="009F3BA9" w:rsidRPr="00242A60" w:rsidRDefault="009F3BA9" w:rsidP="009F3BA9">
      <w:pPr>
        <w:pStyle w:val="BookBody"/>
      </w:pPr>
      <w:r w:rsidRPr="00242A60">
        <w:rPr>
          <w:szCs w:val="28"/>
        </w:rPr>
        <w:t>The grammar is therefore combinatory rather than lexical. Knowing that Mars is hot and dry is like knowing one word. Judgment begins when the word enters a sentence.</w:t>
      </w:r>
    </w:p>
    <w:p w14:paraId="5A148722" w14:textId="77777777" w:rsidR="009F3BA9" w:rsidRPr="00242A60" w:rsidRDefault="009F3BA9" w:rsidP="009F3BA9">
      <w:pPr>
        <w:pStyle w:val="SectionHeading"/>
      </w:pPr>
      <w:r w:rsidRPr="00242A60">
        <w:rPr>
          <w:bCs/>
          <w:szCs w:val="28"/>
        </w:rPr>
        <w:t>The Seven Wanderers</w:t>
      </w:r>
    </w:p>
    <w:p w14:paraId="609109A1" w14:textId="77777777" w:rsidR="009F3BA9" w:rsidRPr="00242A60" w:rsidRDefault="009F3BA9" w:rsidP="009F3BA9">
      <w:pPr>
        <w:pStyle w:val="BookBody"/>
      </w:pPr>
      <w:r w:rsidRPr="00242A60">
        <w:rPr>
          <w:szCs w:val="28"/>
        </w:rPr>
        <w:t>The seven traditional planets are the Sun, Moon, Saturn, Jupiter, Mars, Venus, and Mercury. “Planet” means wanderer: these lights shift their positions against the fixed stars, sometimes slowing, stopping, and appearing to reverse. Their differing speeds and appearances already make the sky qualitative. The Moon changes nightly and completes its circuit quickly; Saturn moves slowly at the remote edge of the visible planetary order; Mercury is often lost in solar light. Astrology formalizes such visible difference into natures and roles.</w:t>
      </w:r>
    </w:p>
    <w:p w14:paraId="372B3D01" w14:textId="77777777" w:rsidR="009F3BA9" w:rsidRPr="00242A60" w:rsidRDefault="009F3BA9" w:rsidP="009F3BA9">
      <w:pPr>
        <w:pStyle w:val="BookBody"/>
      </w:pPr>
      <w:r w:rsidRPr="00242A60">
        <w:rPr>
          <w:szCs w:val="28"/>
        </w:rPr>
        <w:t xml:space="preserve">Valens opens his </w:t>
      </w:r>
      <w:r w:rsidRPr="00242A60">
        <w:rPr>
          <w:i/>
          <w:szCs w:val="28"/>
        </w:rPr>
        <w:t>Anthologies</w:t>
      </w:r>
      <w:r w:rsidRPr="00242A60">
        <w:rPr>
          <w:szCs w:val="28"/>
        </w:rPr>
        <w:t xml:space="preserve"> by describing the powers of the planets. Saturn is cold, constricting, delaying, and associated with labor, age, deprivation, property, and what is hidden or enduring. Jupiter is generative, honorable, protective, and connected with rank, wealth, law, and religion. Mars is hot, cutting, violent, and active. Venus signifies desire, union, adornment, pleasure, and concord. Mercury is variable, rational, commercial, technical, and capable of joining the character of planets with which it is configured. The luminaries have their own encompassing roles: the Sun with authority, visibility, life, and action; the Moon with body, change, nurture, travel, and the flux of embodied existence.</w:t>
      </w:r>
      <w:r w:rsidRPr="00242A60">
        <w:rPr>
          <w:szCs w:val="28"/>
          <w:vertAlign w:val="superscript"/>
        </w:rPr>
        <w:t>7</w:t>
      </w:r>
    </w:p>
    <w:p w14:paraId="10D02F33" w14:textId="77777777" w:rsidR="009F3BA9" w:rsidRPr="00242A60" w:rsidRDefault="009F3BA9" w:rsidP="009F3BA9">
      <w:pPr>
        <w:pStyle w:val="BookBody"/>
      </w:pPr>
      <w:r w:rsidRPr="00242A60">
        <w:rPr>
          <w:szCs w:val="28"/>
        </w:rPr>
        <w:t>Such lists tempt the modern reader to assign each planet a fixed psychological keyword. Valens’s actual catalog is broader and rougher. Planetary natures extend across substances, occupations, bodily conditions, kinship, social standing, and events. Mars can indicate soldiers, iron, wounds, fire, courage, conflict, or sudden destruction. The common thread is not a private trait but a family of qualities expressed at several scales.</w:t>
      </w:r>
    </w:p>
    <w:p w14:paraId="1DAF7738" w14:textId="77777777" w:rsidR="009F3BA9" w:rsidRPr="00242A60" w:rsidRDefault="009F3BA9" w:rsidP="009F3BA9">
      <w:pPr>
        <w:pStyle w:val="BookBody"/>
      </w:pPr>
      <w:r w:rsidRPr="00242A60">
        <w:rPr>
          <w:szCs w:val="28"/>
        </w:rPr>
        <w:t>The distinction between benefics and malefics is equally relational. Jupiter and Venus are conventionally benefic; Saturn and Mars malefic; Mercury changes; the luminaries govern. But “benefic” does not mean morally good, nor “malefic” metaphysically evil. It names tendencies to preserve or disrupt life and advantage under ordinary conditions. A benefic can magnify excess or fail to help when weakened. A malefic can provide discipline, endurance, separation, heat, or force appropriate to a situation. Ancient authors often speak more starkly than this, yet their techniques continually modify a planet’s general category.</w:t>
      </w:r>
    </w:p>
    <w:p w14:paraId="6F7D61F4" w14:textId="77777777" w:rsidR="009F3BA9" w:rsidRPr="00242A60" w:rsidRDefault="009F3BA9" w:rsidP="009F3BA9">
      <w:pPr>
        <w:pStyle w:val="BookBody"/>
      </w:pPr>
      <w:r w:rsidRPr="00242A60">
        <w:rPr>
          <w:szCs w:val="28"/>
        </w:rPr>
        <w:t>Planetary condition turns nature into circumstance. A planet can be in its own domicile or in a place governed by another; angular or declining; visible or under the Sun’s rays; direct or retrograde; rising ahead of or after the Sun; joined to supportive or destructive witnesses. The same Mars is not equally able to act in every condition. Astrology imagines agency as situated power.</w:t>
      </w:r>
    </w:p>
    <w:p w14:paraId="3823B9D6" w14:textId="77777777" w:rsidR="009F3BA9" w:rsidRPr="00242A60" w:rsidRDefault="009F3BA9" w:rsidP="009F3BA9">
      <w:pPr>
        <w:pStyle w:val="BookBody"/>
      </w:pPr>
      <w:r w:rsidRPr="00242A60">
        <w:rPr>
          <w:szCs w:val="28"/>
        </w:rPr>
        <w:t>This is one reason the planets could be understood as gods without becoming arbitrary personalities. A divine name gathers a recognizable range of powers, while astronomical position states how that power is presently disposed. Mythic quality and mathematical location become mutually specifying. The planet is neither only a rock nor merely a story. It is a wandering, visible agent-sign within a living order.</w:t>
      </w:r>
    </w:p>
    <w:p w14:paraId="4D9D2BAC" w14:textId="77777777" w:rsidR="009F3BA9" w:rsidRPr="00242A60" w:rsidRDefault="009F3BA9" w:rsidP="009F3BA9">
      <w:pPr>
        <w:pStyle w:val="SectionHeading"/>
      </w:pPr>
      <w:r w:rsidRPr="00242A60">
        <w:rPr>
          <w:bCs/>
          <w:szCs w:val="28"/>
        </w:rPr>
        <w:t>Signs, Elements, and Seasons</w:t>
      </w:r>
    </w:p>
    <w:p w14:paraId="21A132AA" w14:textId="77777777" w:rsidR="009F3BA9" w:rsidRPr="00242A60" w:rsidRDefault="009F3BA9" w:rsidP="009F3BA9">
      <w:pPr>
        <w:pStyle w:val="BookBody"/>
      </w:pPr>
      <w:r w:rsidRPr="00242A60">
        <w:rPr>
          <w:szCs w:val="28"/>
        </w:rPr>
        <w:t>The zodiac divides the ecliptic into twelve thirty-degree signs. These signs are not identical with the visible constellations whose names they bear. In the tropical framework used by Ptolemy, their order is anchored to equinoxes and solstices: Aries begins from the vernal equinox, Cancer from the summer solstice, Libra from the autumnal equinox, and Capricorn from the winter solstice. The signs thereby coordinate planetary motion with the Sun’s annual cycle.</w:t>
      </w:r>
      <w:r w:rsidRPr="00242A60">
        <w:rPr>
          <w:szCs w:val="28"/>
          <w:vertAlign w:val="superscript"/>
        </w:rPr>
        <w:t>8</w:t>
      </w:r>
    </w:p>
    <w:p w14:paraId="40215AAE" w14:textId="77777777" w:rsidR="009F3BA9" w:rsidRPr="00242A60" w:rsidRDefault="009F3BA9" w:rsidP="009F3BA9">
      <w:pPr>
        <w:pStyle w:val="BookBody"/>
      </w:pPr>
      <w:r w:rsidRPr="00242A60">
        <w:rPr>
          <w:szCs w:val="28"/>
        </w:rPr>
        <w:t>Each sign belongs to intersecting classifications. Signs are masculine or feminine; diurnal or nocturnal; tropical, solid, or bicorporeal; quadrupedal, human, fertile, barren, voiced, mute, and so forth. The four elemental triplicities later called fire, earth, air, and water group signs by shared quality. Rulerships assign each sign a planetary domicile. Exaltations, bounds or terms, decans, and other subdivisions further differentiate the thirty degrees.</w:t>
      </w:r>
    </w:p>
    <w:p w14:paraId="5AA0A485" w14:textId="77777777" w:rsidR="009F3BA9" w:rsidRPr="00242A60" w:rsidRDefault="009F3BA9" w:rsidP="009F3BA9">
      <w:pPr>
        <w:pStyle w:val="BookBody"/>
      </w:pPr>
      <w:r w:rsidRPr="00242A60">
        <w:rPr>
          <w:szCs w:val="28"/>
        </w:rPr>
        <w:t>This multiplication of qualities is not random ornament. It solves a problem inherent in prediction. Planetary natures are too general to describe the diversity of situations. Signs locate those natures within seasonal, elemental, biological, and mythic distinctions. A hot and dry planet in a hot and dry sign does not signify the same condition as that planet in a moist or cold sign. A planet in its own domicile acts from a position of authority; in another’s domicile it depends upon a host. The celestial field becomes a political and ecological order of affinities.</w:t>
      </w:r>
    </w:p>
    <w:p w14:paraId="5FD45DF4" w14:textId="77777777" w:rsidR="009F3BA9" w:rsidRPr="00242A60" w:rsidRDefault="009F3BA9" w:rsidP="009F3BA9">
      <w:pPr>
        <w:pStyle w:val="BookBody"/>
      </w:pPr>
      <w:r w:rsidRPr="00242A60">
        <w:rPr>
          <w:szCs w:val="28"/>
        </w:rPr>
        <w:t xml:space="preserve">The vocabulary of “houses” requires precision. Ancient texts use the Greek </w:t>
      </w:r>
      <w:r w:rsidRPr="00242A60">
        <w:rPr>
          <w:i/>
          <w:szCs w:val="28"/>
        </w:rPr>
        <w:t>oikos</w:t>
      </w:r>
      <w:r w:rsidRPr="00242A60">
        <w:rPr>
          <w:szCs w:val="28"/>
        </w:rPr>
        <w:t xml:space="preserve">—house or domicile—for the signs ruled by planets: Leo is the Sun’s house, Cancer the Moon’s, Capricorn and Aquarius Saturn’s, and so on. Modern astrologers also call the twelve topical divisions from the ascendant “houses,” but ancient Greek sources often call these </w:t>
      </w:r>
      <w:r w:rsidRPr="00242A60">
        <w:rPr>
          <w:i/>
          <w:szCs w:val="28"/>
        </w:rPr>
        <w:t>topoi</w:t>
      </w:r>
      <w:r w:rsidRPr="00242A60">
        <w:rPr>
          <w:szCs w:val="28"/>
        </w:rPr>
        <w:t>, places. Confusing domiciles with places makes the technical grammar look simpler than it was.</w:t>
      </w:r>
    </w:p>
    <w:p w14:paraId="71253919" w14:textId="77777777" w:rsidR="009F3BA9" w:rsidRPr="00242A60" w:rsidRDefault="009F3BA9" w:rsidP="009F3BA9">
      <w:pPr>
        <w:pStyle w:val="BookBody"/>
      </w:pPr>
      <w:r w:rsidRPr="00242A60">
        <w:rPr>
          <w:szCs w:val="28"/>
        </w:rPr>
        <w:t>The elemental scheme also differs from modern chemical elements. Fire, air, water, and earth describe active qualities, modes of motion, transformation, sensation, and life. Hot and cold, wet and dry, light and heavy, generative and constrictive belong to the natural philosophies from which astrological descriptions draw. The sky’s divisions can therefore correspond to bodily temperaments and terrestrial processes because the same qualitative vocabulary crosses regions of one cosmos.</w:t>
      </w:r>
    </w:p>
    <w:p w14:paraId="3C0C5DA8" w14:textId="77777777" w:rsidR="009F3BA9" w:rsidRPr="00242A60" w:rsidRDefault="009F3BA9" w:rsidP="009F3BA9">
      <w:pPr>
        <w:pStyle w:val="BookBody"/>
      </w:pPr>
      <w:r w:rsidRPr="00242A60">
        <w:rPr>
          <w:szCs w:val="28"/>
        </w:rPr>
        <w:t>Yet no single ancient table should be mistaken for an eternal code. Classifications developed, overlapped, and sometimes conflicted. Barton emphasizes the composite nature of the technical corpus; later handbooks accumulate doctrines from different authorities. The grammar remained usable precisely because judgment negotiated these layers rather than applying one univocal formula.</w:t>
      </w:r>
      <w:r w:rsidRPr="00242A60">
        <w:rPr>
          <w:szCs w:val="28"/>
          <w:vertAlign w:val="superscript"/>
        </w:rPr>
        <w:t>9</w:t>
      </w:r>
    </w:p>
    <w:p w14:paraId="4171CD53" w14:textId="77777777" w:rsidR="009F3BA9" w:rsidRPr="00242A60" w:rsidRDefault="009F3BA9" w:rsidP="009F3BA9">
      <w:pPr>
        <w:pStyle w:val="SectionHeading"/>
      </w:pPr>
      <w:r w:rsidRPr="00242A60">
        <w:rPr>
          <w:bCs/>
          <w:szCs w:val="28"/>
        </w:rPr>
        <w:t>The Twelve Places</w:t>
      </w:r>
    </w:p>
    <w:p w14:paraId="45DEB415" w14:textId="77777777" w:rsidR="009F3BA9" w:rsidRPr="00242A60" w:rsidRDefault="009F3BA9" w:rsidP="009F3BA9">
      <w:pPr>
        <w:pStyle w:val="BookBody"/>
      </w:pPr>
      <w:r w:rsidRPr="00242A60">
        <w:rPr>
          <w:szCs w:val="28"/>
        </w:rPr>
        <w:t>If signs differentiate the zodiac, places differentiate a life. The first place begins from the ascendant and concerns the body, life, appearance, and manner of being. Other places are associated with resources, siblings, parents, children, illness, marriage, death, travel or god, action and rank, friends or good daimon, and confinement or bad daimon. Lists and emphases vary among authors, and some topics migrate. The pattern nevertheless makes a life spatially articulate.</w:t>
      </w:r>
      <w:r w:rsidRPr="00242A60">
        <w:rPr>
          <w:szCs w:val="28"/>
          <w:vertAlign w:val="superscript"/>
        </w:rPr>
        <w:t>10</w:t>
      </w:r>
    </w:p>
    <w:p w14:paraId="0BAF55AF" w14:textId="77777777" w:rsidR="009F3BA9" w:rsidRPr="00242A60" w:rsidRDefault="009F3BA9" w:rsidP="009F3BA9">
      <w:pPr>
        <w:pStyle w:val="BookBody"/>
      </w:pPr>
      <w:r w:rsidRPr="00242A60">
        <w:rPr>
          <w:szCs w:val="28"/>
        </w:rPr>
        <w:t xml:space="preserve">The places are not equal compartments. Four angles—the ascendant, midheaven, descendant, and lower midheaven—mark powers of emergence, culmination, setting, and hidden foundation. Places following or falling away from angles acquire different capacities. A planet near an angle is generally prominent and effective; one in a declining place may be less able to manifest. The chart thus represents not only </w:t>
      </w:r>
      <w:r w:rsidRPr="00242A60">
        <w:rPr>
          <w:i/>
          <w:szCs w:val="28"/>
        </w:rPr>
        <w:t>what</w:t>
      </w:r>
      <w:r w:rsidRPr="00242A60">
        <w:rPr>
          <w:szCs w:val="28"/>
        </w:rPr>
        <w:t xml:space="preserve"> a planet means but how strongly and where it can act.</w:t>
      </w:r>
    </w:p>
    <w:p w14:paraId="6076DC0F" w14:textId="77777777" w:rsidR="009F3BA9" w:rsidRPr="00242A60" w:rsidRDefault="009F3BA9" w:rsidP="009F3BA9">
      <w:pPr>
        <w:pStyle w:val="BookBody"/>
      </w:pPr>
      <w:r w:rsidRPr="00242A60">
        <w:rPr>
          <w:szCs w:val="28"/>
        </w:rPr>
        <w:t>The ancient place system should not be forced into one later house-division method. Surviving horoscopes and authors employ several procedures, and documentary evidence is sometimes too terse to decide which was intended. Whole-sign places, in which the entire rising sign becomes the first place, are important in Hellenistic practice, but degree-based angles and divisions also matter. The historical point is not that one modern school has recovered the single authentic method. It is that terrestrial orientation reorganizes the same zodiac into a local field.</w:t>
      </w:r>
    </w:p>
    <w:p w14:paraId="4AE52236" w14:textId="77777777" w:rsidR="009F3BA9" w:rsidRPr="00242A60" w:rsidRDefault="009F3BA9" w:rsidP="009F3BA9">
      <w:pPr>
        <w:pStyle w:val="BookBody"/>
      </w:pPr>
      <w:r w:rsidRPr="00242A60">
        <w:rPr>
          <w:szCs w:val="28"/>
        </w:rPr>
        <w:t>Greenbaum’s study of the places of Good Fortune, Good Daimon, Bad Fortune, and Bad Daimon reveals how technical names retained cultural depth. Fortune and daimon were paired in Greek, Egyptian, Roman, and philosophical contexts long before they became chart labels. The eleventh place, Good Daimon, and the fifth, Good Fortune, received favorable associations partly through their geometric relation to the ascendant and partly through these older concepts. The sixth and twelfth carried more difficult associations. A diagram of places is therefore also a map of inherited religious language.</w:t>
      </w:r>
      <w:r w:rsidRPr="00242A60">
        <w:rPr>
          <w:szCs w:val="28"/>
          <w:vertAlign w:val="superscript"/>
        </w:rPr>
        <w:t>11</w:t>
      </w:r>
    </w:p>
    <w:p w14:paraId="535E47A2" w14:textId="77777777" w:rsidR="009F3BA9" w:rsidRPr="00242A60" w:rsidRDefault="009F3BA9" w:rsidP="009F3BA9">
      <w:pPr>
        <w:pStyle w:val="BookBody"/>
      </w:pPr>
      <w:r w:rsidRPr="00242A60">
        <w:rPr>
          <w:szCs w:val="28"/>
        </w:rPr>
        <w:t>The places prevent astrology from becoming a list of traits. A planet’s meaning is topical: Venus in the seventh may speak to marriage or alliance; Mars in the tenth to action, conflict, profession, or public standing; Saturn in the fourth to land, parents, foundations, or burial. Such examples are schematic, not judgments. Rulership, condition, witnesses, sect, and the rest decide how a topic is configured. The grammar produces sentences by making power answer to place.</w:t>
      </w:r>
    </w:p>
    <w:p w14:paraId="62EEFFC5" w14:textId="77777777" w:rsidR="009F3BA9" w:rsidRPr="00242A60" w:rsidRDefault="009F3BA9" w:rsidP="009F3BA9">
      <w:pPr>
        <w:pStyle w:val="SectionHeading"/>
      </w:pPr>
      <w:r w:rsidRPr="00242A60">
        <w:rPr>
          <w:bCs/>
          <w:szCs w:val="28"/>
        </w:rPr>
        <w:t>Aspects: The Geometry of Witnessing</w:t>
      </w:r>
    </w:p>
    <w:p w14:paraId="05D71451" w14:textId="77777777" w:rsidR="009F3BA9" w:rsidRPr="00242A60" w:rsidRDefault="009F3BA9" w:rsidP="009F3BA9">
      <w:pPr>
        <w:pStyle w:val="BookBody"/>
      </w:pPr>
      <w:r w:rsidRPr="00242A60">
        <w:rPr>
          <w:szCs w:val="28"/>
        </w:rPr>
        <w:t>Planets also “see” one another through geometrical relations among zodiacal signs. Opposition joins signs across a diameter; trine divides the circle by thirds; square by quarters; sextile by sixths. Conjunction places bodies together, though ancient authors do not always classify it as an aspect in the same sense. Signs that share no recognized relation can be called averse or unable to witness one another.</w:t>
      </w:r>
    </w:p>
    <w:p w14:paraId="2733228C" w14:textId="77777777" w:rsidR="009F3BA9" w:rsidRPr="00242A60" w:rsidRDefault="009F3BA9" w:rsidP="009F3BA9">
      <w:pPr>
        <w:pStyle w:val="BookBody"/>
      </w:pPr>
      <w:r w:rsidRPr="00242A60">
        <w:rPr>
          <w:szCs w:val="28"/>
        </w:rPr>
        <w:t>The language of sight matters. An aspect is not simply an angle exerting a measurable force. Planets regard, testify, behold, or fail to see. Geometry becomes a syntax of relation. The diameter brings confrontation; the trine links signs of the same elemental triplicity; the square joins signs of the same modality but in tension; the sextile offers a weaker affinity. Later language of rays makes the relations sound more physical, but the older grammar remains simultaneously optical, juridical, and mathematical.</w:t>
      </w:r>
      <w:r w:rsidRPr="00242A60">
        <w:rPr>
          <w:szCs w:val="28"/>
          <w:vertAlign w:val="superscript"/>
        </w:rPr>
        <w:t>12</w:t>
      </w:r>
    </w:p>
    <w:p w14:paraId="6FC11465" w14:textId="77777777" w:rsidR="009F3BA9" w:rsidRPr="00242A60" w:rsidRDefault="009F3BA9" w:rsidP="009F3BA9">
      <w:pPr>
        <w:pStyle w:val="BookBody"/>
      </w:pPr>
      <w:r w:rsidRPr="00242A60">
        <w:rPr>
          <w:szCs w:val="28"/>
        </w:rPr>
        <w:t>This geometry allows quality to be relational without becoming vague. The circle fixes which signs can witness one another. Exact degrees can intensify a relation, while sign-based aspects establish its broader structure. A benefic witnessing a difficult place can assist; a malefic can injure; a ruler that cannot see its domicile may be unable to manage what belongs there. Interpretation is constrained by diagram.</w:t>
      </w:r>
    </w:p>
    <w:p w14:paraId="5D386817" w14:textId="77777777" w:rsidR="009F3BA9" w:rsidRPr="00242A60" w:rsidRDefault="009F3BA9" w:rsidP="009F3BA9">
      <w:pPr>
        <w:pStyle w:val="BookBody"/>
      </w:pPr>
      <w:r w:rsidRPr="00242A60">
        <w:rPr>
          <w:szCs w:val="28"/>
        </w:rPr>
        <w:t>The constraint does not make judgment automatic. Authors disagree over allowable distance, direction, application and separation, and the relative importance of sign and degree. The practitioner must decide which relations dominate. A chart is dense because many testimonies speak at once. The astrologer’s task resembles adjudication more than decoding: weigh witnesses, examine their condition, and determine which account of the life is coherent.</w:t>
      </w:r>
    </w:p>
    <w:p w14:paraId="57FE2EDE" w14:textId="77777777" w:rsidR="009F3BA9" w:rsidRPr="00242A60" w:rsidRDefault="009F3BA9" w:rsidP="009F3BA9">
      <w:pPr>
        <w:pStyle w:val="SectionHeading"/>
      </w:pPr>
      <w:r w:rsidRPr="00242A60">
        <w:rPr>
          <w:bCs/>
          <w:szCs w:val="28"/>
        </w:rPr>
        <w:t>Sect: Day and Night</w:t>
      </w:r>
    </w:p>
    <w:p w14:paraId="4D58E5CC" w14:textId="77777777" w:rsidR="009F3BA9" w:rsidRPr="00242A60" w:rsidRDefault="009F3BA9" w:rsidP="009F3BA9">
      <w:pPr>
        <w:pStyle w:val="BookBody"/>
      </w:pPr>
      <w:r w:rsidRPr="00242A60">
        <w:rPr>
          <w:szCs w:val="28"/>
        </w:rPr>
        <w:t>Sect divides the planetary community according to whether a nativity is diurnal or nocturnal. The Sun, Jupiter, and Saturn conventionally belong to the day sect; the Moon, Venus, and Mars to the night; Mercury’s affiliation varies with its relation to the Sun. The distinction modifies planetary behavior. Saturn’s cold and constriction are more appropriate to daylight’s warmth; Mars’s heat is moderated by night’s coolness. A planet acting within its sect is generally better situated than one acting contrary to it.</w:t>
      </w:r>
      <w:r w:rsidRPr="00242A60">
        <w:rPr>
          <w:szCs w:val="28"/>
          <w:vertAlign w:val="superscript"/>
        </w:rPr>
        <w:t>13</w:t>
      </w:r>
    </w:p>
    <w:p w14:paraId="66749335" w14:textId="77777777" w:rsidR="009F3BA9" w:rsidRPr="00242A60" w:rsidRDefault="009F3BA9" w:rsidP="009F3BA9">
      <w:pPr>
        <w:pStyle w:val="BookBody"/>
      </w:pPr>
      <w:r w:rsidRPr="00242A60">
        <w:rPr>
          <w:szCs w:val="28"/>
        </w:rPr>
        <w:t>Sect is a particularly clear example of qualitative time. The same longitude can mean differently before and after sunset. Day and night are not merely labels attached to equal units. They are environments with contrary yet complementary powers. The planetary order itself has two administrations.</w:t>
      </w:r>
    </w:p>
    <w:p w14:paraId="214038C4" w14:textId="77777777" w:rsidR="009F3BA9" w:rsidRPr="00242A60" w:rsidRDefault="009F3BA9" w:rsidP="009F3BA9">
      <w:pPr>
        <w:pStyle w:val="BookBody"/>
      </w:pPr>
      <w:r w:rsidRPr="00242A60">
        <w:rPr>
          <w:szCs w:val="28"/>
        </w:rPr>
        <w:t>The doctrine also complicates moral binaries. Saturn and Mars remain malefics, but their harms are conditioned. Jupiter and Venus remain benefics, but their aid is conditioned. A nocturnal Mars can be more constructive than a diurnal one; a diurnal Saturn more containable than a nocturnal one. No symbol acts outside temporal ecology.</w:t>
      </w:r>
    </w:p>
    <w:p w14:paraId="37CE68E2" w14:textId="77777777" w:rsidR="009F3BA9" w:rsidRPr="00242A60" w:rsidRDefault="009F3BA9" w:rsidP="009F3BA9">
      <w:pPr>
        <w:pStyle w:val="BookBody"/>
      </w:pPr>
      <w:r w:rsidRPr="00242A60">
        <w:rPr>
          <w:szCs w:val="28"/>
        </w:rPr>
        <w:t>Sect extends into calculations. Dorotheus begins major judgments from the “sect light”—the Sun by day and Moon by night—and uses its triplicity rulers to assess livelihood and support. Several traditions reverse the formulas of the Lots of Fortune and Daimon between day and night, though authorities differ. Greenbaum’s detailed comparison shows that these reversals are not decorative. They encode the relation between the luminary governing the time and the one belonging to the contrary sect.</w:t>
      </w:r>
      <w:r w:rsidRPr="00242A60">
        <w:rPr>
          <w:szCs w:val="28"/>
          <w:vertAlign w:val="superscript"/>
        </w:rPr>
        <w:t>14</w:t>
      </w:r>
    </w:p>
    <w:p w14:paraId="049A69FE" w14:textId="77777777" w:rsidR="009F3BA9" w:rsidRPr="00242A60" w:rsidRDefault="009F3BA9" w:rsidP="009F3BA9">
      <w:pPr>
        <w:pStyle w:val="BookBody"/>
      </w:pPr>
      <w:r w:rsidRPr="00242A60">
        <w:rPr>
          <w:szCs w:val="28"/>
        </w:rPr>
        <w:t>Here the chart states its central proposition with unusual clarity: birth is not an event placed on a neutral timeline. It occurs under one of two cosmic conditions, and the condition changes the intelligibility of every part.</w:t>
      </w:r>
    </w:p>
    <w:p w14:paraId="32E0D81E" w14:textId="77777777" w:rsidR="009F3BA9" w:rsidRPr="00242A60" w:rsidRDefault="009F3BA9" w:rsidP="009F3BA9">
      <w:pPr>
        <w:pStyle w:val="SectionHeading"/>
      </w:pPr>
      <w:r w:rsidRPr="00242A60">
        <w:rPr>
          <w:bCs/>
          <w:szCs w:val="28"/>
        </w:rPr>
        <w:t>Lots: Points Without Bodies</w:t>
      </w:r>
    </w:p>
    <w:p w14:paraId="76CFBC21" w14:textId="77777777" w:rsidR="009F3BA9" w:rsidRPr="00242A60" w:rsidRDefault="009F3BA9" w:rsidP="009F3BA9">
      <w:pPr>
        <w:pStyle w:val="BookBody"/>
      </w:pPr>
      <w:r w:rsidRPr="00242A60">
        <w:rPr>
          <w:szCs w:val="28"/>
        </w:rPr>
        <w:t>The lots make the qualitative logic of astrology impossible to reduce to simple astral causation. A lot is a calculated point, not a luminous body. The best known, Fortune and Daimon, are derived from the angular distance between the Sun and Moon projected from the ascendant. In common versions of the doctrine, the order of the luminaries reverses between day and night. Different authors preserve variations, and Neugebauer and Van Hoesen warn that surviving horoscopes do not always make the intended formula certain.</w:t>
      </w:r>
      <w:r w:rsidRPr="00242A60">
        <w:rPr>
          <w:szCs w:val="28"/>
          <w:vertAlign w:val="superscript"/>
        </w:rPr>
        <w:t>15</w:t>
      </w:r>
    </w:p>
    <w:p w14:paraId="1A7137E6" w14:textId="77777777" w:rsidR="009F3BA9" w:rsidRPr="00242A60" w:rsidRDefault="009F3BA9" w:rsidP="009F3BA9">
      <w:pPr>
        <w:pStyle w:val="BookBody"/>
      </w:pPr>
      <w:r w:rsidRPr="00242A60">
        <w:rPr>
          <w:szCs w:val="28"/>
        </w:rPr>
        <w:t>Because a lot is invisible, it cannot irradiate the native in the same way a planet might be imagined to do. Its significance belongs to relation. The ascendant provides the local bodily beginning; the luminaries provide the great temporal opposition of day and night; the interval between them is translated into a new zodiacal position. The calculated point then acquires a sign, a ruler, a place, and witnesses. A relation becomes locatable.</w:t>
      </w:r>
    </w:p>
    <w:p w14:paraId="047A3A6A" w14:textId="77777777" w:rsidR="009F3BA9" w:rsidRPr="00242A60" w:rsidRDefault="009F3BA9" w:rsidP="009F3BA9">
      <w:pPr>
        <w:pStyle w:val="BookBody"/>
      </w:pPr>
      <w:r w:rsidRPr="00242A60">
        <w:rPr>
          <w:szCs w:val="28"/>
        </w:rPr>
        <w:t xml:space="preserve">Fortune is often associated with body, material circumstances, livelihood, accident, and what happens to a person. Daimon or Spirit is associated with action, intention, reputation, occupation, and what a person does. The distinction is powerful, but Greenbaum demonstrates that it is neither uniform nor equivalent to passive body versus free mind. Both lots can bear upon life, status, and timing. Their ancient names invoke </w:t>
      </w:r>
      <w:r w:rsidRPr="00242A60">
        <w:rPr>
          <w:i/>
          <w:szCs w:val="28"/>
        </w:rPr>
        <w:t>tychē</w:t>
      </w:r>
      <w:r w:rsidRPr="00242A60">
        <w:rPr>
          <w:szCs w:val="28"/>
        </w:rPr>
        <w:t xml:space="preserve">, the fortune that befalls, and </w:t>
      </w:r>
      <w:r w:rsidRPr="00242A60">
        <w:rPr>
          <w:i/>
          <w:szCs w:val="28"/>
        </w:rPr>
        <w:t>daimōn</w:t>
      </w:r>
      <w:r w:rsidRPr="00242A60">
        <w:rPr>
          <w:szCs w:val="28"/>
        </w:rPr>
        <w:t>, the divine or intermediary power connected with a person’s allotment. Each concept already binds agency to a field not wholly chosen.</w:t>
      </w:r>
      <w:r w:rsidRPr="00242A60">
        <w:rPr>
          <w:szCs w:val="28"/>
          <w:vertAlign w:val="superscript"/>
        </w:rPr>
        <w:t>16</w:t>
      </w:r>
    </w:p>
    <w:p w14:paraId="601FAF66" w14:textId="77777777" w:rsidR="009F3BA9" w:rsidRPr="00242A60" w:rsidRDefault="009F3BA9" w:rsidP="009F3BA9">
      <w:pPr>
        <w:pStyle w:val="BookBody"/>
      </w:pPr>
      <w:r w:rsidRPr="00242A60">
        <w:rPr>
          <w:szCs w:val="28"/>
        </w:rPr>
        <w:t>The lots therefore expose a middle region between cause and symbol. Their meanings are conventional in the strong sense: established by a tradition of rules. But “conventional” need not mean arbitrary. The formulas express a cosmological analogy among horizon, luminaries, sect, and the division of experience into receiving and acting. Whether the analogy is true is a further question. Its form is unmistakable.</w:t>
      </w:r>
    </w:p>
    <w:p w14:paraId="3A98D36B" w14:textId="77777777" w:rsidR="009F3BA9" w:rsidRPr="00242A60" w:rsidRDefault="009F3BA9" w:rsidP="009F3BA9">
      <w:pPr>
        <w:pStyle w:val="BookBody"/>
      </w:pPr>
      <w:r w:rsidRPr="00242A60">
        <w:rPr>
          <w:szCs w:val="28"/>
        </w:rPr>
        <w:t>Valens makes the Lot of Fortune technically central. It can become a derived ascendant, reorganizing places from Fortune and helping to assess body, livelihood, adversity, and periods of life. The procedure does not replace the natal ascendant; it creates a second perspective within the same chart. A person can be mapped from bodily emergence and from fortune’s allotment. Ancient astrology is not content with one center.</w:t>
      </w:r>
    </w:p>
    <w:p w14:paraId="13F370E9" w14:textId="77777777" w:rsidR="009F3BA9" w:rsidRPr="00242A60" w:rsidRDefault="009F3BA9" w:rsidP="009F3BA9">
      <w:pPr>
        <w:pStyle w:val="BookBody"/>
      </w:pPr>
      <w:r w:rsidRPr="00242A60">
        <w:rPr>
          <w:szCs w:val="28"/>
        </w:rPr>
        <w:t>This plurality protects the chart from identifying any single factor with the native. Sun, ascendant, Fortune, Daimon, Moon, rulers, places, and time-lords each organize a different relation. The whole judgment arises among them. The horoscope does not contain a secret dot where the true self is hidden.</w:t>
      </w:r>
    </w:p>
    <w:p w14:paraId="7D3F6798" w14:textId="77777777" w:rsidR="009F3BA9" w:rsidRPr="00242A60" w:rsidRDefault="009F3BA9" w:rsidP="009F3BA9">
      <w:pPr>
        <w:pStyle w:val="SectionHeading"/>
      </w:pPr>
      <w:r w:rsidRPr="00242A60">
        <w:rPr>
          <w:bCs/>
          <w:szCs w:val="28"/>
        </w:rPr>
        <w:t>Ptolemy’s Natural Astrology</w:t>
      </w:r>
    </w:p>
    <w:p w14:paraId="047620F7" w14:textId="77777777" w:rsidR="009F3BA9" w:rsidRPr="00242A60" w:rsidRDefault="009F3BA9" w:rsidP="009F3BA9">
      <w:pPr>
        <w:pStyle w:val="BookBody"/>
      </w:pPr>
      <w:r w:rsidRPr="00242A60">
        <w:rPr>
          <w:szCs w:val="28"/>
        </w:rPr>
        <w:t xml:space="preserve">Ptolemy’s </w:t>
      </w:r>
      <w:r w:rsidRPr="00242A60">
        <w:rPr>
          <w:i/>
          <w:szCs w:val="28"/>
        </w:rPr>
        <w:t>Tetrabiblos</w:t>
      </w:r>
      <w:r w:rsidRPr="00242A60">
        <w:rPr>
          <w:szCs w:val="28"/>
        </w:rPr>
        <w:t xml:space="preserve"> offers antiquity’s most systematic defense of astrology as a form of natural knowledge. Its first book asks whether prediction from the heavens is possible and useful, describes planetary and zodiacal qualities, and presents the art as a reasoned inquiry continuous with astronomy. The supplied J. M. Ashmand translation is historically important but dated and mediated through the paraphrase associated with Proclus. It can orient the argument, while claims should be controlled by book and chapter rather than trusted to Ashmand’s English at every turn.</w:t>
      </w:r>
      <w:r w:rsidRPr="00242A60">
        <w:rPr>
          <w:szCs w:val="28"/>
          <w:vertAlign w:val="superscript"/>
        </w:rPr>
        <w:t>17</w:t>
      </w:r>
    </w:p>
    <w:p w14:paraId="42DB6930" w14:textId="77777777" w:rsidR="009F3BA9" w:rsidRPr="00242A60" w:rsidRDefault="009F3BA9" w:rsidP="009F3BA9">
      <w:pPr>
        <w:pStyle w:val="BookBody"/>
      </w:pPr>
      <w:r w:rsidRPr="00242A60">
        <w:rPr>
          <w:szCs w:val="28"/>
        </w:rPr>
        <w:t>Ptolemy begins from effects no ancient reader would find exotic. The Sun brings seasonal heat; the Moon affects moisture and living bodies; stars and winds mark changes in weather. If the greatest celestial bodies plainly alter terrestrial conditions, it is not irrational, he argues, to investigate the more complex effects of their configurations. Astrology becomes an extension of environmental medicine and meteorology. Planetary qualities are described through hot, cold, wet, and dry, and zodiacal signs through their relation to seasons and winds.</w:t>
      </w:r>
      <w:r w:rsidRPr="00242A60">
        <w:rPr>
          <w:szCs w:val="28"/>
          <w:vertAlign w:val="superscript"/>
        </w:rPr>
        <w:t>18</w:t>
      </w:r>
    </w:p>
    <w:p w14:paraId="765F3EE2" w14:textId="77777777" w:rsidR="009F3BA9" w:rsidRPr="00242A60" w:rsidRDefault="009F3BA9" w:rsidP="009F3BA9">
      <w:pPr>
        <w:pStyle w:val="BookBody"/>
      </w:pPr>
      <w:r w:rsidRPr="00242A60">
        <w:rPr>
          <w:szCs w:val="28"/>
        </w:rPr>
        <w:t>This argument differs from saying that every prediction is certain. Ptolemy repeatedly acknowledges the complexity of matter, the mixture of causes, the limitations of practitioners, and the force of general conditions such as country, nation, and upbringing. A seed unfolds differently in different environments; a physician’s prognosis can be useful without being infallible. The astrologer likewise judges tendencies within a field of cooperating and opposing causes.</w:t>
      </w:r>
    </w:p>
    <w:p w14:paraId="3EFC6C3F" w14:textId="77777777" w:rsidR="009F3BA9" w:rsidRPr="00242A60" w:rsidRDefault="009F3BA9" w:rsidP="009F3BA9">
      <w:pPr>
        <w:pStyle w:val="BookBody"/>
      </w:pPr>
      <w:r w:rsidRPr="00242A60">
        <w:rPr>
          <w:szCs w:val="28"/>
        </w:rPr>
        <w:t>The analogy to medicine is ethically important. Foreknowledge can prepare a person, reduce shock, encourage remedies, or help one meet a period appropriately. Ptolemy does not promise exemption from nature. Knowledge becomes one cause among others. Even when nothing can be prevented, the mind’s posture toward necessity can change.</w:t>
      </w:r>
    </w:p>
    <w:p w14:paraId="74D1885F" w14:textId="77777777" w:rsidR="009F3BA9" w:rsidRPr="00242A60" w:rsidRDefault="009F3BA9" w:rsidP="009F3BA9">
      <w:pPr>
        <w:pStyle w:val="BookBody"/>
      </w:pPr>
      <w:r w:rsidRPr="00242A60">
        <w:rPr>
          <w:szCs w:val="28"/>
        </w:rPr>
        <w:t>His second book treats large regions, weather, eclipses, and collective events before the third and fourth turn to nativities. This sequence resists individualism. A person is born within broader ethnic, climatic, political, and historical conditions that a nativity cannot cancel. Particular judgment must be subordinated to what is more general. The chart is local, not sovereign.</w:t>
      </w:r>
    </w:p>
    <w:p w14:paraId="25699C66" w14:textId="77777777" w:rsidR="009F3BA9" w:rsidRPr="00242A60" w:rsidRDefault="009F3BA9" w:rsidP="009F3BA9">
      <w:pPr>
        <w:pStyle w:val="BookBody"/>
      </w:pPr>
      <w:r w:rsidRPr="00242A60">
        <w:rPr>
          <w:szCs w:val="28"/>
        </w:rPr>
        <w:t>Ptolemy also distinguishes bodily and psychic topics. Book III moves from parents, siblings, sex, length of life, bodily form, and disease to qualities and diseases of soul; Book IV turns to material fortune, rank, action, marriage, children, friends, travel, death, and the divisions of time. The arrangement does not separate an immaterial psyche from an external machine. Body and soul possess different significators and remain affected by education and custom. Astrological nature is plastic enough to receive formation.</w:t>
      </w:r>
    </w:p>
    <w:p w14:paraId="5FA1C082" w14:textId="77777777" w:rsidR="009F3BA9" w:rsidRPr="00242A60" w:rsidRDefault="009F3BA9" w:rsidP="009F3BA9">
      <w:pPr>
        <w:pStyle w:val="BookBody"/>
      </w:pPr>
      <w:r w:rsidRPr="00242A60">
        <w:rPr>
          <w:szCs w:val="28"/>
        </w:rPr>
        <w:t xml:space="preserve">Ptolemy’s causal account should not be imposed on the entire tradition. The </w:t>
      </w:r>
      <w:r w:rsidRPr="00242A60">
        <w:rPr>
          <w:i/>
          <w:szCs w:val="28"/>
        </w:rPr>
        <w:t>Tetrabiblos</w:t>
      </w:r>
      <w:r w:rsidRPr="00242A60">
        <w:rPr>
          <w:szCs w:val="28"/>
        </w:rPr>
        <w:t xml:space="preserve"> is a selective reconstruction. It minimizes or omits techniques important to other astrologers, avoids some appeals to revelation, and seeks philosophical respectability through Aristotelian qualities and disciplined probability. Barton treats it as one explanation of influence among several, not the hidden theory beneath every horoscope.</w:t>
      </w:r>
      <w:r w:rsidRPr="00242A60">
        <w:rPr>
          <w:szCs w:val="28"/>
          <w:vertAlign w:val="superscript"/>
        </w:rPr>
        <w:t>19</w:t>
      </w:r>
    </w:p>
    <w:p w14:paraId="5B6311B1" w14:textId="77777777" w:rsidR="009F3BA9" w:rsidRPr="00242A60" w:rsidRDefault="009F3BA9" w:rsidP="009F3BA9">
      <w:pPr>
        <w:pStyle w:val="BookBody"/>
      </w:pPr>
      <w:r w:rsidRPr="00242A60">
        <w:rPr>
          <w:szCs w:val="28"/>
        </w:rPr>
        <w:t>Its importance lies precisely in this selectivity. Ptolemy shows that a qualitative heaven need not oppose rational criticism. He attempts to distinguish warranted from extravagant claims, general conditions from particular ones, and natural tendency from absolute decree. His world remains alive with qualities, but interpretation must answer to causation, evidence, and limits.</w:t>
      </w:r>
    </w:p>
    <w:p w14:paraId="02AAA4AC" w14:textId="77777777" w:rsidR="009F3BA9" w:rsidRPr="00242A60" w:rsidRDefault="009F3BA9" w:rsidP="009F3BA9">
      <w:pPr>
        <w:pStyle w:val="SectionHeading"/>
      </w:pPr>
      <w:r w:rsidRPr="00242A60">
        <w:rPr>
          <w:bCs/>
          <w:szCs w:val="28"/>
        </w:rPr>
        <w:t>Valens and the Weight of Fate</w:t>
      </w:r>
    </w:p>
    <w:p w14:paraId="677C0724" w14:textId="77777777" w:rsidR="009F3BA9" w:rsidRPr="00242A60" w:rsidRDefault="009F3BA9" w:rsidP="009F3BA9">
      <w:pPr>
        <w:pStyle w:val="BookBody"/>
      </w:pPr>
      <w:r w:rsidRPr="00242A60">
        <w:rPr>
          <w:szCs w:val="28"/>
        </w:rPr>
        <w:t xml:space="preserve">Vettius Valens writes from another region of the astrological world. Born in Antioch and active in the second century CE, he compiled nine books of </w:t>
      </w:r>
      <w:r w:rsidRPr="00242A60">
        <w:rPr>
          <w:i/>
          <w:szCs w:val="28"/>
        </w:rPr>
        <w:t>Anthologies</w:t>
      </w:r>
      <w:r w:rsidRPr="00242A60">
        <w:rPr>
          <w:szCs w:val="28"/>
        </w:rPr>
        <w:t xml:space="preserve"> that preserve techniques, earlier authorities, example charts, and reflections on fate. The supplied English </w:t>
      </w:r>
      <w:r w:rsidRPr="00242A60">
        <w:rPr>
          <w:i/>
          <w:szCs w:val="28"/>
        </w:rPr>
        <w:t>Anthology</w:t>
      </w:r>
      <w:r w:rsidRPr="00242A60">
        <w:rPr>
          <w:szCs w:val="28"/>
        </w:rPr>
        <w:t xml:space="preserve"> is Mark T. Riley’s complete translation; David Pingree’s Greek edition provides the textual control. Together they are strong primary sources, not unreliable substitutes for “real” Valens.</w:t>
      </w:r>
      <w:r w:rsidRPr="00242A60">
        <w:rPr>
          <w:szCs w:val="28"/>
          <w:vertAlign w:val="superscript"/>
        </w:rPr>
        <w:t>20</w:t>
      </w:r>
    </w:p>
    <w:p w14:paraId="1C2AD3D0" w14:textId="77777777" w:rsidR="009F3BA9" w:rsidRPr="00242A60" w:rsidRDefault="009F3BA9" w:rsidP="009F3BA9">
      <w:pPr>
        <w:pStyle w:val="BookBody"/>
      </w:pPr>
      <w:r w:rsidRPr="00242A60">
        <w:rPr>
          <w:szCs w:val="28"/>
        </w:rPr>
        <w:t>Valens is less interested than Ptolemy in presenting astrology as a purified branch of natural philosophy. His text feels like a workshop, archive, and spiritual discipline. Rules accumulate, authorities conflict, calculations are tested against lives, and one method corrects another. The reader encounters planetary periods, distributions, lots, rising times, length-of-life procedures, annual techniques, and charts used to investigate rank, illness, exile, family, danger, and death.</w:t>
      </w:r>
    </w:p>
    <w:p w14:paraId="320C93FA" w14:textId="77777777" w:rsidR="009F3BA9" w:rsidRPr="00242A60" w:rsidRDefault="009F3BA9" w:rsidP="009F3BA9">
      <w:pPr>
        <w:pStyle w:val="BookBody"/>
      </w:pPr>
      <w:r w:rsidRPr="00242A60">
        <w:rPr>
          <w:szCs w:val="28"/>
        </w:rPr>
        <w:t>This technical density matters philosophically. Fate is not a general belief attached to the art from outside. It becomes a temporal pattern that must be calculated. A nativity contains potentialities whose times of manifestation differ. Planets govern years or intervals; signs advance; rulers hand periods to successors; dormant configurations become active. Birth is a beginning whose qualitative order unfolds rather than a static description completed at the first breath.</w:t>
      </w:r>
    </w:p>
    <w:p w14:paraId="2795A740" w14:textId="77777777" w:rsidR="009F3BA9" w:rsidRPr="00242A60" w:rsidRDefault="009F3BA9" w:rsidP="009F3BA9">
      <w:pPr>
        <w:pStyle w:val="BookBody"/>
      </w:pPr>
      <w:r w:rsidRPr="00242A60">
        <w:rPr>
          <w:szCs w:val="28"/>
        </w:rPr>
        <w:t>Valens can speak harshly of necessity. Human ignorance mistakes temporary fortune for secure possession, while the astrologer studies a fate that cannot simply be wished away. Yet Greenbaum’s reading complicates the image of a grim determinist. Valens also invokes providence and daimon, treats astrology as a gift that can steady the soul, and presents knowledge as a form of liberation from astonishment and false hope. The student does not escape allotment; he learns to inhabit it without servility to appearances.</w:t>
      </w:r>
      <w:r w:rsidRPr="00242A60">
        <w:rPr>
          <w:szCs w:val="28"/>
          <w:vertAlign w:val="superscript"/>
        </w:rPr>
        <w:t>21</w:t>
      </w:r>
    </w:p>
    <w:p w14:paraId="333E1C64" w14:textId="77777777" w:rsidR="009F3BA9" w:rsidRPr="00242A60" w:rsidRDefault="009F3BA9" w:rsidP="009F3BA9">
      <w:pPr>
        <w:pStyle w:val="BookBody"/>
      </w:pPr>
      <w:r w:rsidRPr="00242A60">
        <w:rPr>
          <w:szCs w:val="28"/>
        </w:rPr>
        <w:t>The example charts are especially revealing. Valens does not read one placement and announce a personality. He combines multiple testimonies, often introducing a chart to prove a timing method or resolve a contradiction. A planet can promise one thing by nature, deny it by condition, and deliver it only under a later chronocrator. Judgment is temporal adjudication.</w:t>
      </w:r>
    </w:p>
    <w:p w14:paraId="70D3EF82" w14:textId="77777777" w:rsidR="009F3BA9" w:rsidRPr="00242A60" w:rsidRDefault="009F3BA9" w:rsidP="009F3BA9">
      <w:pPr>
        <w:pStyle w:val="BookBody"/>
      </w:pPr>
      <w:r w:rsidRPr="00242A60">
        <w:rPr>
          <w:szCs w:val="28"/>
        </w:rPr>
        <w:t>His practice also shows why “prediction” and “character” cannot be cleanly separated. A disposition becomes visible through acts and events; circumstances train or deform character; periods bring powers into exercise. The native’s life is a history, not a bundle of traits. Astrology claims to read the patterned relation between what one is given, what one does, and what arrives.</w:t>
      </w:r>
    </w:p>
    <w:p w14:paraId="0D983D80" w14:textId="77777777" w:rsidR="009F3BA9" w:rsidRPr="00242A60" w:rsidRDefault="009F3BA9" w:rsidP="009F3BA9">
      <w:pPr>
        <w:pStyle w:val="BookBody"/>
      </w:pPr>
      <w:r w:rsidRPr="00242A60">
        <w:rPr>
          <w:szCs w:val="28"/>
        </w:rPr>
        <w:t>The severity of Valens should not be domesticated. Some predictions reduce lives to rank, fertility, bodily integrity, or violent endings; they reflect the inequalities and vulnerabilities of the Roman world. But neither should his fatalism be converted into crude mechanism. His cosmos is ordered through allotment, providence, divine powers, mathematical cycles, and interpretive labor. Fate is legible because the whole is differentiated.</w:t>
      </w:r>
    </w:p>
    <w:p w14:paraId="247C00F0" w14:textId="77777777" w:rsidR="009F3BA9" w:rsidRPr="00242A60" w:rsidRDefault="009F3BA9" w:rsidP="009F3BA9">
      <w:pPr>
        <w:pStyle w:val="SectionHeading"/>
      </w:pPr>
      <w:r w:rsidRPr="00242A60">
        <w:rPr>
          <w:bCs/>
          <w:szCs w:val="28"/>
        </w:rPr>
        <w:t>Dorotheus and the Conditional Sentence</w:t>
      </w:r>
    </w:p>
    <w:p w14:paraId="443CBBD2" w14:textId="77777777" w:rsidR="009F3BA9" w:rsidRPr="00242A60" w:rsidRDefault="009F3BA9" w:rsidP="009F3BA9">
      <w:pPr>
        <w:pStyle w:val="BookBody"/>
      </w:pPr>
      <w:r w:rsidRPr="00242A60">
        <w:rPr>
          <w:szCs w:val="28"/>
        </w:rPr>
        <w:t xml:space="preserve">Dorotheus of Sidon, probably active in the late first or early second century CE, represents astrology as portable practical instruction. His original Greek poem survives mainly through a Middle Persian and Arabic line of transmission, especially the Arabic version associated with ʿUmar al-Tabari, along with Greek and Latin excerpts. Benjamin Dykes’s supplied </w:t>
      </w:r>
      <w:r w:rsidRPr="00242A60">
        <w:rPr>
          <w:i/>
          <w:szCs w:val="28"/>
        </w:rPr>
        <w:t>Carmen Astrologicum</w:t>
      </w:r>
      <w:r w:rsidRPr="00242A60">
        <w:rPr>
          <w:szCs w:val="28"/>
        </w:rPr>
        <w:t xml:space="preserve"> makes this composite transmission accessible and openly discusses its reconstructions. It is useful, but no reader should mistake it for an untouched Greek original.</w:t>
      </w:r>
      <w:r w:rsidRPr="00242A60">
        <w:rPr>
          <w:szCs w:val="28"/>
          <w:vertAlign w:val="superscript"/>
        </w:rPr>
        <w:t>22</w:t>
      </w:r>
    </w:p>
    <w:p w14:paraId="68FE4FD0" w14:textId="77777777" w:rsidR="009F3BA9" w:rsidRPr="00242A60" w:rsidRDefault="009F3BA9" w:rsidP="009F3BA9">
      <w:pPr>
        <w:pStyle w:val="BookBody"/>
      </w:pPr>
      <w:r w:rsidRPr="00242A60">
        <w:rPr>
          <w:szCs w:val="28"/>
        </w:rPr>
        <w:t xml:space="preserve">The </w:t>
      </w:r>
      <w:r w:rsidRPr="00242A60">
        <w:rPr>
          <w:i/>
          <w:szCs w:val="28"/>
        </w:rPr>
        <w:t>Carmen</w:t>
      </w:r>
      <w:r w:rsidRPr="00242A60">
        <w:rPr>
          <w:szCs w:val="28"/>
        </w:rPr>
        <w:t xml:space="preserve"> ranges across upbringing, livelihood, parents, siblings, marriage, children, illness, travel, imprisonment, contests, and elections. Its characteristic form is conditional: if a significator is in a certain place, witnessed by a particular ruler, while another condition holds, judge accordingly; if the relation is reversed or corrupted, modify the result. The syntax of the prose mirrors the syntax of the chart.</w:t>
      </w:r>
    </w:p>
    <w:p w14:paraId="7F48C74F" w14:textId="77777777" w:rsidR="009F3BA9" w:rsidRPr="00242A60" w:rsidRDefault="009F3BA9" w:rsidP="009F3BA9">
      <w:pPr>
        <w:pStyle w:val="BookBody"/>
      </w:pPr>
      <w:r w:rsidRPr="00242A60">
        <w:rPr>
          <w:szCs w:val="28"/>
        </w:rPr>
        <w:t>Dorotheus’s use of triplicity rulers illustrates the point. The sect light is examined through the rulers of its elemental triplicity to assess support and livelihood across portions of life. Angularity, aspect, and planetary condition alter whether promised goods can be sustained. The doctrine does not treat “fire signs” as a personality type. Elemental affinity organizes rulers whose changing circumstances describe material and social support.</w:t>
      </w:r>
      <w:r w:rsidRPr="00242A60">
        <w:rPr>
          <w:szCs w:val="28"/>
          <w:vertAlign w:val="superscript"/>
        </w:rPr>
        <w:t>23</w:t>
      </w:r>
    </w:p>
    <w:p w14:paraId="26131F5B" w14:textId="77777777" w:rsidR="009F3BA9" w:rsidRPr="00242A60" w:rsidRDefault="009F3BA9" w:rsidP="009F3BA9">
      <w:pPr>
        <w:pStyle w:val="BookBody"/>
      </w:pPr>
      <w:r w:rsidRPr="00242A60">
        <w:rPr>
          <w:szCs w:val="28"/>
        </w:rPr>
        <w:t xml:space="preserve">His text also reveals astrology’s proximity to decision. Natal judgment asks what a birth has received; electional astrology asks when to begin an act; interrogational material asks about a question. The same qualitative time can be read retrospectively, prognostically, or strategically. A moment is not good in itself. It is fitting or dangerous </w:t>
      </w:r>
      <w:r w:rsidRPr="00242A60">
        <w:rPr>
          <w:i/>
          <w:szCs w:val="28"/>
        </w:rPr>
        <w:t>for</w:t>
      </w:r>
      <w:r w:rsidRPr="00242A60">
        <w:rPr>
          <w:szCs w:val="28"/>
        </w:rPr>
        <w:t xml:space="preserve"> a kind of action under specific relations.</w:t>
      </w:r>
    </w:p>
    <w:p w14:paraId="46A6B110" w14:textId="77777777" w:rsidR="009F3BA9" w:rsidRPr="00242A60" w:rsidRDefault="009F3BA9" w:rsidP="009F3BA9">
      <w:pPr>
        <w:pStyle w:val="SectionHeading"/>
      </w:pPr>
      <w:r w:rsidRPr="00242A60">
        <w:rPr>
          <w:bCs/>
          <w:szCs w:val="28"/>
        </w:rPr>
        <w:t>Manilius and the Poem of Fate</w:t>
      </w:r>
    </w:p>
    <w:p w14:paraId="03E385D6" w14:textId="77777777" w:rsidR="009F3BA9" w:rsidRPr="00242A60" w:rsidRDefault="009F3BA9" w:rsidP="009F3BA9">
      <w:pPr>
        <w:pStyle w:val="BookBody"/>
      </w:pPr>
      <w:r w:rsidRPr="00242A60">
        <w:rPr>
          <w:szCs w:val="28"/>
        </w:rPr>
        <w:t xml:space="preserve">Manilius’s </w:t>
      </w:r>
      <w:r w:rsidRPr="00242A60">
        <w:rPr>
          <w:i/>
          <w:szCs w:val="28"/>
        </w:rPr>
        <w:t>Astronomica</w:t>
      </w:r>
      <w:r w:rsidRPr="00242A60">
        <w:rPr>
          <w:szCs w:val="28"/>
        </w:rPr>
        <w:t>, composed in Latin verse in the early Roman Empire, gives astrology a cosmic voice rather than a practitioner’s bench. The poem celebrates a rational heaven whose constellations, signs, aspects, places, and lots reveal the governance of fate. Its literary form matters. The reader is invited not only to calculate but to ascend intellectually, to see scattered events gathered into order.</w:t>
      </w:r>
    </w:p>
    <w:p w14:paraId="4A92201C" w14:textId="77777777" w:rsidR="009F3BA9" w:rsidRPr="00242A60" w:rsidRDefault="009F3BA9" w:rsidP="009F3BA9">
      <w:pPr>
        <w:pStyle w:val="BookBody"/>
      </w:pPr>
      <w:r w:rsidRPr="00242A60">
        <w:rPr>
          <w:szCs w:val="28"/>
        </w:rPr>
        <w:t>The famous declaration in Book IV that fate rules the world and that each thing’s end depends upon its beginning condenses natal logic. A beginning is not an arbitrary first instant. It contains a law of development. The claim echoes Stoic causal order, Roman ideas of destiny, and the technical premise that birth can disclose the shape of a life.</w:t>
      </w:r>
      <w:r w:rsidRPr="00242A60">
        <w:rPr>
          <w:szCs w:val="28"/>
          <w:vertAlign w:val="superscript"/>
        </w:rPr>
        <w:t>24</w:t>
      </w:r>
    </w:p>
    <w:p w14:paraId="62E6A2F1" w14:textId="77777777" w:rsidR="009F3BA9" w:rsidRPr="00242A60" w:rsidRDefault="009F3BA9" w:rsidP="009F3BA9">
      <w:pPr>
        <w:pStyle w:val="BookBody"/>
      </w:pPr>
      <w:r w:rsidRPr="00242A60">
        <w:rPr>
          <w:szCs w:val="28"/>
        </w:rPr>
        <w:t>Yet Manilius is not a transparent handbook. His system sometimes differs from those of Ptolemy, Valens, and Dorotheus; parts of the text are difficult or lost; poetic symmetry can govern presentation. Greenbaum’s appendix on the fifth and eleventh places shows how Manilius’s account illuminates Good Fortune and Good Daimon while also preserving distinctive arrangements. He should therefore testify to the imaginative and philosophical world of astrology, not be forced to arbitrate every technical rule.</w:t>
      </w:r>
      <w:r w:rsidRPr="00242A60">
        <w:rPr>
          <w:szCs w:val="28"/>
          <w:vertAlign w:val="superscript"/>
        </w:rPr>
        <w:t>25</w:t>
      </w:r>
    </w:p>
    <w:p w14:paraId="4505F069" w14:textId="77777777" w:rsidR="009F3BA9" w:rsidRPr="00242A60" w:rsidRDefault="009F3BA9" w:rsidP="009F3BA9">
      <w:pPr>
        <w:pStyle w:val="BookBody"/>
      </w:pPr>
      <w:r w:rsidRPr="00242A60">
        <w:rPr>
          <w:szCs w:val="28"/>
        </w:rPr>
        <w:t>The poem makes explicit what the papyrus leaves tacit. To cast a horoscope is to presume that human and celestial orders are commensurable. The mind can read fate because it is born from the same rational cosmos it studies. Knowledge is a form of kinship.</w:t>
      </w:r>
    </w:p>
    <w:p w14:paraId="0FE4C576" w14:textId="77777777" w:rsidR="009F3BA9" w:rsidRPr="00242A60" w:rsidRDefault="009F3BA9" w:rsidP="009F3BA9">
      <w:pPr>
        <w:pStyle w:val="SectionHeading"/>
      </w:pPr>
      <w:r w:rsidRPr="00242A60">
        <w:rPr>
          <w:bCs/>
          <w:szCs w:val="28"/>
        </w:rPr>
        <w:t>Time Lords and the Texture of a Life</w:t>
      </w:r>
    </w:p>
    <w:p w14:paraId="5678071F" w14:textId="77777777" w:rsidR="009F3BA9" w:rsidRPr="00242A60" w:rsidRDefault="009F3BA9" w:rsidP="009F3BA9">
      <w:pPr>
        <w:pStyle w:val="BookBody"/>
      </w:pPr>
      <w:r w:rsidRPr="00242A60">
        <w:rPr>
          <w:szCs w:val="28"/>
        </w:rPr>
        <w:t xml:space="preserve">Modern clock time can represent every hour as formally equivalent. Ancient astrology works with measured units but fills them with changing governance. Planets become </w:t>
      </w:r>
      <w:r w:rsidRPr="00242A60">
        <w:rPr>
          <w:i/>
          <w:szCs w:val="28"/>
        </w:rPr>
        <w:t>chronocrators</w:t>
      </w:r>
      <w:r w:rsidRPr="00242A60">
        <w:rPr>
          <w:szCs w:val="28"/>
        </w:rPr>
        <w:t>, lords of time. A period can belong to Saturn, Jupiter, Mars, or another ruler; a year can activate a natal place; a distribution can carry significance from one bound to the next; a solar return can restate the natal promise under a new sky. Authors disagree over methods, but the shared premise is that time has phases.</w:t>
      </w:r>
      <w:r w:rsidRPr="00242A60">
        <w:rPr>
          <w:szCs w:val="28"/>
          <w:vertAlign w:val="superscript"/>
        </w:rPr>
        <w:t>26</w:t>
      </w:r>
    </w:p>
    <w:p w14:paraId="55B6267F" w14:textId="77777777" w:rsidR="009F3BA9" w:rsidRPr="00242A60" w:rsidRDefault="009F3BA9" w:rsidP="009F3BA9">
      <w:pPr>
        <w:pStyle w:val="BookBody"/>
      </w:pPr>
      <w:r w:rsidRPr="00242A60">
        <w:rPr>
          <w:szCs w:val="28"/>
        </w:rPr>
        <w:t>This temporalization answers an obvious problem. If the whole life is indicated at birth, why do events not occur at once? A chart resembles a score whose voices enter at different measures. Natal configurations establish capacities or promises; timing techniques identify when a relation becomes operative. The same planet can signify childhood circumstances through one doctrine, a midlife crisis through another, and a recurring bodily tendency throughout.</w:t>
      </w:r>
    </w:p>
    <w:p w14:paraId="47EFC81A" w14:textId="77777777" w:rsidR="009F3BA9" w:rsidRPr="00242A60" w:rsidRDefault="009F3BA9" w:rsidP="009F3BA9">
      <w:pPr>
        <w:pStyle w:val="BookBody"/>
      </w:pPr>
      <w:r w:rsidRPr="00242A60">
        <w:rPr>
          <w:szCs w:val="28"/>
        </w:rPr>
        <w:t>Valens’s planetary years make numerical duration qualitative. Each planet possesses characteristic periods derived through traditions that relate astronomy, arithmetic, and symbolic order. Dorothean profections move the ascendant or another point one sign per year, giving each year a topical ruler. Distributions release one degree or bound after another. These procedures are not identical, and their results can conflict. Their family resemblance lies in treating sequence as articulated succession rather than empty passage.</w:t>
      </w:r>
    </w:p>
    <w:p w14:paraId="54DC71D9" w14:textId="77777777" w:rsidR="009F3BA9" w:rsidRPr="00242A60" w:rsidRDefault="009F3BA9" w:rsidP="009F3BA9">
      <w:pPr>
        <w:pStyle w:val="BookBody"/>
      </w:pPr>
      <w:r w:rsidRPr="00242A60">
        <w:rPr>
          <w:szCs w:val="28"/>
        </w:rPr>
        <w:t>The danger of system is obvious. With enough cycles, any event can be retrospectively fitted. Ancient practitioners knew disagreement, failed judgment, uncertain birth times, and technical correction. The density of timing methods can display insecurity as much as precision. Yet the aspiration remains important: biography has rhythm because cosmic order has rhythm.</w:t>
      </w:r>
    </w:p>
    <w:p w14:paraId="28087AF5" w14:textId="77777777" w:rsidR="009F3BA9" w:rsidRPr="00242A60" w:rsidRDefault="009F3BA9" w:rsidP="009F3BA9">
      <w:pPr>
        <w:pStyle w:val="BookBody"/>
      </w:pPr>
      <w:r w:rsidRPr="00242A60">
        <w:rPr>
          <w:szCs w:val="28"/>
        </w:rPr>
        <w:t>Qualitative time does not abolish chronology. It depends upon increasingly exact dates, tables, rising times, and periods. Number is what allows quality to recur in a disciplined form. The decisive contrast is not calculation versus meaning but two uses of calculation. One treats measured time as an indifferent coordinate; the other uses measure to locate difference.</w:t>
      </w:r>
    </w:p>
    <w:p w14:paraId="6861DCC6" w14:textId="77777777" w:rsidR="009F3BA9" w:rsidRPr="00242A60" w:rsidRDefault="009F3BA9" w:rsidP="009F3BA9">
      <w:pPr>
        <w:pStyle w:val="SectionHeading"/>
      </w:pPr>
      <w:r w:rsidRPr="00242A60">
        <w:rPr>
          <w:bCs/>
          <w:szCs w:val="28"/>
        </w:rPr>
        <w:t>More Than One Theory of Causation</w:t>
      </w:r>
    </w:p>
    <w:p w14:paraId="0D5F749F" w14:textId="77777777" w:rsidR="009F3BA9" w:rsidRPr="00242A60" w:rsidRDefault="009F3BA9" w:rsidP="009F3BA9">
      <w:pPr>
        <w:pStyle w:val="BookBody"/>
      </w:pPr>
      <w:r w:rsidRPr="00242A60">
        <w:rPr>
          <w:szCs w:val="28"/>
        </w:rPr>
        <w:t>Ancient astrology had no single doctrine explaining why it worked. Ptolemy emphasized natural effects transmitted through heat, moisture, winds, and the mixture of qualities. Stoic traditions could appeal to fate as an unbroken chain of causes and to sympathy within one living animal. Divinatory traditions could treat celestial events as signs provided by gods or providence. Platonizing accounts could understand heavenly bodies as ensouled divine beings. Practitioners often combined techniques without choosing among these theories.</w:t>
      </w:r>
    </w:p>
    <w:p w14:paraId="22099F53" w14:textId="77777777" w:rsidR="009F3BA9" w:rsidRPr="00242A60" w:rsidRDefault="009F3BA9" w:rsidP="009F3BA9">
      <w:pPr>
        <w:pStyle w:val="BookBody"/>
      </w:pPr>
      <w:r w:rsidRPr="00242A60">
        <w:rPr>
          <w:szCs w:val="28"/>
        </w:rPr>
        <w:t>The alternatives are not interchangeable. A sign need not cause what it signifies. Smoke can signify fire because fire causes smoke; a rash can signify disease because both arise from one condition; a word can signify by convention; an omen can signify because a divine intelligence coordinates event and message. Each relation requires a different account. Saying merely that “everything is connected” evades the problem.</w:t>
      </w:r>
    </w:p>
    <w:p w14:paraId="66320965" w14:textId="77777777" w:rsidR="009F3BA9" w:rsidRPr="00242A60" w:rsidRDefault="009F3BA9" w:rsidP="009F3BA9">
      <w:pPr>
        <w:pStyle w:val="BookBody"/>
      </w:pPr>
      <w:r w:rsidRPr="00242A60">
        <w:rPr>
          <w:szCs w:val="28"/>
        </w:rPr>
        <w:t>Barton’s historical method is valuable here. She refuses to remove astrology from the intellectual, religious, political, and medical life of antiquity and judge it solely by modern disciplinary boundaries. Astrology could draw on astronomy’s data, medicine’s qualities, philosophy’s causation, cult’s gods, and divination’s signs because those fields were not separated as ours are. This does not prove the art. It explains why intelligent ancient readers could find it plausible.</w:t>
      </w:r>
      <w:r w:rsidRPr="00242A60">
        <w:rPr>
          <w:szCs w:val="28"/>
          <w:vertAlign w:val="superscript"/>
        </w:rPr>
        <w:t>27</w:t>
      </w:r>
    </w:p>
    <w:p w14:paraId="289F4428" w14:textId="77777777" w:rsidR="009F3BA9" w:rsidRPr="00242A60" w:rsidRDefault="009F3BA9" w:rsidP="009F3BA9">
      <w:pPr>
        <w:pStyle w:val="BookBody"/>
      </w:pPr>
      <w:r w:rsidRPr="00242A60">
        <w:rPr>
          <w:szCs w:val="28"/>
        </w:rPr>
        <w:t>The plural theories also place limits on any history of disenchantment. Astrology did not fall because one ancient causal mechanism was experimentally disproved. Its authority changed through theological conflict, institutional regulation, new astronomical models, attacks on divination, competing concepts of freedom, and eventually transformations in matter and causation. Some elements could survive by changing explanation. Natural influence, providential sign, and symbolic correspondence have different historical vulnerabilities.</w:t>
      </w:r>
    </w:p>
    <w:p w14:paraId="01066B8E" w14:textId="77777777" w:rsidR="009F3BA9" w:rsidRPr="00242A60" w:rsidRDefault="009F3BA9" w:rsidP="009F3BA9">
      <w:pPr>
        <w:pStyle w:val="BookBody"/>
      </w:pPr>
      <w:r w:rsidRPr="00242A60">
        <w:rPr>
          <w:szCs w:val="28"/>
        </w:rPr>
        <w:t>For this chapter, the crucial point is modest: the horoscope presupposes a world in which exact relations can bear qualitative consequence. How that consequence travels remained contested.</w:t>
      </w:r>
    </w:p>
    <w:p w14:paraId="6E58E2D3" w14:textId="77777777" w:rsidR="009F3BA9" w:rsidRPr="00242A60" w:rsidRDefault="009F3BA9" w:rsidP="009F3BA9">
      <w:pPr>
        <w:pStyle w:val="SectionHeading"/>
      </w:pPr>
      <w:r w:rsidRPr="00242A60">
        <w:rPr>
          <w:bCs/>
          <w:szCs w:val="28"/>
        </w:rPr>
        <w:t>Omen, Prediction, Character, Fate</w:t>
      </w:r>
    </w:p>
    <w:p w14:paraId="6302BA5A" w14:textId="77777777" w:rsidR="009F3BA9" w:rsidRPr="00242A60" w:rsidRDefault="009F3BA9" w:rsidP="009F3BA9">
      <w:pPr>
        <w:pStyle w:val="BookBody"/>
      </w:pPr>
      <w:r w:rsidRPr="00242A60">
        <w:rPr>
          <w:szCs w:val="28"/>
        </w:rPr>
        <w:t>Four words often treated as synonyms name different operations. An omen is an event taken as a sign of another event or condition. Prediction is a statement about what is likely or necessary to occur. Character is a relatively durable pattern of disposition and action. Fate is the order—causal, providential, allotted, or narrated—within which events and agents receive their course. Hellenistic astrology joins all four, but it does not collapse them.</w:t>
      </w:r>
    </w:p>
    <w:p w14:paraId="7AB40441" w14:textId="77777777" w:rsidR="009F3BA9" w:rsidRPr="00242A60" w:rsidRDefault="009F3BA9" w:rsidP="009F3BA9">
      <w:pPr>
        <w:pStyle w:val="BookBody"/>
      </w:pPr>
      <w:r w:rsidRPr="00242A60">
        <w:rPr>
          <w:szCs w:val="28"/>
        </w:rPr>
        <w:t>The omen begins from something that happens in the sky: an eclipse, appearance, conjunction, color, or anomalous motion. Its force lies in the event’s legibility. A natal chart instead begins from a terrestrial event, birth, and calculates the celestial order simultaneous with it. The sky need not appear unusual. An ordinary configuration becomes significant because this body begins now and here. Natal astrology converts a heaven of exceptional warnings into a continuous field in which every moment has a structure.</w:t>
      </w:r>
    </w:p>
    <w:p w14:paraId="67143197" w14:textId="77777777" w:rsidR="009F3BA9" w:rsidRPr="00242A60" w:rsidRDefault="009F3BA9" w:rsidP="009F3BA9">
      <w:pPr>
        <w:pStyle w:val="BookBody"/>
      </w:pPr>
      <w:r w:rsidRPr="00242A60">
        <w:rPr>
          <w:szCs w:val="28"/>
        </w:rPr>
        <w:t>Prediction is one possible use of that structure. The astrologer may judge that a marriage, journey, illness, honor, danger, or death will occur under specified conditions. But a chart can also classify the present or reconstruct the past. Ancient example charts often confirm a technique by comparing it with known events. Prediction therefore belongs to a broader practice of correlation across time.</w:t>
      </w:r>
    </w:p>
    <w:p w14:paraId="0CBF50FD" w14:textId="77777777" w:rsidR="009F3BA9" w:rsidRPr="00242A60" w:rsidRDefault="009F3BA9" w:rsidP="009F3BA9">
      <w:pPr>
        <w:pStyle w:val="BookBody"/>
      </w:pPr>
      <w:r w:rsidRPr="00242A60">
        <w:rPr>
          <w:szCs w:val="28"/>
        </w:rPr>
        <w:t>Character introduces continuity within the native. If Mars and Mercury signify bold, contentious speech, the judgment concerns a capacity likely to recur across situations. Yet character is not fate in miniature. The disposition may be educated, provoked, rewarded, punished, or redirected. It becomes historical through encounters and periods. Ptolemy’s attention to custom and upbringing acknowledges that a natal indication acquires form through a social world.</w:t>
      </w:r>
    </w:p>
    <w:p w14:paraId="2292B94D" w14:textId="77777777" w:rsidR="009F3BA9" w:rsidRPr="00242A60" w:rsidRDefault="009F3BA9" w:rsidP="009F3BA9">
      <w:pPr>
        <w:pStyle w:val="BookBody"/>
      </w:pPr>
      <w:r w:rsidRPr="00242A60">
        <w:rPr>
          <w:szCs w:val="28"/>
        </w:rPr>
        <w:t>Fate gathers event and disposition without necessarily making them identical. A person’s actions can become causes within the sequence, even under Stoic determination. Fortune can name what arrives; daimon what acts; providence the larger order containing both. Valens can therefore use a chart to speak at once about constraint and the disciplined stance by which constraint is met. The native is neither an uncaused will nor a stone pushed from outside.</w:t>
      </w:r>
    </w:p>
    <w:p w14:paraId="71DB8C12" w14:textId="77777777" w:rsidR="009F3BA9" w:rsidRPr="00242A60" w:rsidRDefault="009F3BA9" w:rsidP="009F3BA9">
      <w:pPr>
        <w:pStyle w:val="BookBody"/>
      </w:pPr>
      <w:r w:rsidRPr="00242A60">
        <w:rPr>
          <w:szCs w:val="28"/>
        </w:rPr>
        <w:t>The four terms also mark different possibilities of error. A genuine celestial event may be read as the wrong omen. A valid rule may yield a bad prediction because the birth time or planetary position is wrong. A recognizable character judgment may be so broad that it fits anyone. A doctrine of fate may turn a local social arrangement into cosmic necessity. Technical sophistication does not remove these risks.</w:t>
      </w:r>
    </w:p>
    <w:p w14:paraId="0E998B39" w14:textId="77777777" w:rsidR="009F3BA9" w:rsidRPr="00242A60" w:rsidRDefault="009F3BA9" w:rsidP="009F3BA9">
      <w:pPr>
        <w:pStyle w:val="BookBody"/>
      </w:pPr>
      <w:r w:rsidRPr="00242A60">
        <w:rPr>
          <w:szCs w:val="28"/>
        </w:rPr>
        <w:t>Their distinction clarifies what is historically distinctive about the horoscope. It is a device by which a signifying sky is made biographical. It coordinates present configuration, future event, enduring disposition, and encompassing order without requiring one causal relation to do all the work. That achievement is also the source of its ambiguity. The chart can counsel attention to conditions; it can also make every condition seem preauthorized by heaven.</w:t>
      </w:r>
    </w:p>
    <w:p w14:paraId="337EC6C6" w14:textId="77777777" w:rsidR="009F3BA9" w:rsidRPr="00242A60" w:rsidRDefault="009F3BA9" w:rsidP="009F3BA9">
      <w:pPr>
        <w:pStyle w:val="SectionHeading"/>
      </w:pPr>
      <w:r w:rsidRPr="00242A60">
        <w:rPr>
          <w:bCs/>
          <w:szCs w:val="28"/>
        </w:rPr>
        <w:t>Body, Character, Soul, Civilization</w:t>
      </w:r>
    </w:p>
    <w:p w14:paraId="219C7532" w14:textId="77777777" w:rsidR="009F3BA9" w:rsidRPr="00242A60" w:rsidRDefault="009F3BA9" w:rsidP="009F3BA9">
      <w:pPr>
        <w:pStyle w:val="BookBody"/>
      </w:pPr>
      <w:r w:rsidRPr="00242A60">
        <w:rPr>
          <w:szCs w:val="28"/>
        </w:rPr>
        <w:t>Four levels must be distinguished if the ancient chart is not to become a modern caricature. The first is body: sexed embodiment, appearance, health, disease, reproduction, vulnerability, and death. The second is character: relatively stable habits, desires, capacities, and styles of action. The third is soul or consciousness: the principle of life, perception, intellect, moral agency, or divine relation, understood differently by rival philosophies. The fourth is civilization: the institutions, languages, statuses, customs, technologies, and histories into which a person is born.</w:t>
      </w:r>
    </w:p>
    <w:p w14:paraId="0A48BBC9" w14:textId="77777777" w:rsidR="009F3BA9" w:rsidRPr="00242A60" w:rsidRDefault="009F3BA9" w:rsidP="009F3BA9">
      <w:pPr>
        <w:pStyle w:val="BookBody"/>
      </w:pPr>
      <w:r w:rsidRPr="00242A60">
        <w:rPr>
          <w:szCs w:val="28"/>
        </w:rPr>
        <w:t>Ancient astrologers cross these levels, but they do not simply identify them. Ptolemy can assign different significators to body and soul while insisting that national and familial customs modify individual outcomes. Valens can connect a configuration to bodily danger, profession, and moral experience without offering a theory that the soul is made of planetary components. Dorotheus’s judgments presuppose marriage systems, property, slavery, patronage, gender hierarchy, and perilous travel. A chart read in Rome is already interpreted through Rome.</w:t>
      </w:r>
    </w:p>
    <w:p w14:paraId="2358BF79" w14:textId="77777777" w:rsidR="009F3BA9" w:rsidRPr="00242A60" w:rsidRDefault="009F3BA9" w:rsidP="009F3BA9">
      <w:pPr>
        <w:pStyle w:val="BookBody"/>
      </w:pPr>
      <w:r w:rsidRPr="00242A60">
        <w:rPr>
          <w:szCs w:val="28"/>
        </w:rPr>
        <w:t>This distinction matters for historical explanation. If many persons share similar planetary configurations, their lives do not become identical. General climate, social position, inherited wealth, law, education, and collective catastrophe condition what a configuration can mean. Ptolemy explicitly orders the general before the particular. Astrology’s own best theory therefore denies the fantasy of an isolated chart producing a life by itself.</w:t>
      </w:r>
      <w:r w:rsidRPr="00242A60">
        <w:rPr>
          <w:szCs w:val="28"/>
          <w:vertAlign w:val="superscript"/>
        </w:rPr>
        <w:t>28</w:t>
      </w:r>
    </w:p>
    <w:p w14:paraId="1EB65A4D" w14:textId="77777777" w:rsidR="009F3BA9" w:rsidRPr="00242A60" w:rsidRDefault="009F3BA9" w:rsidP="009F3BA9">
      <w:pPr>
        <w:pStyle w:val="BookBody"/>
      </w:pPr>
      <w:r w:rsidRPr="00242A60">
        <w:rPr>
          <w:szCs w:val="28"/>
        </w:rPr>
        <w:t>It also matters for moral responsibility. A difficult temperament is not the same as an irresistible act; a threatened body is not a corrupt soul; social suffering is not proof of cosmic desert. Ancient texts sometimes blur these boundaries, turning status or misfortune into evidence of character. Their prejudices belong to the record. Recovering a qualitative cosmos must not sanctify the injustices mapped onto it.</w:t>
      </w:r>
    </w:p>
    <w:p w14:paraId="54B3118A" w14:textId="77777777" w:rsidR="009F3BA9" w:rsidRPr="00242A60" w:rsidRDefault="009F3BA9" w:rsidP="009F3BA9">
      <w:pPr>
        <w:pStyle w:val="BookBody"/>
      </w:pPr>
      <w:r w:rsidRPr="00242A60">
        <w:rPr>
          <w:szCs w:val="28"/>
        </w:rPr>
        <w:t>The phrase “the chart is not the soul” now has a precise meaning. The chart is a representation of celestial and calculated relations at an embodied beginning. Any statement about soul requires additional premises: what soul is, how it relates to body, whether celestial bodies act upon it, how education and assent operate, and whether providence leaves room for transformation. Astrology can propose answers; its diagram cannot settle them.</w:t>
      </w:r>
    </w:p>
    <w:p w14:paraId="74B4C59A" w14:textId="77777777" w:rsidR="009F3BA9" w:rsidRPr="00242A60" w:rsidRDefault="009F3BA9" w:rsidP="009F3BA9">
      <w:pPr>
        <w:pStyle w:val="BookBody"/>
      </w:pPr>
      <w:r w:rsidRPr="00242A60">
        <w:rPr>
          <w:szCs w:val="28"/>
        </w:rPr>
        <w:t>Nor is the chart a civilization. Hellenistic techniques are themselves products of intercultural history. Their categories of gender, household, honor, occupation, and rank belong to societies, not to the zodiac by necessity. What appears cosmic may preserve a local institution. The critical reader must separate the relational imagination of the art from every inherited judgment made in its name.</w:t>
      </w:r>
    </w:p>
    <w:p w14:paraId="560DA96B" w14:textId="77777777" w:rsidR="009F3BA9" w:rsidRPr="00242A60" w:rsidRDefault="009F3BA9" w:rsidP="009F3BA9">
      <w:pPr>
        <w:pStyle w:val="SectionHeading"/>
      </w:pPr>
      <w:r w:rsidRPr="00242A60">
        <w:rPr>
          <w:bCs/>
          <w:szCs w:val="28"/>
        </w:rPr>
        <w:t>Interpretation as Practice</w:t>
      </w:r>
    </w:p>
    <w:p w14:paraId="65294D1A" w14:textId="77777777" w:rsidR="009F3BA9" w:rsidRPr="00242A60" w:rsidRDefault="009F3BA9" w:rsidP="009F3BA9">
      <w:pPr>
        <w:pStyle w:val="BookBody"/>
      </w:pPr>
      <w:r w:rsidRPr="00242A60">
        <w:rPr>
          <w:szCs w:val="28"/>
        </w:rPr>
        <w:t>The papyrus does not interpret itself. A birth time must be reported, converted into a calendar, located geographically, and matched to celestial positions. Tables may be approximate; manuscripts corrupt rules; authorities disagree; a planet may testify in several ways. The astrologer selects, calculates, compares, and speaks to a client. Interpretation is an event within the world the chart describes.</w:t>
      </w:r>
    </w:p>
    <w:p w14:paraId="7C7FD979" w14:textId="77777777" w:rsidR="009F3BA9" w:rsidRPr="00242A60" w:rsidRDefault="009F3BA9" w:rsidP="009F3BA9">
      <w:pPr>
        <w:pStyle w:val="BookBody"/>
      </w:pPr>
      <w:r w:rsidRPr="00242A60">
        <w:rPr>
          <w:szCs w:val="28"/>
        </w:rPr>
        <w:t>Barton’s chapters on casting a horoscope and the social world of astrologers make this practical setting visible. Treatises contain elite examples and literary constructions, but consultations addressed property, marriage, children, employment, sickness, accusation, slavery, patronage, danger, and death. The astrologer’s judgment could reassure, frighten, justify power, or provoke official suspicion. Roman laws repeatedly targeted predictions concerning emperors because a forecast could become a political act.</w:t>
      </w:r>
      <w:r w:rsidRPr="00242A60">
        <w:rPr>
          <w:szCs w:val="28"/>
          <w:vertAlign w:val="superscript"/>
        </w:rPr>
        <w:t>29</w:t>
      </w:r>
    </w:p>
    <w:p w14:paraId="4FC700E6" w14:textId="77777777" w:rsidR="009F3BA9" w:rsidRPr="00242A60" w:rsidRDefault="009F3BA9" w:rsidP="009F3BA9">
      <w:pPr>
        <w:pStyle w:val="BookBody"/>
      </w:pPr>
      <w:r w:rsidRPr="00242A60">
        <w:rPr>
          <w:szCs w:val="28"/>
        </w:rPr>
        <w:t>The practitioner therefore occupied an ethical position. Firmicus Maternus advised caution about dangerous questions and the disclosure of evil indications. Ptolemy defended prognosis as preparation. Valens presented disciplined study as consolation before fate. None supplies a sufficient modern ethics, but all recognize that telling a future changes the present.</w:t>
      </w:r>
    </w:p>
    <w:p w14:paraId="207A60D5" w14:textId="77777777" w:rsidR="009F3BA9" w:rsidRPr="00242A60" w:rsidRDefault="009F3BA9" w:rsidP="009F3BA9">
      <w:pPr>
        <w:pStyle w:val="BookBody"/>
      </w:pPr>
      <w:r w:rsidRPr="00242A60">
        <w:rPr>
          <w:szCs w:val="28"/>
        </w:rPr>
        <w:t>Interpretive uncertainty is not an accidental defect added to an otherwise perfect system. It belongs to the structure. A chart is overdetermined: several rules apply, different techniques produce different emphases, and general conditions modify particulars. The competent astrologer is not merely a calculator but a reader trained to establish hierarchy among signs.</w:t>
      </w:r>
    </w:p>
    <w:p w14:paraId="11E186BA" w14:textId="77777777" w:rsidR="009F3BA9" w:rsidRPr="00242A60" w:rsidRDefault="009F3BA9" w:rsidP="009F3BA9">
      <w:pPr>
        <w:pStyle w:val="BookBody"/>
      </w:pPr>
      <w:r w:rsidRPr="00242A60">
        <w:rPr>
          <w:szCs w:val="28"/>
        </w:rPr>
        <w:t>This point cuts two ways. Judgment can be flexible enough to evade failure. It can also be responsible enough to refuse mechanical certainty. Ptolemy’s probabilistic language and Barton’s historical evidence both show an art conscious of fallibility. The qualitative cosmos requires interpretation because quality is relational. It does not guarantee that the interpreter is right.</w:t>
      </w:r>
    </w:p>
    <w:p w14:paraId="13FA3BA7" w14:textId="77777777" w:rsidR="009F3BA9" w:rsidRPr="00242A60" w:rsidRDefault="009F3BA9" w:rsidP="009F3BA9">
      <w:pPr>
        <w:pStyle w:val="SectionHeading"/>
      </w:pPr>
      <w:r w:rsidRPr="00242A60">
        <w:rPr>
          <w:bCs/>
          <w:szCs w:val="28"/>
        </w:rPr>
        <w:t>Fate, Freedom, and the Beginning</w:t>
      </w:r>
    </w:p>
    <w:p w14:paraId="01CF4459" w14:textId="77777777" w:rsidR="009F3BA9" w:rsidRPr="00242A60" w:rsidRDefault="009F3BA9" w:rsidP="009F3BA9">
      <w:pPr>
        <w:pStyle w:val="BookBody"/>
      </w:pPr>
      <w:r w:rsidRPr="00242A60">
        <w:rPr>
          <w:szCs w:val="28"/>
        </w:rPr>
        <w:t>Natal astrology sharpens an ancient problem: if a life is legible at birth, in what sense can it be lived freely? Skeptics attacked the art by pointing to twins, mass deaths, divergent customs, uncertain birth times, and the impossibility of isolating every celestial cause. Philosophers disputed whether foreknowledge is compatible with contingency and responsibility. Astrologers answered differently, and no synthesis should erase the tension.</w:t>
      </w:r>
      <w:r w:rsidRPr="00242A60">
        <w:rPr>
          <w:szCs w:val="28"/>
          <w:vertAlign w:val="superscript"/>
        </w:rPr>
        <w:t>30</w:t>
      </w:r>
    </w:p>
    <w:p w14:paraId="077DB32C" w14:textId="77777777" w:rsidR="009F3BA9" w:rsidRPr="00242A60" w:rsidRDefault="009F3BA9" w:rsidP="009F3BA9">
      <w:pPr>
        <w:pStyle w:val="BookBody"/>
      </w:pPr>
      <w:r w:rsidRPr="00242A60">
        <w:rPr>
          <w:szCs w:val="28"/>
        </w:rPr>
        <w:t>Strict fatalism identifies freedom with ignorance of necessity. One cannot change the allotted sequence, but knowledge can end futile resistance. Stoic compatibilism locates responsibility within the causal order: an act can be fated and still proceed through the agent’s own assent and character. Ptolemy weakens necessity through complexity and probability; education and foreknowledge become modifying causes. Religious critics will later argue that astral fate threatens divine sovereignty, moral accountability, repentance, and grace.</w:t>
      </w:r>
    </w:p>
    <w:p w14:paraId="7C4F523C" w14:textId="77777777" w:rsidR="009F3BA9" w:rsidRPr="00242A60" w:rsidRDefault="009F3BA9" w:rsidP="009F3BA9">
      <w:pPr>
        <w:pStyle w:val="BookBody"/>
      </w:pPr>
      <w:r w:rsidRPr="00242A60">
        <w:rPr>
          <w:szCs w:val="28"/>
        </w:rPr>
        <w:t>The beginning remains the decisive figure. Manilius says the end depends on the origin; the nativity makes the origin calculable. Yet an origin need not contain the future as a miniature object. A seed contains neither the visible branches nor every storm that will strike them. It begins a structured capacity whose realization depends upon environment and encounter. Ptolemy’s natural analogies move in this direction even when other astrologers speak more absolutely.</w:t>
      </w:r>
    </w:p>
    <w:p w14:paraId="0A12C1ED" w14:textId="77777777" w:rsidR="009F3BA9" w:rsidRPr="00242A60" w:rsidRDefault="009F3BA9" w:rsidP="009F3BA9">
      <w:pPr>
        <w:pStyle w:val="BookBody"/>
      </w:pPr>
      <w:r w:rsidRPr="00242A60">
        <w:rPr>
          <w:szCs w:val="28"/>
        </w:rPr>
        <w:t>The chart can therefore be understood as constraint without total closure. It depicts a field of unequal possibilities, not necessarily a screenplay. But this moderate reading should not be projected onto every source. Valens sometimes means necessity with full force. Dorotheus often predicts concrete outcomes. Ancient astrology includes incompatible degrees of determinism.</w:t>
      </w:r>
    </w:p>
    <w:p w14:paraId="0CA6484A" w14:textId="77777777" w:rsidR="009F3BA9" w:rsidRPr="00242A60" w:rsidRDefault="009F3BA9" w:rsidP="009F3BA9">
      <w:pPr>
        <w:pStyle w:val="BookBody"/>
      </w:pPr>
      <w:r w:rsidRPr="00242A60">
        <w:rPr>
          <w:szCs w:val="28"/>
        </w:rPr>
        <w:t>What unites them is not one answer about freedom but one refusal: the beginning is not meaningless. A person does not enter a neutral universe and later invent every bond. Body, kinship, season, place, and history are given before choice. Astrology radicalizes that truth by adding the entire visible heaven to the conditions of arrival.</w:t>
      </w:r>
    </w:p>
    <w:p w14:paraId="622FF248" w14:textId="77777777" w:rsidR="009F3BA9" w:rsidRPr="00242A60" w:rsidRDefault="009F3BA9" w:rsidP="009F3BA9">
      <w:pPr>
        <w:pStyle w:val="SectionHeading"/>
      </w:pPr>
      <w:r w:rsidRPr="00242A60">
        <w:rPr>
          <w:bCs/>
          <w:szCs w:val="28"/>
        </w:rPr>
        <w:t>The Clearest Grammar of a Differentiated Cosmos</w:t>
      </w:r>
    </w:p>
    <w:p w14:paraId="646EA539" w14:textId="77777777" w:rsidR="009F3BA9" w:rsidRPr="00242A60" w:rsidRDefault="009F3BA9" w:rsidP="009F3BA9">
      <w:pPr>
        <w:pStyle w:val="BookBody"/>
      </w:pPr>
      <w:r w:rsidRPr="00242A60">
        <w:rPr>
          <w:szCs w:val="28"/>
        </w:rPr>
        <w:t>The qualitative heavens are clearest in astrology because no other ancient art coordinates so many differences at once. Seven planets possess natures and changing conditions. Twelve signs divide the annual path by season, element, modality, and ruler. Twelve places relate the sky to an embodied horizon and the topics of a life. Aspects turn geometry into witness. Sect distinguishes day from night. Lots translate intervals into invisible but locatable allotments. Time-lords unfold the nativity through successive periods.</w:t>
      </w:r>
    </w:p>
    <w:p w14:paraId="03C55939" w14:textId="77777777" w:rsidR="009F3BA9" w:rsidRPr="00242A60" w:rsidRDefault="009F3BA9" w:rsidP="009F3BA9">
      <w:pPr>
        <w:pStyle w:val="BookBody"/>
      </w:pPr>
      <w:r w:rsidRPr="00242A60">
        <w:rPr>
          <w:szCs w:val="28"/>
        </w:rPr>
        <w:t>The result is not a heap of correspondences. It is a grammar. Planets act like powers; signs qualify them; places supply topics; aspects connect testimonies; rulers establish dependencies; sect creates temporal fitness; lots provide derived centers; timing techniques turn structure into history. An interpretation is a sentence whose meaning arises from ordered relations.</w:t>
      </w:r>
    </w:p>
    <w:p w14:paraId="44FC8732" w14:textId="77777777" w:rsidR="009F3BA9" w:rsidRPr="00242A60" w:rsidRDefault="009F3BA9" w:rsidP="009F3BA9">
      <w:pPr>
        <w:pStyle w:val="BookBody"/>
      </w:pPr>
      <w:r w:rsidRPr="00242A60">
        <w:rPr>
          <w:szCs w:val="28"/>
        </w:rPr>
        <w:t xml:space="preserve">That grammar preserves the achievements of the previous chapters while transforming them. Mesopotamian omen and observation contribute the conviction that the sky is legible and the data by which its cycles can be predicted. Egyptian calendars, decans, cultic images, and priestly authorities contribute differentiated time and sacred prestige. Greek </w:t>
      </w:r>
      <w:r w:rsidRPr="00242A60">
        <w:rPr>
          <w:i/>
          <w:szCs w:val="28"/>
        </w:rPr>
        <w:t>kosmos</w:t>
      </w:r>
      <w:r w:rsidRPr="00242A60">
        <w:rPr>
          <w:szCs w:val="28"/>
        </w:rPr>
        <w:t xml:space="preserve"> contributes a geometrical, philosophical, and living whole. Hellenistic and Roman practitioners bring the elements around one birth.</w:t>
      </w:r>
    </w:p>
    <w:p w14:paraId="26DB5871" w14:textId="77777777" w:rsidR="009F3BA9" w:rsidRPr="00242A60" w:rsidRDefault="009F3BA9" w:rsidP="009F3BA9">
      <w:pPr>
        <w:pStyle w:val="BookBody"/>
      </w:pPr>
      <w:r w:rsidRPr="00242A60">
        <w:rPr>
          <w:szCs w:val="28"/>
        </w:rPr>
        <w:t>The chart is therefore neither merely physical nor merely psychological. It is cosmological. It depicts an allotted relation among time, place, body, fate, and interpretation. Its most defensible historical meaning lies not in any single prediction but in the world it requires: a world where difference is real, relation precedes isolation, beginnings possess form, and knowledge can locate a finite life within the whole.</w:t>
      </w:r>
    </w:p>
    <w:p w14:paraId="47DCA145" w14:textId="77777777" w:rsidR="009F3BA9" w:rsidRPr="00242A60" w:rsidRDefault="009F3BA9" w:rsidP="009F3BA9">
      <w:pPr>
        <w:pStyle w:val="BookBody"/>
      </w:pPr>
      <w:r w:rsidRPr="00242A60">
        <w:rPr>
          <w:szCs w:val="28"/>
        </w:rPr>
        <w:t>That world is neither gentle nor just by definition. Its order can legitimate hierarchy; its predictions can frighten; its fatalism can diminish agency. The living cosmos is not automatically a humane cosmos. But it is not an indifferent container. The native arrives already addressed by directions, seasons, powers, and cycles.</w:t>
      </w:r>
    </w:p>
    <w:p w14:paraId="7623B313" w14:textId="77777777" w:rsidR="009F3BA9" w:rsidRPr="00242A60" w:rsidRDefault="009F3BA9" w:rsidP="009F3BA9">
      <w:pPr>
        <w:pStyle w:val="BookBody"/>
      </w:pPr>
      <w:r w:rsidRPr="00242A60">
        <w:rPr>
          <w:szCs w:val="28"/>
        </w:rPr>
        <w:t>The circular horoscope makes that address visible. The papyrus of 15 CE is damaged, its date reconstructed, its diagram crude. Precisely for that reason it is a better witness than a perfected modern wheel. One sees labor: a scribe gathering a time, an astrologer computing positions, an editor recovering calendars, a reader trying to make a life legible. Cosmic order does not descend untouched. It is mediated through bodies, instruments, texts, and judgment.</w:t>
      </w:r>
    </w:p>
    <w:p w14:paraId="5299C607" w14:textId="77777777" w:rsidR="009F3BA9" w:rsidRPr="00242A60" w:rsidRDefault="009F3BA9" w:rsidP="009F3BA9">
      <w:pPr>
        <w:pStyle w:val="SectionHeading"/>
      </w:pPr>
      <w:r w:rsidRPr="00242A60">
        <w:rPr>
          <w:bCs/>
          <w:szCs w:val="28"/>
        </w:rPr>
        <w:t>A Heaven Inherited and Contested</w:t>
      </w:r>
    </w:p>
    <w:p w14:paraId="704EEA8F" w14:textId="77777777" w:rsidR="009F3BA9" w:rsidRPr="00242A60" w:rsidRDefault="009F3BA9" w:rsidP="009F3BA9">
      <w:pPr>
        <w:pStyle w:val="BookBody"/>
      </w:pPr>
      <w:r w:rsidRPr="00242A60">
        <w:rPr>
          <w:szCs w:val="28"/>
        </w:rPr>
        <w:t>Christianity entered a Mediterranean world already saturated with celestial quality. The days and seasons were governed by visible cycles; planets bore divine names; astrologers advised households and rulers; philosophical schools debated providence, fate, and the soul. Christian thinkers could not confront astrology by returning to an empty sky. They inherited the differentiated heaven and disputed who governed it.</w:t>
      </w:r>
    </w:p>
    <w:p w14:paraId="1E895EFF" w14:textId="77777777" w:rsidR="009F3BA9" w:rsidRPr="00242A60" w:rsidRDefault="009F3BA9" w:rsidP="009F3BA9">
      <w:pPr>
        <w:pStyle w:val="BookBody"/>
      </w:pPr>
      <w:r w:rsidRPr="00242A60">
        <w:rPr>
          <w:szCs w:val="28"/>
        </w:rPr>
        <w:t>Several parts of the grammar could be retained. The heavens declare divine order; stars can mark times and seasons; celestial bodies can be created powers within a hierarchy; providence can coordinate events; angels and demons can inhabit the invisible world. What could not easily be conceded was astral sovereignty over will, salvation, sacrament, prayer, and sacred history. If a horoscope necessitates sin, judgment becomes unjust. If planetary fate governs Christ, the creator becomes subordinate to creation. If election can master grace, ritual time becomes technique.</w:t>
      </w:r>
    </w:p>
    <w:p w14:paraId="170E179C" w14:textId="77777777" w:rsidR="009F3BA9" w:rsidRPr="00242A60" w:rsidRDefault="009F3BA9" w:rsidP="009F3BA9">
      <w:pPr>
        <w:pStyle w:val="BookBody"/>
      </w:pPr>
      <w:r w:rsidRPr="00242A60">
        <w:rPr>
          <w:szCs w:val="28"/>
        </w:rPr>
        <w:t>The conflict will not be a simple war of faith against science. Ptolemy’s natural astrology, Stoic fate, divinatory signs, astral gods, and magical invocations present different theological problems. Christian authors will distinguish lawful observation from illicit prediction, natural celestial effects from demonic deception, and providential order from fatal necessity. Some will preserve more cosmic sympathy than their polemics admit. Others will drive a wedge between created signs and the sovereign freedom of God.</w:t>
      </w:r>
    </w:p>
    <w:p w14:paraId="12AC6D47" w14:textId="77777777" w:rsidR="009F3BA9" w:rsidRPr="00242A60" w:rsidRDefault="009F3BA9" w:rsidP="009F3BA9">
      <w:pPr>
        <w:pStyle w:val="BookBody"/>
      </w:pPr>
      <w:r w:rsidRPr="00242A60">
        <w:rPr>
          <w:szCs w:val="28"/>
        </w:rPr>
        <w:t>That wedge becomes one of the great transformations in the history of the living cosmos. The question changes from whether heaven is differentiated to whether its differences rule. The planets may remain luminous, ordered, and causally effective while losing the right to pronounce upon the soul. Sacred history may interrupt recurrence. Conversion may create a new beginning not contained in the natal one.</w:t>
      </w:r>
    </w:p>
    <w:p w14:paraId="7BE8F9B5" w14:textId="77777777" w:rsidR="009F3BA9" w:rsidRPr="00242A60" w:rsidRDefault="009F3BA9" w:rsidP="009F3BA9">
      <w:pPr>
        <w:pStyle w:val="BookBody"/>
      </w:pPr>
      <w:r w:rsidRPr="00242A60">
        <w:rPr>
          <w:szCs w:val="28"/>
        </w:rPr>
        <w:t xml:space="preserve">Chapter 3 ended with a </w:t>
      </w:r>
      <w:r w:rsidRPr="00242A60">
        <w:rPr>
          <w:i/>
          <w:szCs w:val="28"/>
        </w:rPr>
        <w:t>kosmos</w:t>
      </w:r>
      <w:r w:rsidRPr="00242A60">
        <w:rPr>
          <w:szCs w:val="28"/>
        </w:rPr>
        <w:t xml:space="preserve"> whose reason, life, and geometry made qualitative astrology conceivable. This chapter has shown astrology giving that cosmos its most elaborate grammar. The next chapter follows the Christian contest over its jurisdiction. The heavens will not yet be dead. But their authority over human destiny will be placed on trial.</w:t>
      </w:r>
    </w:p>
    <w:p w14:paraId="33C08872" w14:textId="77777777" w:rsidR="009F3BA9" w:rsidRPr="00242A60" w:rsidRDefault="009F3BA9" w:rsidP="009F3BA9">
      <w:pPr>
        <w:pStyle w:val="NotesHeading"/>
      </w:pPr>
      <w:r w:rsidRPr="00242A60">
        <w:rPr>
          <w:bCs/>
          <w:szCs w:val="28"/>
        </w:rPr>
        <w:t>Notes</w:t>
      </w:r>
    </w:p>
    <w:p w14:paraId="7C3F4245" w14:textId="77777777" w:rsidR="009F3BA9" w:rsidRPr="00242A60" w:rsidRDefault="009F3BA9" w:rsidP="009F3BA9">
      <w:pPr>
        <w:pStyle w:val="NoteEntry"/>
      </w:pPr>
      <w:r w:rsidRPr="00242A60">
        <w:rPr>
          <w:szCs w:val="28"/>
        </w:rPr>
        <w:t xml:space="preserve">1. Otto Neugebauer and H. B. Van Hoesen, </w:t>
      </w:r>
      <w:r w:rsidRPr="00242A60">
        <w:rPr>
          <w:i/>
          <w:szCs w:val="28"/>
        </w:rPr>
        <w:t>Greek Horoscopes</w:t>
      </w:r>
      <w:r w:rsidRPr="00242A60">
        <w:rPr>
          <w:szCs w:val="28"/>
        </w:rPr>
        <w:t xml:space="preserve"> (Philadelphia: American Philosophical Society, 1959; repr. 1987), 18–19, no. 15/22 and figs. 9–10. The document’s doubled number reflects its duplicate publication and identification. The editors reconstruct the calendar and date rather than accepting the damaged notation at face value.</w:t>
      </w:r>
    </w:p>
    <w:p w14:paraId="21DE4E80" w14:textId="77777777" w:rsidR="009F3BA9" w:rsidRPr="00242A60" w:rsidRDefault="009F3BA9" w:rsidP="009F3BA9">
      <w:pPr>
        <w:pStyle w:val="NoteEntry"/>
      </w:pPr>
      <w:r w:rsidRPr="00242A60">
        <w:rPr>
          <w:szCs w:val="28"/>
        </w:rPr>
        <w:t xml:space="preserve">2. Tamysn Barton, </w:t>
      </w:r>
      <w:r w:rsidRPr="00242A60">
        <w:rPr>
          <w:i/>
          <w:szCs w:val="28"/>
        </w:rPr>
        <w:t>Ancient Astrology</w:t>
      </w:r>
      <w:r w:rsidRPr="00242A60">
        <w:rPr>
          <w:szCs w:val="28"/>
        </w:rPr>
        <w:t xml:space="preserve"> (London and New York: Routledge, 1994), 92–101, 131–41; Neugebauer and Van Hoesen, </w:t>
      </w:r>
      <w:r w:rsidRPr="00242A60">
        <w:rPr>
          <w:i/>
          <w:szCs w:val="28"/>
        </w:rPr>
        <w:t>Greek Horoscopes</w:t>
      </w:r>
      <w:r w:rsidRPr="00242A60">
        <w:rPr>
          <w:szCs w:val="28"/>
        </w:rPr>
        <w:t>, 1–13, 161–75.</w:t>
      </w:r>
    </w:p>
    <w:p w14:paraId="68763AAC" w14:textId="77777777" w:rsidR="009F3BA9" w:rsidRPr="00242A60" w:rsidRDefault="009F3BA9" w:rsidP="009F3BA9">
      <w:pPr>
        <w:pStyle w:val="NoteEntry"/>
      </w:pPr>
      <w:r w:rsidRPr="00242A60">
        <w:rPr>
          <w:szCs w:val="28"/>
        </w:rPr>
        <w:t xml:space="preserve">3. Ptolemy, </w:t>
      </w:r>
      <w:r w:rsidRPr="00242A60">
        <w:rPr>
          <w:i/>
          <w:szCs w:val="28"/>
        </w:rPr>
        <w:t>Tetrabiblos</w:t>
      </w:r>
      <w:r w:rsidRPr="00242A60">
        <w:rPr>
          <w:szCs w:val="28"/>
        </w:rPr>
        <w:t xml:space="preserve"> III.11–14 and IV.3, 10; Dorian Gieseler Greenbaum, </w:t>
      </w:r>
      <w:r w:rsidRPr="00242A60">
        <w:rPr>
          <w:i/>
          <w:szCs w:val="28"/>
        </w:rPr>
        <w:t>The Daimon in Hellenistic Astrology: Origins and Influence</w:t>
      </w:r>
      <w:r w:rsidRPr="00242A60">
        <w:rPr>
          <w:szCs w:val="28"/>
        </w:rPr>
        <w:t>, Ancient Magic and Divination 11 (Leiden and Boston: Brill, 2016), 279–338, 389–98. The two supplied Greenbaum PDFs are exact duplicates, not separate editions.</w:t>
      </w:r>
    </w:p>
    <w:p w14:paraId="1AB5BED7" w14:textId="77777777" w:rsidR="009F3BA9" w:rsidRPr="00242A60" w:rsidRDefault="009F3BA9" w:rsidP="009F3BA9">
      <w:pPr>
        <w:pStyle w:val="NoteEntry"/>
      </w:pPr>
      <w:r w:rsidRPr="00242A60">
        <w:rPr>
          <w:szCs w:val="28"/>
        </w:rPr>
        <w:t xml:space="preserve">4. Barton, </w:t>
      </w:r>
      <w:r w:rsidRPr="00242A60">
        <w:rPr>
          <w:i/>
          <w:szCs w:val="28"/>
        </w:rPr>
        <w:t>Ancient Astrology</w:t>
      </w:r>
      <w:r w:rsidRPr="00242A60">
        <w:rPr>
          <w:szCs w:val="28"/>
        </w:rPr>
        <w:t>, 9–30.</w:t>
      </w:r>
    </w:p>
    <w:p w14:paraId="4966F63A" w14:textId="77777777" w:rsidR="009F3BA9" w:rsidRPr="00242A60" w:rsidRDefault="009F3BA9" w:rsidP="009F3BA9">
      <w:pPr>
        <w:pStyle w:val="NoteEntry"/>
      </w:pPr>
      <w:r w:rsidRPr="00242A60">
        <w:rPr>
          <w:szCs w:val="28"/>
        </w:rPr>
        <w:t xml:space="preserve">5. Francesca Rochberg, </w:t>
      </w:r>
      <w:r w:rsidRPr="00242A60">
        <w:rPr>
          <w:i/>
          <w:szCs w:val="28"/>
        </w:rPr>
        <w:t>The Heavenly Writing: Divination, Horoscopy, and Astronomy in Mesopotamian Culture</w:t>
      </w:r>
      <w:r w:rsidRPr="00242A60">
        <w:rPr>
          <w:szCs w:val="28"/>
        </w:rPr>
        <w:t xml:space="preserve"> (Cambridge: Cambridge University Press, 2004), 1–43, 98–163; Hermann Hunger and David Pingree, </w:t>
      </w:r>
      <w:r w:rsidRPr="00242A60">
        <w:rPr>
          <w:i/>
          <w:szCs w:val="28"/>
        </w:rPr>
        <w:t>Astral Sciences in Mesopotamia</w:t>
      </w:r>
      <w:r w:rsidRPr="00242A60">
        <w:rPr>
          <w:szCs w:val="28"/>
        </w:rPr>
        <w:t xml:space="preserve"> (Leiden: Brill, 1999), 11–36, 145–58; Barton, </w:t>
      </w:r>
      <w:r w:rsidRPr="00242A60">
        <w:rPr>
          <w:i/>
          <w:szCs w:val="28"/>
        </w:rPr>
        <w:t>Ancient Astrology</w:t>
      </w:r>
      <w:r w:rsidRPr="00242A60">
        <w:rPr>
          <w:szCs w:val="28"/>
        </w:rPr>
        <w:t>, 10–18. These Chapter 2 sources remain relevant to the transition but are not used to make specifically Hellenistic technical claims.</w:t>
      </w:r>
    </w:p>
    <w:p w14:paraId="0E00EAC9" w14:textId="77777777" w:rsidR="009F3BA9" w:rsidRPr="00242A60" w:rsidRDefault="009F3BA9" w:rsidP="009F3BA9">
      <w:pPr>
        <w:pStyle w:val="NoteEntry"/>
      </w:pPr>
      <w:r w:rsidRPr="00242A60">
        <w:rPr>
          <w:szCs w:val="28"/>
        </w:rPr>
        <w:t xml:space="preserve">6. Barton, </w:t>
      </w:r>
      <w:r w:rsidRPr="00242A60">
        <w:rPr>
          <w:i/>
          <w:szCs w:val="28"/>
        </w:rPr>
        <w:t>Ancient Astrology</w:t>
      </w:r>
      <w:r w:rsidRPr="00242A60">
        <w:rPr>
          <w:szCs w:val="28"/>
        </w:rPr>
        <w:t xml:space="preserve">, 19–30, 92–101; Greenbaum, </w:t>
      </w:r>
      <w:r w:rsidRPr="00242A60">
        <w:rPr>
          <w:i/>
          <w:szCs w:val="28"/>
        </w:rPr>
        <w:t>Daimon</w:t>
      </w:r>
      <w:r w:rsidRPr="00242A60">
        <w:rPr>
          <w:szCs w:val="28"/>
        </w:rPr>
        <w:t xml:space="preserve">, 77–115. On the decans and Egyptian astronomy, see also Juan Antonio Belmonte and José Lull, eds., </w:t>
      </w:r>
      <w:r w:rsidRPr="00242A60">
        <w:rPr>
          <w:i/>
          <w:szCs w:val="28"/>
        </w:rPr>
        <w:t>Astronomy of Ancient Egypt: A Cultural Perspective</w:t>
      </w:r>
      <w:r w:rsidRPr="00242A60">
        <w:rPr>
          <w:szCs w:val="28"/>
        </w:rPr>
        <w:t xml:space="preserve"> (Cham: Springer, 2023), relevant chapters on decanal clocks, calendars, and temple ceilings.</w:t>
      </w:r>
    </w:p>
    <w:p w14:paraId="543BE115" w14:textId="77777777" w:rsidR="009F3BA9" w:rsidRPr="00242A60" w:rsidRDefault="009F3BA9" w:rsidP="009F3BA9">
      <w:pPr>
        <w:pStyle w:val="NoteEntry"/>
      </w:pPr>
      <w:r w:rsidRPr="00242A60">
        <w:rPr>
          <w:szCs w:val="28"/>
        </w:rPr>
        <w:t xml:space="preserve">7. Vettius Valens, </w:t>
      </w:r>
      <w:r w:rsidRPr="00242A60">
        <w:rPr>
          <w:i/>
          <w:szCs w:val="28"/>
        </w:rPr>
        <w:t>Anthologies</w:t>
      </w:r>
      <w:r w:rsidRPr="00242A60">
        <w:rPr>
          <w:szCs w:val="28"/>
        </w:rPr>
        <w:t xml:space="preserve"> I.1, trans. Mark T. Riley; Greek text in Vettius Valens, </w:t>
      </w:r>
      <w:r w:rsidRPr="00242A60">
        <w:rPr>
          <w:i/>
          <w:szCs w:val="28"/>
        </w:rPr>
        <w:t>Anthologiarum libri novem</w:t>
      </w:r>
      <w:r w:rsidRPr="00242A60">
        <w:rPr>
          <w:szCs w:val="28"/>
        </w:rPr>
        <w:t>, ed. David Pingree (Leipzig: Teubner, 1986). References to Valens use book and chapter because pagination differs across the supplied translation and Greek edition.</w:t>
      </w:r>
    </w:p>
    <w:p w14:paraId="1836C816" w14:textId="77777777" w:rsidR="009F3BA9" w:rsidRPr="00242A60" w:rsidRDefault="009F3BA9" w:rsidP="009F3BA9">
      <w:pPr>
        <w:pStyle w:val="NoteEntry"/>
      </w:pPr>
      <w:r w:rsidRPr="00242A60">
        <w:rPr>
          <w:szCs w:val="28"/>
        </w:rPr>
        <w:t xml:space="preserve">8. Ptolemy, </w:t>
      </w:r>
      <w:r w:rsidRPr="00242A60">
        <w:rPr>
          <w:i/>
          <w:szCs w:val="28"/>
        </w:rPr>
        <w:t>Tetrabiblos</w:t>
      </w:r>
      <w:r w:rsidRPr="00242A60">
        <w:rPr>
          <w:szCs w:val="28"/>
        </w:rPr>
        <w:t xml:space="preserve"> I.10–23; Barton, </w:t>
      </w:r>
      <w:r w:rsidRPr="00242A60">
        <w:rPr>
          <w:i/>
          <w:szCs w:val="28"/>
        </w:rPr>
        <w:t>Ancient Astrology</w:t>
      </w:r>
      <w:r w:rsidRPr="00242A60">
        <w:rPr>
          <w:szCs w:val="28"/>
        </w:rPr>
        <w:t>, 86–101.</w:t>
      </w:r>
    </w:p>
    <w:p w14:paraId="08A6A539" w14:textId="77777777" w:rsidR="009F3BA9" w:rsidRPr="00242A60" w:rsidRDefault="009F3BA9" w:rsidP="009F3BA9">
      <w:pPr>
        <w:pStyle w:val="NoteEntry"/>
      </w:pPr>
      <w:r w:rsidRPr="00242A60">
        <w:rPr>
          <w:szCs w:val="28"/>
        </w:rPr>
        <w:t xml:space="preserve">9. Barton, </w:t>
      </w:r>
      <w:r w:rsidRPr="00242A60">
        <w:rPr>
          <w:i/>
          <w:szCs w:val="28"/>
        </w:rPr>
        <w:t>Ancient Astrology</w:t>
      </w:r>
      <w:r w:rsidRPr="00242A60">
        <w:rPr>
          <w:szCs w:val="28"/>
        </w:rPr>
        <w:t xml:space="preserve">, 92–113; Valens, </w:t>
      </w:r>
      <w:r w:rsidRPr="00242A60">
        <w:rPr>
          <w:i/>
          <w:szCs w:val="28"/>
        </w:rPr>
        <w:t>Anthologies</w:t>
      </w:r>
      <w:r w:rsidRPr="00242A60">
        <w:rPr>
          <w:szCs w:val="28"/>
        </w:rPr>
        <w:t xml:space="preserve"> I.2–3.</w:t>
      </w:r>
    </w:p>
    <w:p w14:paraId="7C1D3C24" w14:textId="77777777" w:rsidR="009F3BA9" w:rsidRPr="00242A60" w:rsidRDefault="009F3BA9" w:rsidP="009F3BA9">
      <w:pPr>
        <w:pStyle w:val="NoteEntry"/>
      </w:pPr>
      <w:r w:rsidRPr="00242A60">
        <w:rPr>
          <w:szCs w:val="28"/>
        </w:rPr>
        <w:t xml:space="preserve">10. Valens, </w:t>
      </w:r>
      <w:r w:rsidRPr="00242A60">
        <w:rPr>
          <w:i/>
          <w:szCs w:val="28"/>
        </w:rPr>
        <w:t>Anthologies</w:t>
      </w:r>
      <w:r w:rsidRPr="00242A60">
        <w:rPr>
          <w:szCs w:val="28"/>
        </w:rPr>
        <w:t xml:space="preserve"> II.16; Barton, </w:t>
      </w:r>
      <w:r w:rsidRPr="00242A60">
        <w:rPr>
          <w:i/>
          <w:szCs w:val="28"/>
        </w:rPr>
        <w:t>Ancient Astrology</w:t>
      </w:r>
      <w:r w:rsidRPr="00242A60">
        <w:rPr>
          <w:szCs w:val="28"/>
        </w:rPr>
        <w:t xml:space="preserve">, 92–101; Greenbaum, </w:t>
      </w:r>
      <w:r w:rsidRPr="00242A60">
        <w:rPr>
          <w:i/>
          <w:szCs w:val="28"/>
        </w:rPr>
        <w:t>Daimon</w:t>
      </w:r>
      <w:r w:rsidRPr="00242A60">
        <w:rPr>
          <w:szCs w:val="28"/>
        </w:rPr>
        <w:t>, 399–414.</w:t>
      </w:r>
    </w:p>
    <w:p w14:paraId="08993960" w14:textId="77777777" w:rsidR="009F3BA9" w:rsidRPr="00242A60" w:rsidRDefault="009F3BA9" w:rsidP="009F3BA9">
      <w:pPr>
        <w:pStyle w:val="NoteEntry"/>
      </w:pPr>
      <w:r w:rsidRPr="00242A60">
        <w:rPr>
          <w:szCs w:val="28"/>
        </w:rPr>
        <w:t xml:space="preserve">11. Greenbaum, </w:t>
      </w:r>
      <w:r w:rsidRPr="00242A60">
        <w:rPr>
          <w:i/>
          <w:szCs w:val="28"/>
        </w:rPr>
        <w:t>Daimon</w:t>
      </w:r>
      <w:r w:rsidRPr="00242A60">
        <w:rPr>
          <w:szCs w:val="28"/>
        </w:rPr>
        <w:t>, 46–76, 116–58.</w:t>
      </w:r>
    </w:p>
    <w:p w14:paraId="793ADAEF" w14:textId="77777777" w:rsidR="009F3BA9" w:rsidRPr="00242A60" w:rsidRDefault="009F3BA9" w:rsidP="009F3BA9">
      <w:pPr>
        <w:pStyle w:val="NoteEntry"/>
      </w:pPr>
      <w:r w:rsidRPr="00242A60">
        <w:rPr>
          <w:szCs w:val="28"/>
        </w:rPr>
        <w:t xml:space="preserve">12. Ptolemy, </w:t>
      </w:r>
      <w:r w:rsidRPr="00242A60">
        <w:rPr>
          <w:i/>
          <w:szCs w:val="28"/>
        </w:rPr>
        <w:t>Tetrabiblos</w:t>
      </w:r>
      <w:r w:rsidRPr="00242A60">
        <w:rPr>
          <w:szCs w:val="28"/>
        </w:rPr>
        <w:t xml:space="preserve"> I.13–14; Valens, </w:t>
      </w:r>
      <w:r w:rsidRPr="00242A60">
        <w:rPr>
          <w:i/>
          <w:szCs w:val="28"/>
        </w:rPr>
        <w:t>Anthologies</w:t>
      </w:r>
      <w:r w:rsidRPr="00242A60">
        <w:rPr>
          <w:szCs w:val="28"/>
        </w:rPr>
        <w:t xml:space="preserve"> I.4; Barton, </w:t>
      </w:r>
      <w:r w:rsidRPr="00242A60">
        <w:rPr>
          <w:i/>
          <w:szCs w:val="28"/>
        </w:rPr>
        <w:t>Ancient Astrology</w:t>
      </w:r>
      <w:r w:rsidRPr="00242A60">
        <w:rPr>
          <w:szCs w:val="28"/>
        </w:rPr>
        <w:t xml:space="preserve">, 99–101; Greenbaum, </w:t>
      </w:r>
      <w:r w:rsidRPr="00242A60">
        <w:rPr>
          <w:i/>
          <w:szCs w:val="28"/>
        </w:rPr>
        <w:t>Daimon</w:t>
      </w:r>
      <w:r w:rsidRPr="00242A60">
        <w:rPr>
          <w:szCs w:val="28"/>
        </w:rPr>
        <w:t>, 404–7.</w:t>
      </w:r>
    </w:p>
    <w:p w14:paraId="61EDF277" w14:textId="77777777" w:rsidR="009F3BA9" w:rsidRPr="00242A60" w:rsidRDefault="009F3BA9" w:rsidP="009F3BA9">
      <w:pPr>
        <w:pStyle w:val="NoteEntry"/>
      </w:pPr>
      <w:r w:rsidRPr="00242A60">
        <w:rPr>
          <w:szCs w:val="28"/>
        </w:rPr>
        <w:t xml:space="preserve">13. Valens, </w:t>
      </w:r>
      <w:r w:rsidRPr="00242A60">
        <w:rPr>
          <w:i/>
          <w:szCs w:val="28"/>
        </w:rPr>
        <w:t>Anthologies</w:t>
      </w:r>
      <w:r w:rsidRPr="00242A60">
        <w:rPr>
          <w:szCs w:val="28"/>
        </w:rPr>
        <w:t xml:space="preserve"> I.1–2; Ptolemy, </w:t>
      </w:r>
      <w:r w:rsidRPr="00242A60">
        <w:rPr>
          <w:i/>
          <w:szCs w:val="28"/>
        </w:rPr>
        <w:t>Tetrabiblos</w:t>
      </w:r>
      <w:r w:rsidRPr="00242A60">
        <w:rPr>
          <w:szCs w:val="28"/>
        </w:rPr>
        <w:t xml:space="preserve"> I.7; Greenbaum, </w:t>
      </w:r>
      <w:r w:rsidRPr="00242A60">
        <w:rPr>
          <w:i/>
          <w:szCs w:val="28"/>
        </w:rPr>
        <w:t>Daimon</w:t>
      </w:r>
      <w:r w:rsidRPr="00242A60">
        <w:rPr>
          <w:szCs w:val="28"/>
        </w:rPr>
        <w:t>, 401–4.</w:t>
      </w:r>
    </w:p>
    <w:p w14:paraId="007BB1F3" w14:textId="77777777" w:rsidR="009F3BA9" w:rsidRPr="00242A60" w:rsidRDefault="009F3BA9" w:rsidP="009F3BA9">
      <w:pPr>
        <w:pStyle w:val="NoteEntry"/>
      </w:pPr>
      <w:r w:rsidRPr="00242A60">
        <w:rPr>
          <w:szCs w:val="28"/>
        </w:rPr>
        <w:t xml:space="preserve">14. Dorotheus of Sidon, </w:t>
      </w:r>
      <w:r w:rsidRPr="00242A60">
        <w:rPr>
          <w:i/>
          <w:szCs w:val="28"/>
        </w:rPr>
        <w:t>Carmen Astrologicum</w:t>
      </w:r>
      <w:r w:rsidRPr="00242A60">
        <w:rPr>
          <w:szCs w:val="28"/>
        </w:rPr>
        <w:t xml:space="preserve"> I.1–5, 24–28, trans. Benjamin N. Dykes from the ʿUmar al-Tabari transmission (Minneapolis: Cazimi Press, 2017), 39–49, 61–91; Greenbaum, </w:t>
      </w:r>
      <w:r w:rsidRPr="00242A60">
        <w:rPr>
          <w:i/>
          <w:szCs w:val="28"/>
        </w:rPr>
        <w:t>Daimon</w:t>
      </w:r>
      <w:r w:rsidRPr="00242A60">
        <w:rPr>
          <w:szCs w:val="28"/>
        </w:rPr>
        <w:t>, 303–38.</w:t>
      </w:r>
    </w:p>
    <w:p w14:paraId="24666E47" w14:textId="77777777" w:rsidR="009F3BA9" w:rsidRPr="00242A60" w:rsidRDefault="009F3BA9" w:rsidP="009F3BA9">
      <w:pPr>
        <w:pStyle w:val="NoteEntry"/>
      </w:pPr>
      <w:r w:rsidRPr="00242A60">
        <w:rPr>
          <w:szCs w:val="28"/>
        </w:rPr>
        <w:t xml:space="preserve">15. Neugebauer and Van Hoesen, </w:t>
      </w:r>
      <w:r w:rsidRPr="00242A60">
        <w:rPr>
          <w:i/>
          <w:szCs w:val="28"/>
        </w:rPr>
        <w:t>Greek Horoscopes</w:t>
      </w:r>
      <w:r w:rsidRPr="00242A60">
        <w:rPr>
          <w:szCs w:val="28"/>
        </w:rPr>
        <w:t xml:space="preserve">, 8–9; Greenbaum, </w:t>
      </w:r>
      <w:r w:rsidRPr="00242A60">
        <w:rPr>
          <w:i/>
          <w:szCs w:val="28"/>
        </w:rPr>
        <w:t>Daimon</w:t>
      </w:r>
      <w:r w:rsidRPr="00242A60">
        <w:rPr>
          <w:szCs w:val="28"/>
        </w:rPr>
        <w:t>, 303–38, 446–59.</w:t>
      </w:r>
    </w:p>
    <w:p w14:paraId="08A159B6" w14:textId="77777777" w:rsidR="009F3BA9" w:rsidRPr="00242A60" w:rsidRDefault="009F3BA9" w:rsidP="009F3BA9">
      <w:pPr>
        <w:pStyle w:val="NoteEntry"/>
      </w:pPr>
      <w:r w:rsidRPr="00242A60">
        <w:rPr>
          <w:szCs w:val="28"/>
        </w:rPr>
        <w:t xml:space="preserve">16. Greenbaum, </w:t>
      </w:r>
      <w:r w:rsidRPr="00242A60">
        <w:rPr>
          <w:i/>
          <w:szCs w:val="28"/>
        </w:rPr>
        <w:t>Daimon</w:t>
      </w:r>
      <w:r w:rsidRPr="00242A60">
        <w:rPr>
          <w:szCs w:val="28"/>
        </w:rPr>
        <w:t xml:space="preserve">, 279–338; Valens, </w:t>
      </w:r>
      <w:r w:rsidRPr="00242A60">
        <w:rPr>
          <w:i/>
          <w:szCs w:val="28"/>
        </w:rPr>
        <w:t>Anthologies</w:t>
      </w:r>
      <w:r w:rsidRPr="00242A60">
        <w:rPr>
          <w:szCs w:val="28"/>
        </w:rPr>
        <w:t xml:space="preserve"> II.20–21.</w:t>
      </w:r>
    </w:p>
    <w:p w14:paraId="30FB57C6" w14:textId="77777777" w:rsidR="009F3BA9" w:rsidRPr="00242A60" w:rsidRDefault="009F3BA9" w:rsidP="009F3BA9">
      <w:pPr>
        <w:pStyle w:val="NoteEntry"/>
      </w:pPr>
      <w:r w:rsidRPr="00242A60">
        <w:rPr>
          <w:szCs w:val="28"/>
        </w:rPr>
        <w:t xml:space="preserve">17. Ptolemy, </w:t>
      </w:r>
      <w:r w:rsidRPr="00242A60">
        <w:rPr>
          <w:i/>
          <w:szCs w:val="28"/>
        </w:rPr>
        <w:t>Tetrabiblos</w:t>
      </w:r>
      <w:r w:rsidRPr="00242A60">
        <w:rPr>
          <w:szCs w:val="28"/>
        </w:rPr>
        <w:t xml:space="preserve"> I.1–3, trans. J. M. Ashmand (London, 1822). The supplied file reproduces Ashmand’s old English translation; it is used cautiously and cited by book and chapter. Modern scholarly control is preferable for verbatim philology.</w:t>
      </w:r>
    </w:p>
    <w:p w14:paraId="35630F0D" w14:textId="77777777" w:rsidR="009F3BA9" w:rsidRPr="00242A60" w:rsidRDefault="009F3BA9" w:rsidP="009F3BA9">
      <w:pPr>
        <w:pStyle w:val="NoteEntry"/>
      </w:pPr>
      <w:r w:rsidRPr="00242A60">
        <w:rPr>
          <w:szCs w:val="28"/>
        </w:rPr>
        <w:t xml:space="preserve">18. Ptolemy, </w:t>
      </w:r>
      <w:r w:rsidRPr="00242A60">
        <w:rPr>
          <w:i/>
          <w:szCs w:val="28"/>
        </w:rPr>
        <w:t>Tetrabiblos</w:t>
      </w:r>
      <w:r w:rsidRPr="00242A60">
        <w:rPr>
          <w:szCs w:val="28"/>
        </w:rPr>
        <w:t xml:space="preserve"> I.2–8.</w:t>
      </w:r>
    </w:p>
    <w:p w14:paraId="344525D3" w14:textId="77777777" w:rsidR="009F3BA9" w:rsidRPr="00242A60" w:rsidRDefault="009F3BA9" w:rsidP="009F3BA9">
      <w:pPr>
        <w:pStyle w:val="NoteEntry"/>
      </w:pPr>
      <w:r w:rsidRPr="00242A60">
        <w:rPr>
          <w:szCs w:val="28"/>
        </w:rPr>
        <w:t xml:space="preserve">19. Barton, </w:t>
      </w:r>
      <w:r w:rsidRPr="00242A60">
        <w:rPr>
          <w:i/>
          <w:szCs w:val="28"/>
        </w:rPr>
        <w:t>Ancient Astrology</w:t>
      </w:r>
      <w:r w:rsidRPr="00242A60">
        <w:rPr>
          <w:szCs w:val="28"/>
        </w:rPr>
        <w:t xml:space="preserve">, 102–13; Ptolemy, </w:t>
      </w:r>
      <w:r w:rsidRPr="00242A60">
        <w:rPr>
          <w:i/>
          <w:szCs w:val="28"/>
        </w:rPr>
        <w:t>Tetrabiblos</w:t>
      </w:r>
      <w:r w:rsidRPr="00242A60">
        <w:rPr>
          <w:szCs w:val="28"/>
        </w:rPr>
        <w:t xml:space="preserve"> I.2–3.</w:t>
      </w:r>
    </w:p>
    <w:p w14:paraId="5BC8E55E" w14:textId="77777777" w:rsidR="009F3BA9" w:rsidRPr="00242A60" w:rsidRDefault="009F3BA9" w:rsidP="009F3BA9">
      <w:pPr>
        <w:pStyle w:val="NoteEntry"/>
      </w:pPr>
      <w:r w:rsidRPr="00242A60">
        <w:rPr>
          <w:szCs w:val="28"/>
        </w:rPr>
        <w:t xml:space="preserve">20. Mark T. Riley, trans., </w:t>
      </w:r>
      <w:r w:rsidRPr="00242A60">
        <w:rPr>
          <w:i/>
          <w:szCs w:val="28"/>
        </w:rPr>
        <w:t>The Anthology of Vettius Valens</w:t>
      </w:r>
      <w:r w:rsidRPr="00242A60">
        <w:rPr>
          <w:szCs w:val="28"/>
        </w:rPr>
        <w:t xml:space="preserve"> (online complete translation, revised 2010), books I–IX; Pingree, ed., </w:t>
      </w:r>
      <w:r w:rsidRPr="00242A60">
        <w:rPr>
          <w:i/>
          <w:szCs w:val="28"/>
        </w:rPr>
        <w:t>Anthologiarum libri novem</w:t>
      </w:r>
      <w:r w:rsidRPr="00242A60">
        <w:rPr>
          <w:szCs w:val="28"/>
        </w:rPr>
        <w:t xml:space="preserve">. On Valens’s date, work, and transmission, see Stephan Heilen, “Vettius Valens,” in </w:t>
      </w:r>
      <w:r w:rsidRPr="00242A60">
        <w:rPr>
          <w:i/>
          <w:szCs w:val="28"/>
        </w:rPr>
        <w:t>The Encyclopedia of Ancient History</w:t>
      </w:r>
      <w:r w:rsidRPr="00242A60">
        <w:rPr>
          <w:szCs w:val="28"/>
        </w:rPr>
        <w:t>, ed. Roger S. Bagnall et al. (Malden, MA: Wiley-Blackwell, 2012).</w:t>
      </w:r>
    </w:p>
    <w:p w14:paraId="45143F8F" w14:textId="77777777" w:rsidR="009F3BA9" w:rsidRPr="00242A60" w:rsidRDefault="009F3BA9" w:rsidP="009F3BA9">
      <w:pPr>
        <w:pStyle w:val="NoteEntry"/>
      </w:pPr>
      <w:r w:rsidRPr="00242A60">
        <w:rPr>
          <w:szCs w:val="28"/>
        </w:rPr>
        <w:t xml:space="preserve">21. Greenbaum, </w:t>
      </w:r>
      <w:r w:rsidRPr="00242A60">
        <w:rPr>
          <w:i/>
          <w:szCs w:val="28"/>
        </w:rPr>
        <w:t>Daimon</w:t>
      </w:r>
      <w:r w:rsidRPr="00242A60">
        <w:rPr>
          <w:szCs w:val="28"/>
        </w:rPr>
        <w:t xml:space="preserve">, 17–45; Valens, </w:t>
      </w:r>
      <w:r w:rsidRPr="00242A60">
        <w:rPr>
          <w:i/>
          <w:szCs w:val="28"/>
        </w:rPr>
        <w:t>Anthologies</w:t>
      </w:r>
      <w:r w:rsidRPr="00242A60">
        <w:rPr>
          <w:szCs w:val="28"/>
        </w:rPr>
        <w:t xml:space="preserve"> V.9 and VII, proem. Greenbaum distinguishes levels of fate and providence in Valens rather than reducing his position to a single slogan.</w:t>
      </w:r>
    </w:p>
    <w:p w14:paraId="34D726D1" w14:textId="77777777" w:rsidR="009F3BA9" w:rsidRPr="00242A60" w:rsidRDefault="009F3BA9" w:rsidP="009F3BA9">
      <w:pPr>
        <w:pStyle w:val="NoteEntry"/>
      </w:pPr>
      <w:r w:rsidRPr="00242A60">
        <w:rPr>
          <w:szCs w:val="28"/>
        </w:rPr>
        <w:t xml:space="preserve">22. Dorotheus, </w:t>
      </w:r>
      <w:r w:rsidRPr="00242A60">
        <w:rPr>
          <w:i/>
          <w:szCs w:val="28"/>
        </w:rPr>
        <w:t>Carmen Astrologicum</w:t>
      </w:r>
      <w:r w:rsidRPr="00242A60">
        <w:rPr>
          <w:szCs w:val="28"/>
        </w:rPr>
        <w:t>, introduction, 1–60. The work’s transmission through Greek, Middle Persian, Arabic, and Latin witnesses requires critical reconstruction; the supplied edition explains rather than conceals this history.</w:t>
      </w:r>
    </w:p>
    <w:p w14:paraId="3CF8FFE9" w14:textId="77777777" w:rsidR="009F3BA9" w:rsidRPr="00242A60" w:rsidRDefault="009F3BA9" w:rsidP="009F3BA9">
      <w:pPr>
        <w:pStyle w:val="NoteEntry"/>
      </w:pPr>
      <w:r w:rsidRPr="00242A60">
        <w:rPr>
          <w:szCs w:val="28"/>
        </w:rPr>
        <w:t xml:space="preserve">23. Dorotheus, </w:t>
      </w:r>
      <w:r w:rsidRPr="00242A60">
        <w:rPr>
          <w:i/>
          <w:szCs w:val="28"/>
        </w:rPr>
        <w:t>Carmen Astrologicum</w:t>
      </w:r>
      <w:r w:rsidRPr="00242A60">
        <w:rPr>
          <w:szCs w:val="28"/>
        </w:rPr>
        <w:t xml:space="preserve"> I.24–28; Greenbaum, </w:t>
      </w:r>
      <w:r w:rsidRPr="00242A60">
        <w:rPr>
          <w:i/>
          <w:szCs w:val="28"/>
        </w:rPr>
        <w:t>Daimon</w:t>
      </w:r>
      <w:r w:rsidRPr="00242A60">
        <w:rPr>
          <w:szCs w:val="28"/>
        </w:rPr>
        <w:t>, 50–76.</w:t>
      </w:r>
    </w:p>
    <w:p w14:paraId="377E5B45" w14:textId="77777777" w:rsidR="009F3BA9" w:rsidRPr="00242A60" w:rsidRDefault="009F3BA9" w:rsidP="009F3BA9">
      <w:pPr>
        <w:pStyle w:val="NoteEntry"/>
      </w:pPr>
      <w:r w:rsidRPr="00242A60">
        <w:rPr>
          <w:szCs w:val="28"/>
        </w:rPr>
        <w:t xml:space="preserve">24. Manilius, </w:t>
      </w:r>
      <w:r w:rsidRPr="00242A60">
        <w:rPr>
          <w:i/>
          <w:szCs w:val="28"/>
        </w:rPr>
        <w:t>Astronomica</w:t>
      </w:r>
      <w:r w:rsidRPr="00242A60">
        <w:rPr>
          <w:szCs w:val="28"/>
        </w:rPr>
        <w:t xml:space="preserve"> IV.14–22, ed. and trans. G. P. Goold (Cambridge, MA: Harvard University Press, 1977). Manilius is cited from the standard Loeb edition because no reliable complete edition was supplied in the Chapter 4 folder.</w:t>
      </w:r>
    </w:p>
    <w:p w14:paraId="058046CD" w14:textId="77777777" w:rsidR="009F3BA9" w:rsidRPr="00242A60" w:rsidRDefault="009F3BA9" w:rsidP="009F3BA9">
      <w:pPr>
        <w:pStyle w:val="NoteEntry"/>
      </w:pPr>
      <w:r w:rsidRPr="00242A60">
        <w:rPr>
          <w:szCs w:val="28"/>
        </w:rPr>
        <w:t xml:space="preserve">25. Manilius, </w:t>
      </w:r>
      <w:r w:rsidRPr="00242A60">
        <w:rPr>
          <w:i/>
          <w:szCs w:val="28"/>
        </w:rPr>
        <w:t>Astronomica</w:t>
      </w:r>
      <w:r w:rsidRPr="00242A60">
        <w:rPr>
          <w:szCs w:val="28"/>
        </w:rPr>
        <w:t xml:space="preserve"> II, especially the signs, aspects, and places; Greenbaum, </w:t>
      </w:r>
      <w:r w:rsidRPr="00242A60">
        <w:rPr>
          <w:i/>
          <w:szCs w:val="28"/>
        </w:rPr>
        <w:t>Daimon</w:t>
      </w:r>
      <w:r w:rsidRPr="00242A60">
        <w:rPr>
          <w:szCs w:val="28"/>
        </w:rPr>
        <w:t>, 46–76, 415–17.</w:t>
      </w:r>
    </w:p>
    <w:p w14:paraId="2528ED0F" w14:textId="77777777" w:rsidR="009F3BA9" w:rsidRPr="00242A60" w:rsidRDefault="009F3BA9" w:rsidP="009F3BA9">
      <w:pPr>
        <w:pStyle w:val="NoteEntry"/>
      </w:pPr>
      <w:r w:rsidRPr="00242A60">
        <w:rPr>
          <w:szCs w:val="28"/>
        </w:rPr>
        <w:t xml:space="preserve">26. Valens, </w:t>
      </w:r>
      <w:r w:rsidRPr="00242A60">
        <w:rPr>
          <w:i/>
          <w:szCs w:val="28"/>
        </w:rPr>
        <w:t>Anthologies</w:t>
      </w:r>
      <w:r w:rsidRPr="00242A60">
        <w:rPr>
          <w:szCs w:val="28"/>
        </w:rPr>
        <w:t xml:space="preserve"> III–VII; Dorotheus, </w:t>
      </w:r>
      <w:r w:rsidRPr="00242A60">
        <w:rPr>
          <w:i/>
          <w:szCs w:val="28"/>
        </w:rPr>
        <w:t>Carmen Astrologicum</w:t>
      </w:r>
      <w:r w:rsidRPr="00242A60">
        <w:rPr>
          <w:szCs w:val="28"/>
        </w:rPr>
        <w:t xml:space="preserve"> IV; Greenbaum, </w:t>
      </w:r>
      <w:r w:rsidRPr="00242A60">
        <w:rPr>
          <w:i/>
          <w:szCs w:val="28"/>
        </w:rPr>
        <w:t>Daimon</w:t>
      </w:r>
      <w:r w:rsidRPr="00242A60">
        <w:rPr>
          <w:szCs w:val="28"/>
        </w:rPr>
        <w:t xml:space="preserve">, 470–71; Barton, </w:t>
      </w:r>
      <w:r w:rsidRPr="00242A60">
        <w:rPr>
          <w:i/>
          <w:szCs w:val="28"/>
        </w:rPr>
        <w:t>Ancient Astrology</w:t>
      </w:r>
      <w:r w:rsidRPr="00242A60">
        <w:rPr>
          <w:szCs w:val="28"/>
        </w:rPr>
        <w:t>, 92–101, 125–41.</w:t>
      </w:r>
    </w:p>
    <w:p w14:paraId="2E1B0FF9" w14:textId="77777777" w:rsidR="009F3BA9" w:rsidRPr="00242A60" w:rsidRDefault="009F3BA9" w:rsidP="009F3BA9">
      <w:pPr>
        <w:pStyle w:val="NoteEntry"/>
      </w:pPr>
      <w:r w:rsidRPr="00242A60">
        <w:rPr>
          <w:szCs w:val="28"/>
        </w:rPr>
        <w:t xml:space="preserve">27. Barton, </w:t>
      </w:r>
      <w:r w:rsidRPr="00242A60">
        <w:rPr>
          <w:i/>
          <w:szCs w:val="28"/>
        </w:rPr>
        <w:t>Ancient Astrology</w:t>
      </w:r>
      <w:r w:rsidRPr="00242A60">
        <w:rPr>
          <w:szCs w:val="28"/>
        </w:rPr>
        <w:t>, 1–8, 86–113, 179–206.</w:t>
      </w:r>
    </w:p>
    <w:p w14:paraId="5F408DC9" w14:textId="77777777" w:rsidR="009F3BA9" w:rsidRPr="00242A60" w:rsidRDefault="009F3BA9" w:rsidP="009F3BA9">
      <w:pPr>
        <w:pStyle w:val="NoteEntry"/>
      </w:pPr>
      <w:r w:rsidRPr="00242A60">
        <w:rPr>
          <w:szCs w:val="28"/>
        </w:rPr>
        <w:t xml:space="preserve">28. Ptolemy, </w:t>
      </w:r>
      <w:r w:rsidRPr="00242A60">
        <w:rPr>
          <w:i/>
          <w:szCs w:val="28"/>
        </w:rPr>
        <w:t>Tetrabiblos</w:t>
      </w:r>
      <w:r w:rsidRPr="00242A60">
        <w:rPr>
          <w:szCs w:val="28"/>
        </w:rPr>
        <w:t xml:space="preserve"> II.1–2, III.11–14, and IV.3; Barton, </w:t>
      </w:r>
      <w:r w:rsidRPr="00242A60">
        <w:rPr>
          <w:i/>
          <w:szCs w:val="28"/>
        </w:rPr>
        <w:t>Ancient Astrology</w:t>
      </w:r>
      <w:r w:rsidRPr="00242A60">
        <w:rPr>
          <w:szCs w:val="28"/>
        </w:rPr>
        <w:t>, 102–13.</w:t>
      </w:r>
    </w:p>
    <w:p w14:paraId="4A8C390D" w14:textId="77777777" w:rsidR="009F3BA9" w:rsidRPr="00242A60" w:rsidRDefault="009F3BA9" w:rsidP="009F3BA9">
      <w:pPr>
        <w:pStyle w:val="NoteEntry"/>
      </w:pPr>
      <w:r w:rsidRPr="00242A60">
        <w:rPr>
          <w:szCs w:val="28"/>
        </w:rPr>
        <w:t xml:space="preserve">29. Barton, </w:t>
      </w:r>
      <w:r w:rsidRPr="00242A60">
        <w:rPr>
          <w:i/>
          <w:szCs w:val="28"/>
        </w:rPr>
        <w:t>Ancient Astrology</w:t>
      </w:r>
      <w:r w:rsidRPr="00242A60">
        <w:rPr>
          <w:szCs w:val="28"/>
        </w:rPr>
        <w:t>, 32–62, 114–41, 157–78.</w:t>
      </w:r>
    </w:p>
    <w:p w14:paraId="00758A2F" w14:textId="77777777" w:rsidR="009F3BA9" w:rsidRPr="00242A60" w:rsidRDefault="009F3BA9" w:rsidP="009F3BA9">
      <w:pPr>
        <w:pStyle w:val="NoteEntry"/>
      </w:pPr>
      <w:r w:rsidRPr="00242A60">
        <w:rPr>
          <w:szCs w:val="28"/>
        </w:rPr>
        <w:t xml:space="preserve">30. Barton, </w:t>
      </w:r>
      <w:r w:rsidRPr="00242A60">
        <w:rPr>
          <w:i/>
          <w:szCs w:val="28"/>
        </w:rPr>
        <w:t>Ancient Astrology</w:t>
      </w:r>
      <w:r w:rsidRPr="00242A60">
        <w:rPr>
          <w:szCs w:val="28"/>
        </w:rPr>
        <w:t xml:space="preserve">, 52–57, 102–13; Ptolemy, </w:t>
      </w:r>
      <w:r w:rsidRPr="00242A60">
        <w:rPr>
          <w:i/>
          <w:szCs w:val="28"/>
        </w:rPr>
        <w:t>Tetrabiblos</w:t>
      </w:r>
      <w:r w:rsidRPr="00242A60">
        <w:rPr>
          <w:szCs w:val="28"/>
        </w:rPr>
        <w:t xml:space="preserve"> I.2–3; A. A. Long and D. N. Sedley, </w:t>
      </w:r>
      <w:r w:rsidRPr="00242A60">
        <w:rPr>
          <w:i/>
          <w:szCs w:val="28"/>
        </w:rPr>
        <w:t>The Hellenistic Philosophers</w:t>
      </w:r>
      <w:r w:rsidRPr="00242A60">
        <w:rPr>
          <w:szCs w:val="28"/>
        </w:rPr>
        <w:t>, vol. 1 (Cambridge: Cambridge University Press, 1987), secs. 55–62.</w:t>
      </w:r>
    </w:p>
    <w:p w14:paraId="3842D41D" w14:textId="77777777" w:rsidR="00F93551" w:rsidRDefault="00DD7D58">
      <w:pPr>
        <w:pStyle w:val="PartHeading"/>
      </w:pPr>
      <w:bookmarkStart w:id="6" w:name="toc_part_5"/>
      <w:r>
        <w:t>Part II</w:t>
      </w:r>
      <w:r>
        <w:br/>
      </w:r>
      <w:r>
        <w:rPr>
          <w:sz w:val="40"/>
        </w:rPr>
        <w:t>From Cosmos to Creation</w:t>
      </w:r>
      <w:bookmarkEnd w:id="6"/>
    </w:p>
    <w:p w14:paraId="76D0285C" w14:textId="77777777" w:rsidR="00B306DE" w:rsidRPr="00242A60" w:rsidRDefault="00B306DE" w:rsidP="00B306DE">
      <w:pPr>
        <w:pStyle w:val="ChapterHeading"/>
      </w:pPr>
      <w:bookmarkStart w:id="7" w:name="toc_chapter_5"/>
      <w:r>
        <w:rPr>
          <w:sz w:val="28"/>
        </w:rPr>
        <w:t>Chapter 5</w:t>
      </w:r>
      <w:r>
        <w:rPr>
          <w:sz w:val="28"/>
        </w:rPr>
        <w:br/>
      </w:r>
      <w:r>
        <w:t>Creation Against the Gods</w:t>
      </w:r>
      <w:bookmarkEnd w:id="7"/>
    </w:p>
    <w:p w14:paraId="2AA95632" w14:textId="77777777" w:rsidR="00B306DE" w:rsidRPr="00242A60" w:rsidRDefault="00B306DE" w:rsidP="00B306DE">
      <w:pPr>
        <w:pStyle w:val="SectionHeading"/>
      </w:pPr>
      <w:r w:rsidRPr="00242A60">
        <w:rPr>
          <w:bCs/>
          <w:szCs w:val="28"/>
        </w:rPr>
        <w:t>The Spoken</w:t>
      </w:r>
    </w:p>
    <w:p w14:paraId="3D5C90E9" w14:textId="77777777" w:rsidR="00B306DE" w:rsidRPr="00242A60" w:rsidRDefault="00B306DE" w:rsidP="00B306DE">
      <w:pPr>
        <w:pStyle w:val="BookBody"/>
      </w:pPr>
      <w:r w:rsidRPr="00242A60">
        <w:rPr>
          <w:szCs w:val="28"/>
        </w:rPr>
        <w:t>The first material witness of this chapter is not a picture of the heavens. It is a week spoken aloud.</w:t>
      </w:r>
    </w:p>
    <w:p w14:paraId="232FFED5" w14:textId="77777777" w:rsidR="00B306DE" w:rsidRPr="00242A60" w:rsidRDefault="00B306DE" w:rsidP="00B306DE">
      <w:pPr>
        <w:pStyle w:val="BookBody"/>
      </w:pPr>
      <w:r w:rsidRPr="00242A60">
        <w:rPr>
          <w:szCs w:val="28"/>
        </w:rPr>
        <w:t>Imagine the opening of Genesis before it became a page encountered in private. Its sentences move by recurrence: God speaks; something becomes; God sees; evening arrives; morning follows. Light, waters, earth, vegetation, the great lights, living creatures, and humankind enter an ordered sequence. The cadence allows a community to anticipate what comes next. Its repetitions are not literary padding. They make cosmic order repeatable in the human voice. At the end, the rhythm changes. The seventh day receives no new creature. God ceases from the work, blesses the day, and makes it holy. The creation account terminates not in an object but in a practice of time.</w:t>
      </w:r>
      <w:r w:rsidRPr="00242A60">
        <w:rPr>
          <w:szCs w:val="28"/>
          <w:vertAlign w:val="superscript"/>
        </w:rPr>
        <w:t>1</w:t>
      </w:r>
    </w:p>
    <w:p w14:paraId="034FF019" w14:textId="77777777" w:rsidR="00B306DE" w:rsidRPr="00242A60" w:rsidRDefault="00B306DE" w:rsidP="00B306DE">
      <w:pPr>
        <w:pStyle w:val="BookBody"/>
      </w:pPr>
      <w:r w:rsidRPr="00242A60">
        <w:rPr>
          <w:szCs w:val="28"/>
        </w:rPr>
        <w:t>That practice is one of the most consequential transformations in the history traced by this book. Earlier calendars coordinated human action with powers whose appearances could be read as divine activity: the waxing Moon, the heliacal rising of a star, the seasonal return of rain, the alternation of fertility and drought. Genesis does not abolish these recurrences. It places them inside a week that culminates in cessation. Human beings do not honor the seventh day because Saturn possesses it, because a celestial configuration makes it auspicious, or because a king has won a cosmic battle. They stop because the creator stopped. A social body therefore carries a claim about the whole cosmos in the arrangement of its labor.</w:t>
      </w:r>
    </w:p>
    <w:p w14:paraId="2CBAA3D5" w14:textId="77777777" w:rsidR="00B306DE" w:rsidRPr="00242A60" w:rsidRDefault="00B306DE" w:rsidP="00B306DE">
      <w:pPr>
        <w:pStyle w:val="BookBody"/>
      </w:pPr>
      <w:r w:rsidRPr="00242A60">
        <w:rPr>
          <w:szCs w:val="28"/>
        </w:rPr>
        <w:t>The claim is radical but easily misunderstood. The biblical reorganization of the cosmos is often narrated as disenchantment: many gods disappear, one transcendent God remains, and nature becomes inert. That sequence is too clean. Genesis does strip the Sun, Moon, sea, and fertility of independent divinity. Yet the result is not dead matter. The world responds to command, receives blessing, generates life, bears divine approval, marks sacred times, and finally joins a rest that is holy. Elsewhere in the Hebrew Bible the hills exult, floods clap, stars sing, and animals look to God for food. The creation can praise because dependence has not destroyed its vitality. It has redescribed the source and limit of that vitality.</w:t>
      </w:r>
    </w:p>
    <w:p w14:paraId="0F2BF76E" w14:textId="77777777" w:rsidR="00B306DE" w:rsidRPr="00242A60" w:rsidRDefault="00B306DE" w:rsidP="00B306DE">
      <w:pPr>
        <w:pStyle w:val="BookBody"/>
      </w:pPr>
      <w:r w:rsidRPr="00242A60">
        <w:rPr>
          <w:szCs w:val="28"/>
        </w:rPr>
        <w:t xml:space="preserve">The governing question is therefore not merely, </w:t>
      </w:r>
      <w:r w:rsidRPr="00242A60">
        <w:rPr>
          <w:i/>
          <w:szCs w:val="28"/>
        </w:rPr>
        <w:t>How did one God replace many?</w:t>
      </w:r>
      <w:r w:rsidRPr="00242A60">
        <w:rPr>
          <w:szCs w:val="28"/>
        </w:rPr>
        <w:t xml:space="preserve"> It is more exacting: </w:t>
      </w:r>
      <w:r w:rsidRPr="00242A60">
        <w:rPr>
          <w:i/>
          <w:szCs w:val="28"/>
        </w:rPr>
        <w:t>What changes when no cosmic element may claim ultimate sovereignty?</w:t>
      </w:r>
      <w:r w:rsidRPr="00242A60">
        <w:rPr>
          <w:szCs w:val="28"/>
        </w:rPr>
        <w:t xml:space="preserve"> The answer will require Genesis, but it will not end there. Psalms preserve fragments of divine combat. Job lets the wild creation resist human measure. Prophets turn the language of creation against idols and empires. Wisdom stands beside God at the world’s founding. Apocalyptic visions reactivate sea monsters and cosmic disorder to imagine history’s transformation. Across these texts, the biblical achievement is not the simple elimination of a living cosmos. It is the making of a creaturely cosmos—dependent, contingent, good, dangerous, vocal, and incapable of becoming God.</w:t>
      </w:r>
    </w:p>
    <w:p w14:paraId="24BFE14C" w14:textId="77777777" w:rsidR="00B306DE" w:rsidRPr="00242A60" w:rsidRDefault="00B306DE" w:rsidP="00B306DE">
      <w:pPr>
        <w:pStyle w:val="SectionHeading"/>
      </w:pPr>
      <w:r w:rsidRPr="00242A60">
        <w:rPr>
          <w:bCs/>
          <w:szCs w:val="28"/>
        </w:rPr>
        <w:t>Against the Gods, Not Against Life</w:t>
      </w:r>
    </w:p>
    <w:p w14:paraId="7032EC22" w14:textId="77777777" w:rsidR="00B306DE" w:rsidRPr="00242A60" w:rsidRDefault="00B306DE" w:rsidP="00B306DE">
      <w:pPr>
        <w:pStyle w:val="BookBody"/>
      </w:pPr>
      <w:r w:rsidRPr="00242A60">
        <w:rPr>
          <w:szCs w:val="28"/>
        </w:rPr>
        <w:t>“Demythologization” can name part of this process, but only if the word is handled carefully. It does not mean that Israelite writers suddenly saw what modern science sees and discarded the errors of their neighbors. Their world still possessed waters above the sky, storehouses of snow, foundations of the earth, heavenly hosts, divine council imagery, and monstrous embodiments of disorder. Nor does it mean that every biblical author held one systematically purified cosmology. The texts preserve arguments, layers, and tensions.</w:t>
      </w:r>
    </w:p>
    <w:p w14:paraId="6C99D826" w14:textId="77777777" w:rsidR="00B306DE" w:rsidRPr="00242A60" w:rsidRDefault="00B306DE" w:rsidP="00B306DE">
      <w:pPr>
        <w:pStyle w:val="BookBody"/>
      </w:pPr>
      <w:r w:rsidRPr="00242A60">
        <w:rPr>
          <w:szCs w:val="28"/>
        </w:rPr>
        <w:t>What they repeatedly do is deny cosmic powers the right to explain themselves. The sea has no unanswerable sovereignty. The storm has no independent throne. The lights do not control the calendar by their own divinity; they are appointed to serve as signs. Fertility is not secured by the sexual drama of gods. Kingship cannot validate itself by reenacting a god’s ascent over rivals. Even the chaos monsters, when they appear, are defeated, bounded, mocked, or kept as creatures. The question is always one of rank: what may act, what may signify, what may be feared—and what may be worshiped.</w:t>
      </w:r>
    </w:p>
    <w:p w14:paraId="65061720" w14:textId="77777777" w:rsidR="00B306DE" w:rsidRPr="00242A60" w:rsidRDefault="00B306DE" w:rsidP="00B306DE">
      <w:pPr>
        <w:pStyle w:val="BookBody"/>
      </w:pPr>
      <w:r w:rsidRPr="00242A60">
        <w:rPr>
          <w:szCs w:val="28"/>
        </w:rPr>
        <w:t>That distinction matters for the history of the living cosmos. A power can lose divinity without losing reality. The sea still drowns. The storm still terrifies. The Sun still governs the day in the ordinary sense that daylight orders work. Animals still possess forms of life that exceed human possession. By refusing them ultimacy, biblical creation theology can describe them more fully as themselves. The Sun need not be a god to be glorious. Leviathan need not be God’s equal to be fearsome. The earth need not be a goddess to receive seed, yield food, mourn violence, and testify against its inhabitants.</w:t>
      </w:r>
    </w:p>
    <w:p w14:paraId="35B20110" w14:textId="77777777" w:rsidR="00B306DE" w:rsidRPr="00242A60" w:rsidRDefault="00B306DE" w:rsidP="00B306DE">
      <w:pPr>
        <w:pStyle w:val="BookBody"/>
      </w:pPr>
      <w:r w:rsidRPr="00242A60">
        <w:rPr>
          <w:szCs w:val="28"/>
        </w:rPr>
        <w:t>Jon Levenson has shown why biblical creation should not be reduced to a philosophical proposition about a first moment. Much of its language concerns God’s establishment and preservation of order against forces that continue to threaten it. Creation and victory, creation and kingship, creation and temple, creation and covenant overlap. The world’s order is real, but it is also vulnerable. Praise, obedience, ritual, and divine action participate in its maintenance and renewal.</w:t>
      </w:r>
      <w:r w:rsidRPr="00242A60">
        <w:rPr>
          <w:szCs w:val="28"/>
          <w:vertAlign w:val="superscript"/>
        </w:rPr>
        <w:t>2</w:t>
      </w:r>
      <w:r w:rsidRPr="00242A60">
        <w:rPr>
          <w:szCs w:val="28"/>
        </w:rPr>
        <w:t xml:space="preserve"> This is why the Bible can speak of creation as primordial act, present provision, historical deliverance, and future restoration without feeling obliged to separate them into distinct doctrines.</w:t>
      </w:r>
    </w:p>
    <w:p w14:paraId="08DFA5DF" w14:textId="77777777" w:rsidR="00B306DE" w:rsidRPr="00242A60" w:rsidRDefault="00B306DE" w:rsidP="00B306DE">
      <w:pPr>
        <w:pStyle w:val="BookBody"/>
      </w:pPr>
      <w:r w:rsidRPr="00242A60">
        <w:rPr>
          <w:szCs w:val="28"/>
        </w:rPr>
        <w:t>The change from gods to creatures is therefore a change in relation. A god possesses a sphere and can bargain, rebel, reproduce, or contend within a society of powers. A creature receives existence, place, limit, and vocation. It may be magnificent, but its magnificence points beyond itself. It may be dangerous, but its danger is bounded. It may mediate divine generosity, but it cannot demand the adoration due to the source of that generosity. Creatureliness is not worthlessness. It is a way of being fully real without being self-grounding.</w:t>
      </w:r>
    </w:p>
    <w:p w14:paraId="06EB1470" w14:textId="77777777" w:rsidR="00B306DE" w:rsidRPr="00242A60" w:rsidRDefault="00B306DE" w:rsidP="00B306DE">
      <w:pPr>
        <w:pStyle w:val="SectionHeading"/>
      </w:pPr>
      <w:r w:rsidRPr="00242A60">
        <w:rPr>
          <w:bCs/>
          <w:szCs w:val="28"/>
        </w:rPr>
        <w:t>The Worlds Genesis Inherits</w:t>
      </w:r>
    </w:p>
    <w:p w14:paraId="037BB78D" w14:textId="77777777" w:rsidR="00B306DE" w:rsidRPr="00242A60" w:rsidRDefault="00B306DE" w:rsidP="00B306DE">
      <w:pPr>
        <w:pStyle w:val="BookBody"/>
      </w:pPr>
      <w:r w:rsidRPr="00242A60">
        <w:rPr>
          <w:szCs w:val="28"/>
        </w:rPr>
        <w:t>Genesis did not arise in an empty library. Its writers and earliest hearers inhabited the cultural world of western Asia, where stories of origin had long joined cosmology to labor, cult, city, and kingship. Similarities between these stories and Genesis are neither embarrassing accidents nor proof that the texts say the same thing. Shared motifs establish the field in which differences become meaningful.</w:t>
      </w:r>
    </w:p>
    <w:p w14:paraId="3C3D4BCD" w14:textId="77777777" w:rsidR="00B306DE" w:rsidRPr="00242A60" w:rsidRDefault="00B306DE" w:rsidP="00B306DE">
      <w:pPr>
        <w:pStyle w:val="BookBody"/>
      </w:pPr>
      <w:r w:rsidRPr="00242A60">
        <w:rPr>
          <w:szCs w:val="28"/>
        </w:rPr>
        <w:t>Claus Westermann insisted that the two Genesis creation narratives belong to a far older and wider human effort to speak about beginnings, while also warning against compressing their diverse forms into a single category called “myth.”</w:t>
      </w:r>
      <w:r w:rsidRPr="00242A60">
        <w:rPr>
          <w:szCs w:val="28"/>
          <w:vertAlign w:val="superscript"/>
        </w:rPr>
        <w:t>3</w:t>
      </w:r>
      <w:r w:rsidRPr="00242A60">
        <w:rPr>
          <w:szCs w:val="28"/>
        </w:rPr>
        <w:t xml:space="preserve"> The narratives collect inherited images—primeval waters, separation of realms, formation of humans from earth, a divine garden—and put them to new uses. Their novelty lies less in inventing every element than in changing the relations among elements.</w:t>
      </w:r>
    </w:p>
    <w:p w14:paraId="1691DE6D" w14:textId="77777777" w:rsidR="00B306DE" w:rsidRPr="00242A60" w:rsidRDefault="00B306DE" w:rsidP="00B306DE">
      <w:pPr>
        <w:pStyle w:val="BookBody"/>
      </w:pPr>
      <w:r w:rsidRPr="00242A60">
        <w:rPr>
          <w:szCs w:val="28"/>
        </w:rPr>
        <w:t xml:space="preserve">Three surrounding traditions illuminate the change. </w:t>
      </w:r>
      <w:r w:rsidRPr="00242A60">
        <w:rPr>
          <w:i/>
          <w:szCs w:val="28"/>
        </w:rPr>
        <w:t>Atrahasis</w:t>
      </w:r>
      <w:r w:rsidRPr="00242A60">
        <w:rPr>
          <w:szCs w:val="28"/>
        </w:rPr>
        <w:t xml:space="preserve"> begins from divine labor and creates humanity to relieve it. The Babylonian </w:t>
      </w:r>
      <w:r w:rsidRPr="00242A60">
        <w:rPr>
          <w:i/>
          <w:szCs w:val="28"/>
        </w:rPr>
        <w:t>Epic of Creation</w:t>
      </w:r>
      <w:r w:rsidRPr="00242A60">
        <w:rPr>
          <w:szCs w:val="28"/>
        </w:rPr>
        <w:t xml:space="preserve">, conventionally called </w:t>
      </w:r>
      <w:r w:rsidRPr="00242A60">
        <w:rPr>
          <w:i/>
          <w:szCs w:val="28"/>
        </w:rPr>
        <w:t>Enuma Elish</w:t>
      </w:r>
      <w:r w:rsidRPr="00242A60">
        <w:rPr>
          <w:szCs w:val="28"/>
        </w:rPr>
        <w:t xml:space="preserve"> from its opening words, makes the ordered world from Marduk’s victory over Tiamat and culminates in Babylonian cult and kingship. The Ugaritic Baal cycle stages the storm god’s rise through conflict with Sea and Death and the construction of his palace. These are not primitive attempts at science. They are accounts of why labor is distributed as it is, why a city or deity rules, why temple service matters, and why the precarious patterns of rain and fertility can be trusted.</w:t>
      </w:r>
    </w:p>
    <w:p w14:paraId="750EC519" w14:textId="77777777" w:rsidR="00B306DE" w:rsidRPr="00242A60" w:rsidRDefault="00B306DE" w:rsidP="00B306DE">
      <w:pPr>
        <w:pStyle w:val="BookBody"/>
      </w:pPr>
      <w:r w:rsidRPr="00242A60">
        <w:rPr>
          <w:szCs w:val="28"/>
        </w:rPr>
        <w:t>Debra Scoggins Ballentine usefully describes the combat pattern as a political theology in narrative form. In the Babylonian, Assyrian, and Ugaritic texts, a warrior deity defeats a rival and thereby secures kingship. The tale ranks gods, legitimates institutions, and projects human relations of authority into the divine sphere.</w:t>
      </w:r>
      <w:r w:rsidRPr="00242A60">
        <w:rPr>
          <w:szCs w:val="28"/>
          <w:vertAlign w:val="superscript"/>
        </w:rPr>
        <w:t>4</w:t>
      </w:r>
      <w:r w:rsidRPr="00242A60">
        <w:rPr>
          <w:szCs w:val="28"/>
        </w:rPr>
        <w:t xml:space="preserve"> Genesis will refuse that divine society. But other biblical poems will retain the combat imagery and direct it toward different ends. The relation is neither simple borrowing nor simple rejection. It is inherited language under contested sovereignty.</w:t>
      </w:r>
    </w:p>
    <w:p w14:paraId="52AC578D" w14:textId="77777777" w:rsidR="00B306DE" w:rsidRPr="00242A60" w:rsidRDefault="00B306DE" w:rsidP="00B306DE">
      <w:pPr>
        <w:pStyle w:val="SectionHeading"/>
      </w:pPr>
      <w:r w:rsidRPr="00242A60">
        <w:rPr>
          <w:bCs/>
          <w:szCs w:val="28"/>
        </w:rPr>
        <w:t>When the Gods Had to Work</w:t>
      </w:r>
    </w:p>
    <w:p w14:paraId="38A7A5A6" w14:textId="77777777" w:rsidR="00B306DE" w:rsidRPr="00242A60" w:rsidRDefault="00B306DE" w:rsidP="00B306DE">
      <w:pPr>
        <w:pStyle w:val="BookBody"/>
      </w:pPr>
      <w:r w:rsidRPr="00242A60">
        <w:rPr>
          <w:i/>
          <w:szCs w:val="28"/>
        </w:rPr>
        <w:t>Atrahasis</w:t>
      </w:r>
      <w:r w:rsidRPr="00242A60">
        <w:rPr>
          <w:szCs w:val="28"/>
        </w:rPr>
        <w:t xml:space="preserve"> begins before humanity, but not before work. The lesser gods dig canals and maintain the water system on which Mesopotamian agriculture depends. Their labor becomes intolerable. They burn their tools, surround the house of the divine executive Enlil, and demand relief. The crisis is not that the cosmos lacks material. It is that the society of gods has distributed burdens badly.</w:t>
      </w:r>
    </w:p>
    <w:p w14:paraId="128A9A96" w14:textId="77777777" w:rsidR="00B306DE" w:rsidRPr="00242A60" w:rsidRDefault="00B306DE" w:rsidP="00B306DE">
      <w:pPr>
        <w:pStyle w:val="BookBody"/>
      </w:pPr>
      <w:r w:rsidRPr="00242A60">
        <w:rPr>
          <w:szCs w:val="28"/>
        </w:rPr>
        <w:t>The solution is humanity. A god is killed, and divine flesh and blood are mixed with clay. Humans receive the task the lesser gods refuse. Their origin explains both their earthly substance and their capacity to bear divine service. Stephanie Dalley’s translation makes the social purpose of the episode unmistakable: the new species will carry the gods’ load.</w:t>
      </w:r>
      <w:r w:rsidRPr="00242A60">
        <w:rPr>
          <w:szCs w:val="28"/>
          <w:vertAlign w:val="superscript"/>
        </w:rPr>
        <w:t>5</w:t>
      </w:r>
      <w:r w:rsidRPr="00242A60">
        <w:rPr>
          <w:szCs w:val="28"/>
        </w:rPr>
        <w:t xml:space="preserve"> Human work, irrigation, temple offerings, and the divine economy belong to one system.</w:t>
      </w:r>
    </w:p>
    <w:p w14:paraId="6A5938B1" w14:textId="77777777" w:rsidR="00B306DE" w:rsidRPr="00242A60" w:rsidRDefault="00B306DE" w:rsidP="00B306DE">
      <w:pPr>
        <w:pStyle w:val="BookBody"/>
      </w:pPr>
      <w:r w:rsidRPr="00242A60">
        <w:rPr>
          <w:szCs w:val="28"/>
        </w:rPr>
        <w:t>The story does not end in stable partnership. Human beings multiply, and their “noise” disturbs Enlil’s sleep. Plague, drought, and famine fail to solve the problem, so the gods decide on a flood. Atrahasis survives through the intervention of Enki. Afterward the gods impose new limits on fertility and lifespan. Creation is adjusted because the labor force has become unmanageable.</w:t>
      </w:r>
    </w:p>
    <w:p w14:paraId="7BE0D416" w14:textId="77777777" w:rsidR="00B306DE" w:rsidRPr="00242A60" w:rsidRDefault="00B306DE" w:rsidP="00B306DE">
      <w:pPr>
        <w:pStyle w:val="BookBody"/>
      </w:pPr>
      <w:r w:rsidRPr="00242A60">
        <w:rPr>
          <w:szCs w:val="28"/>
        </w:rPr>
        <w:t>This is a living cosmos in a strong and morally ambiguous sense. Divine appetite, exhaustion, fear, intrigue, and need organize human existence. The gods require human work and food; humans require divine restraint. Neither side is independent. The world is animated by reciprocal dependence, but the reciprocity is unequal and unstable. Humanity’s vocation is service, yet its success at living becomes an offense.</w:t>
      </w:r>
    </w:p>
    <w:p w14:paraId="7B353E82" w14:textId="77777777" w:rsidR="00B306DE" w:rsidRPr="00242A60" w:rsidRDefault="00B306DE" w:rsidP="00B306DE">
      <w:pPr>
        <w:pStyle w:val="BookBody"/>
      </w:pPr>
      <w:r w:rsidRPr="00242A60">
        <w:rPr>
          <w:szCs w:val="28"/>
        </w:rPr>
        <w:t xml:space="preserve">Genesis 1 takes up several features of this field and rearranges them. Humans are made from the earth in Genesis 2, but no slain god supplies their blood. They receive work, but their labor does not feed a needy deity. They multiply by blessing, not by accident, and their fruitfulness is pronounced good. Most remarkably, divine rest is not purchased by human drudgery. God works without a laboring divine class, completes the work, and shares the pattern of cessation with humankind. Sabbath reverses the logic of </w:t>
      </w:r>
      <w:r w:rsidRPr="00242A60">
        <w:rPr>
          <w:i/>
          <w:szCs w:val="28"/>
        </w:rPr>
        <w:t>Atrahasis</w:t>
      </w:r>
      <w:r w:rsidRPr="00242A60">
        <w:rPr>
          <w:szCs w:val="28"/>
        </w:rPr>
        <w:t>: the human is not created so that the gods may rest; divine rest becomes the warrant by which human labor is limited.</w:t>
      </w:r>
    </w:p>
    <w:p w14:paraId="44ABFE6F" w14:textId="77777777" w:rsidR="00B306DE" w:rsidRPr="00242A60" w:rsidRDefault="00B306DE" w:rsidP="00B306DE">
      <w:pPr>
        <w:pStyle w:val="BookBody"/>
      </w:pPr>
      <w:r w:rsidRPr="00242A60">
        <w:rPr>
          <w:szCs w:val="28"/>
        </w:rPr>
        <w:t>That reversal acquires political force in the Sabbath command. In Exodus 20 the seventh day imitates the creation week. In Deuteronomy 5 it remembers slavery and liberation. In both, the cessation extends beyond the male household head to children, servants, resident aliens, and animals. The cosmic calendar becomes a social restriction on mastery. No owner may make another creature’s labor absolute. The week spoken in Genesis becomes a protection carried by bodies.</w:t>
      </w:r>
    </w:p>
    <w:p w14:paraId="154CAFE2" w14:textId="77777777" w:rsidR="00B306DE" w:rsidRPr="00242A60" w:rsidRDefault="00B306DE" w:rsidP="00B306DE">
      <w:pPr>
        <w:pStyle w:val="SectionHeading"/>
      </w:pPr>
      <w:r w:rsidRPr="00242A60">
        <w:rPr>
          <w:bCs/>
          <w:szCs w:val="28"/>
        </w:rPr>
        <w:t>Marduk’s World</w:t>
      </w:r>
    </w:p>
    <w:p w14:paraId="3A04367C" w14:textId="77777777" w:rsidR="00B306DE" w:rsidRPr="00242A60" w:rsidRDefault="00B306DE" w:rsidP="00B306DE">
      <w:pPr>
        <w:pStyle w:val="BookBody"/>
      </w:pPr>
      <w:r w:rsidRPr="00242A60">
        <w:rPr>
          <w:szCs w:val="28"/>
        </w:rPr>
        <w:t xml:space="preserve">The </w:t>
      </w:r>
      <w:r w:rsidRPr="00242A60">
        <w:rPr>
          <w:i/>
          <w:szCs w:val="28"/>
        </w:rPr>
        <w:t>Epic of Creation</w:t>
      </w:r>
      <w:r w:rsidRPr="00242A60">
        <w:rPr>
          <w:szCs w:val="28"/>
        </w:rPr>
        <w:t xml:space="preserve"> begins with mingled waters. Apsu, the fresh water, and Tiamat, the sea, are divine progenitors. New generations of gods arise and disturb Apsu, who plans their destruction. Ea kills him. Tiamat, driven into war, produces monsters and gives Kingu the Tablet of Destinies. The gods seek a champion. Marduk agrees to fight on the condition that victory will make his command supreme.</w:t>
      </w:r>
    </w:p>
    <w:p w14:paraId="4EAB1487" w14:textId="77777777" w:rsidR="00B306DE" w:rsidRPr="00242A60" w:rsidRDefault="00B306DE" w:rsidP="00B306DE">
      <w:pPr>
        <w:pStyle w:val="BookBody"/>
      </w:pPr>
      <w:r w:rsidRPr="00242A60">
        <w:rPr>
          <w:szCs w:val="28"/>
        </w:rPr>
        <w:t>His battle is both physical and constitutional. Marduk entraps Tiamat with winds, kills her, and splits her body. From one half he makes the sky; from the other, the lower cosmic structure. He stations celestial bodies, orders the calendar, establishes the Moon’s phases, and assigns the movements by which time will be known. Humanity is fashioned from the blood of Kingu, the defeated leader of Tiamat’s host, so that humans may bear the gods’ service. The gods build Babylon and Marduk’s temple, Esagila. The poem closes by rehearsing his fifty names.</w:t>
      </w:r>
      <w:r w:rsidRPr="00242A60">
        <w:rPr>
          <w:szCs w:val="28"/>
          <w:vertAlign w:val="superscript"/>
        </w:rPr>
        <w:t>6</w:t>
      </w:r>
    </w:p>
    <w:p w14:paraId="143F64F3" w14:textId="77777777" w:rsidR="00B306DE" w:rsidRPr="00242A60" w:rsidRDefault="00B306DE" w:rsidP="00B306DE">
      <w:pPr>
        <w:pStyle w:val="BookBody"/>
      </w:pPr>
      <w:r w:rsidRPr="00242A60">
        <w:rPr>
          <w:szCs w:val="28"/>
        </w:rPr>
        <w:t>Creation here is inseparable from a victory that makes one god king. The physical world is the stabilized aftermath of divine war. Cosmic organization, human labor, calendar, city, and temple all ratify Marduk’s supremacy. The narrative does not merely tell how matter acquired form. It makes Babylon’s order appear continuous with the deepest structure of reality.</w:t>
      </w:r>
    </w:p>
    <w:p w14:paraId="5F1072F3" w14:textId="77777777" w:rsidR="00B306DE" w:rsidRPr="00242A60" w:rsidRDefault="00B306DE" w:rsidP="00B306DE">
      <w:pPr>
        <w:pStyle w:val="BookBody"/>
      </w:pPr>
      <w:r w:rsidRPr="00242A60">
        <w:rPr>
          <w:szCs w:val="28"/>
        </w:rPr>
        <w:t>Genesis 1 shares enough vocabulary of cosmic ordering for the contrast to register. There are primeval waters, a division of waters above and below, an expanse, dry land, lights that regulate times, living creatures, humanity, and divine rest. Yet there is no divine genealogy, no frightened assembly, no negotiated commission, no slain creator-mother, no monster army, and no enthronement won by force. God does not require recognition from peers before speech becomes effective. “Let there be” has no opponent.</w:t>
      </w:r>
    </w:p>
    <w:p w14:paraId="1516C8B8" w14:textId="77777777" w:rsidR="00B306DE" w:rsidRPr="00242A60" w:rsidRDefault="00B306DE" w:rsidP="00B306DE">
      <w:pPr>
        <w:pStyle w:val="BookBody"/>
      </w:pPr>
      <w:r w:rsidRPr="00242A60">
        <w:rPr>
          <w:szCs w:val="28"/>
        </w:rPr>
        <w:t xml:space="preserve">The contrast must not be exaggerated into a claim that Genesis 1 secretly retells the Marduk myth line by line. The Hebrew </w:t>
      </w:r>
      <w:r w:rsidRPr="00242A60">
        <w:rPr>
          <w:i/>
          <w:szCs w:val="28"/>
        </w:rPr>
        <w:t>tehom</w:t>
      </w:r>
      <w:r w:rsidRPr="00242A60">
        <w:rPr>
          <w:szCs w:val="28"/>
        </w:rPr>
        <w:t>, “the deep,” and Akkadian Tiamat are related within a Semitic vocabulary of the sea, but David Tsumura’s linguistic analysis rejects the once-popular claim that the Hebrew word was simply borrowed from the goddess’s name and then demythologized. In Genesis the deep is neither named as a deity nor personified as a combatant.</w:t>
      </w:r>
      <w:r w:rsidRPr="00242A60">
        <w:rPr>
          <w:szCs w:val="28"/>
          <w:vertAlign w:val="superscript"/>
        </w:rPr>
        <w:t>7</w:t>
      </w:r>
      <w:r w:rsidRPr="00242A60">
        <w:rPr>
          <w:szCs w:val="28"/>
        </w:rPr>
        <w:t xml:space="preserve"> The important point is literary and theological: waters are present, dangerous, and in need of ordering, but they are not God’s mother, rival, corpse, or source of legitimacy.</w:t>
      </w:r>
    </w:p>
    <w:p w14:paraId="261EF8A9" w14:textId="77777777" w:rsidR="00B306DE" w:rsidRPr="00242A60" w:rsidRDefault="00B306DE" w:rsidP="00B306DE">
      <w:pPr>
        <w:pStyle w:val="BookBody"/>
      </w:pPr>
      <w:r w:rsidRPr="00242A60">
        <w:rPr>
          <w:szCs w:val="28"/>
        </w:rPr>
        <w:t>Genesis thereby separates creation from divine violence without denying the sea’s threat. The world does not originate as a carcass. Material plurality is not the anatomy of a defeated god. Order is established by distinctions, assignments, blessings, and limits. The creator’s sovereignty is anterior to the world’s arrangement; it is not the prize won at the end of that arrangement.</w:t>
      </w:r>
    </w:p>
    <w:p w14:paraId="0D363F9E" w14:textId="77777777" w:rsidR="00B306DE" w:rsidRPr="00242A60" w:rsidRDefault="00B306DE" w:rsidP="00B306DE">
      <w:pPr>
        <w:pStyle w:val="SectionHeading"/>
      </w:pPr>
      <w:r w:rsidRPr="00242A60">
        <w:rPr>
          <w:bCs/>
          <w:szCs w:val="28"/>
        </w:rPr>
        <w:t>Baal, Sea, and Death</w:t>
      </w:r>
    </w:p>
    <w:p w14:paraId="75334A2A" w14:textId="77777777" w:rsidR="00B306DE" w:rsidRPr="00242A60" w:rsidRDefault="00B306DE" w:rsidP="00B306DE">
      <w:pPr>
        <w:pStyle w:val="BookBody"/>
      </w:pPr>
      <w:r w:rsidRPr="00242A60">
        <w:rPr>
          <w:szCs w:val="28"/>
        </w:rPr>
        <w:t>The Baal cycle brings the comparison westward to Ugarit on the Syrian coast. Its protagonist is the storm god whose rain sustains fertility. In the cycle’s governing affirmation, Baal is king. That kingship must be achieved and displayed.</w:t>
      </w:r>
    </w:p>
    <w:p w14:paraId="4BB12F2F" w14:textId="77777777" w:rsidR="00B306DE" w:rsidRPr="00242A60" w:rsidRDefault="00B306DE" w:rsidP="00B306DE">
      <w:pPr>
        <w:pStyle w:val="BookBody"/>
      </w:pPr>
      <w:r w:rsidRPr="00242A60">
        <w:rPr>
          <w:szCs w:val="28"/>
        </w:rPr>
        <w:t>Sea—Yamm—demands that the divine assembly surrender Baal. The gods fear him. With weapons made by the craftsman deity Kothar-wa-Hasis, Baal strikes Sea and secures victory. Yet victory is incomplete until Baal receives a palace. A palace makes kingship visible, provides a dwelling proportionate to rank, and permits the storm god’s voice to thunder from an opened window. Later Baal confronts Death—Mot—descends, disappears, and returns. Agricultural fertility and divine conflict correspond without becoming a simple seasonal diagram.</w:t>
      </w:r>
      <w:r w:rsidRPr="00242A60">
        <w:rPr>
          <w:szCs w:val="28"/>
          <w:vertAlign w:val="superscript"/>
        </w:rPr>
        <w:t>8</w:t>
      </w:r>
    </w:p>
    <w:p w14:paraId="676BF6B6" w14:textId="77777777" w:rsidR="00B306DE" w:rsidRPr="00242A60" w:rsidRDefault="00B306DE" w:rsidP="00B306DE">
      <w:pPr>
        <w:pStyle w:val="BookBody"/>
      </w:pPr>
      <w:r w:rsidRPr="00242A60">
        <w:rPr>
          <w:szCs w:val="28"/>
        </w:rPr>
        <w:t>The cycle makes cosmic conditions political. Sea and Death are not impersonal facts. They are powers whose relation to Baal determines the habitability of the world. Rain is the storm god’s agency; drought follows his absence. The palace above and the city below mirror structures of rule. A king’s legitimacy, a god’s house, and the return of fertility participate in one symbolic world.</w:t>
      </w:r>
    </w:p>
    <w:p w14:paraId="33E49FC0" w14:textId="77777777" w:rsidR="00B306DE" w:rsidRPr="00242A60" w:rsidRDefault="00B306DE" w:rsidP="00B306DE">
      <w:pPr>
        <w:pStyle w:val="BookBody"/>
      </w:pPr>
      <w:r w:rsidRPr="00242A60">
        <w:rPr>
          <w:szCs w:val="28"/>
        </w:rPr>
        <w:t>Biblical texts do not merely forget this world. They argue within its language. Psalm 29 takes the storm’s thunder, its breaking of cedars, its flashing fire, and its shaking wilderness and names the voice in the storm as the voice of YHWH. Psalm 74 remembers God crushing the heads of sea monsters. Isaiah calls on the divine arm that cut Rahab and pierced the dragon. Such texts are not Genesis 1, but their presence prevents a simple story in which Israel first “had myth” and then discarded it.</w:t>
      </w:r>
    </w:p>
    <w:p w14:paraId="64D15759" w14:textId="77777777" w:rsidR="00B306DE" w:rsidRPr="00242A60" w:rsidRDefault="00B306DE" w:rsidP="00B306DE">
      <w:pPr>
        <w:pStyle w:val="BookBody"/>
      </w:pPr>
      <w:r w:rsidRPr="00242A60">
        <w:rPr>
          <w:szCs w:val="28"/>
        </w:rPr>
        <w:t>Genesis 1 does something quieter. The waters are divided without combat. Vegetation appears before the celestial lights and without a fertility god’s sexual or military drama. The sky is not a palace earned after battle. God’s speech needs no thunder to become command. What Baal wins, the creator already possesses. The polemic works by refusing to stage the contest.</w:t>
      </w:r>
    </w:p>
    <w:p w14:paraId="4E10DFED" w14:textId="77777777" w:rsidR="00B306DE" w:rsidRPr="00242A60" w:rsidRDefault="00B306DE" w:rsidP="00B306DE">
      <w:pPr>
        <w:pStyle w:val="SectionHeading"/>
      </w:pPr>
      <w:r w:rsidRPr="00242A60">
        <w:rPr>
          <w:bCs/>
          <w:szCs w:val="28"/>
        </w:rPr>
        <w:t>Ordering Without Combat</w:t>
      </w:r>
    </w:p>
    <w:p w14:paraId="786B64D4" w14:textId="77777777" w:rsidR="00B306DE" w:rsidRPr="00242A60" w:rsidRDefault="00B306DE" w:rsidP="00B306DE">
      <w:pPr>
        <w:pStyle w:val="BookBody"/>
      </w:pPr>
      <w:r w:rsidRPr="00242A60">
        <w:rPr>
          <w:szCs w:val="28"/>
        </w:rPr>
        <w:t xml:space="preserve">The opening of Genesis is often forced to answer a question it does not explicitly ask: did God create matter out of absolute nothing? Later Jewish and Christian thinkers will formulate that doctrine with great metaphysical precision. Genesis 1:1–2 can be construed in more than one grammatical way, and its immediate scene is a dark, unproductive earth with waters and divine wind or spirit. Mark S. Smith and Levenson both warn that reading the fully developed doctrine of </w:t>
      </w:r>
      <w:r w:rsidRPr="00242A60">
        <w:rPr>
          <w:i/>
          <w:szCs w:val="28"/>
        </w:rPr>
        <w:t>creatio ex nihilo</w:t>
      </w:r>
      <w:r w:rsidRPr="00242A60">
        <w:rPr>
          <w:szCs w:val="28"/>
        </w:rPr>
        <w:t xml:space="preserve"> directly into these verses can conceal the text’s own concerns.</w:t>
      </w:r>
      <w:r w:rsidRPr="00242A60">
        <w:rPr>
          <w:szCs w:val="28"/>
          <w:vertAlign w:val="superscript"/>
        </w:rPr>
        <w:t>9</w:t>
      </w:r>
    </w:p>
    <w:p w14:paraId="4B082222" w14:textId="77777777" w:rsidR="00B306DE" w:rsidRPr="00242A60" w:rsidRDefault="00B306DE" w:rsidP="00B306DE">
      <w:pPr>
        <w:pStyle w:val="BookBody"/>
      </w:pPr>
      <w:r w:rsidRPr="00242A60">
        <w:rPr>
          <w:szCs w:val="28"/>
        </w:rPr>
        <w:t>Those concerns are not modest. The narrative takes a condition in which distinctions and habitability are absent and turns it into a world of ordered relations. Light is distinguished from darkness. Waters are divided. Dry land appears. Earth brings forth vegetation. Lights are appointed for signs, seasons, days, and years. Waters and air teem; earth produces animals; humankind receives blessing and responsibility. Repeated acts of naming and separation are not arbitrary taxonomy. They establish the differences through which creatures can flourish together.</w:t>
      </w:r>
    </w:p>
    <w:p w14:paraId="12125BC7" w14:textId="77777777" w:rsidR="00B306DE" w:rsidRPr="00242A60" w:rsidRDefault="00B306DE" w:rsidP="00B306DE">
      <w:pPr>
        <w:pStyle w:val="BookBody"/>
      </w:pPr>
      <w:r w:rsidRPr="00242A60">
        <w:rPr>
          <w:szCs w:val="28"/>
        </w:rPr>
        <w:t>“Formless and void” can mislead if it evokes Greek philosophical matter awaiting form. Westermann emphasizes the concrete, unproductive state of the earth rather than an abstract metaphysical substrate.</w:t>
      </w:r>
      <w:r w:rsidRPr="00242A60">
        <w:rPr>
          <w:szCs w:val="28"/>
          <w:vertAlign w:val="superscript"/>
        </w:rPr>
        <w:t>10</w:t>
      </w:r>
      <w:r w:rsidRPr="00242A60">
        <w:rPr>
          <w:szCs w:val="28"/>
        </w:rPr>
        <w:t xml:space="preserve"> Tsumura similarly argues from Hebrew usage that </w:t>
      </w:r>
      <w:r w:rsidRPr="00242A60">
        <w:rPr>
          <w:i/>
          <w:szCs w:val="28"/>
        </w:rPr>
        <w:t>tohu</w:t>
      </w:r>
      <w:r w:rsidRPr="00242A60">
        <w:rPr>
          <w:szCs w:val="28"/>
        </w:rPr>
        <w:t xml:space="preserve"> and </w:t>
      </w:r>
      <w:r w:rsidRPr="00242A60">
        <w:rPr>
          <w:i/>
          <w:szCs w:val="28"/>
        </w:rPr>
        <w:t>bohu</w:t>
      </w:r>
      <w:r w:rsidRPr="00242A60">
        <w:rPr>
          <w:szCs w:val="28"/>
        </w:rPr>
        <w:t xml:space="preserve"> describe an unproductive or uninhabited condition, not a personified Chaos. Creation is the move from nonfunctioning conditions to a differentiated, fertile habitat.</w:t>
      </w:r>
    </w:p>
    <w:p w14:paraId="6557AA92" w14:textId="77777777" w:rsidR="00B306DE" w:rsidRPr="00242A60" w:rsidRDefault="00B306DE" w:rsidP="00B306DE">
      <w:pPr>
        <w:pStyle w:val="BookBody"/>
      </w:pPr>
      <w:r w:rsidRPr="00242A60">
        <w:rPr>
          <w:szCs w:val="28"/>
        </w:rPr>
        <w:t>The repeated verdict “good” names more than visual attractiveness. A creature is good in its place and relation: light for day, lights for times, earth capable of growth, animals capable of fecundity. The judgment does not claim that no danger or death will ever appear. Genesis itself will soon narrate fracture. It says that the ordered whole is fitting, generous, and approved before it becomes the arena of human disobedience.</w:t>
      </w:r>
    </w:p>
    <w:p w14:paraId="6F37959A" w14:textId="77777777" w:rsidR="00B306DE" w:rsidRPr="00242A60" w:rsidRDefault="00B306DE" w:rsidP="00B306DE">
      <w:pPr>
        <w:pStyle w:val="BookBody"/>
      </w:pPr>
      <w:r w:rsidRPr="00242A60">
        <w:rPr>
          <w:szCs w:val="28"/>
        </w:rPr>
        <w:t>Gerhard von Rad saw the Priestly account as a theological prologue to Israel’s history rather than an isolated speculation about physics.</w:t>
      </w:r>
      <w:r w:rsidRPr="00242A60">
        <w:rPr>
          <w:szCs w:val="28"/>
          <w:vertAlign w:val="superscript"/>
        </w:rPr>
        <w:t>11</w:t>
      </w:r>
      <w:r w:rsidRPr="00242A60">
        <w:rPr>
          <w:szCs w:val="28"/>
        </w:rPr>
        <w:t xml:space="preserve"> The creator who speaks at the beginning is the God who will address, bless, judge, covenant, liberate, and dwell. Creation is already relational. A word goes out; a world answers. The same pattern by which Israel will hear a command is extended to the elements. The world is neither divine nor mute.</w:t>
      </w:r>
    </w:p>
    <w:p w14:paraId="42732ABC" w14:textId="77777777" w:rsidR="00B306DE" w:rsidRPr="00242A60" w:rsidRDefault="00B306DE" w:rsidP="00B306DE">
      <w:pPr>
        <w:pStyle w:val="SectionHeading"/>
      </w:pPr>
      <w:r w:rsidRPr="00242A60">
        <w:rPr>
          <w:bCs/>
          <w:szCs w:val="28"/>
        </w:rPr>
        <w:t>The Lights That Do Not Rule</w:t>
      </w:r>
    </w:p>
    <w:p w14:paraId="573B3674" w14:textId="77777777" w:rsidR="00B306DE" w:rsidRPr="00242A60" w:rsidRDefault="00B306DE" w:rsidP="00B306DE">
      <w:pPr>
        <w:pStyle w:val="BookBody"/>
      </w:pPr>
      <w:r w:rsidRPr="00242A60">
        <w:rPr>
          <w:szCs w:val="28"/>
        </w:rPr>
        <w:t>On the fourth day, Genesis performs one of its sharpest acts of reassignment. It never uses the ordinary Hebrew names for Sun and Moon in this passage. It calls them the greater and lesser lights. This may avoid names with strong divine associations, but the narrative does not demean the bodies themselves. It gives them large tasks: to separate day from night, mark appointed times, and illuminate the earth. It adds the stars with almost startling brevity.</w:t>
      </w:r>
    </w:p>
    <w:p w14:paraId="15A4D6E9" w14:textId="77777777" w:rsidR="00B306DE" w:rsidRPr="00242A60" w:rsidRDefault="00B306DE" w:rsidP="00B306DE">
      <w:pPr>
        <w:pStyle w:val="BookBody"/>
      </w:pPr>
      <w:r w:rsidRPr="00242A60">
        <w:rPr>
          <w:szCs w:val="28"/>
        </w:rPr>
        <w:t>The sequence intensifies the point. Light exists on the first day; the lights are appointed on the fourth. The Sun is not the source on which God or light depends. Nor do the lights enter as personalities with genealogies and appetites. They are made, placed, assigned, and evaluated. Their governance is real but delegated. To “rule” day and night means to serve an ordered function within creation, not to possess subjects by divine right.</w:t>
      </w:r>
      <w:r w:rsidRPr="00242A60">
        <w:rPr>
          <w:szCs w:val="28"/>
          <w:vertAlign w:val="superscript"/>
        </w:rPr>
        <w:t>12</w:t>
      </w:r>
    </w:p>
    <w:p w14:paraId="6FD56928" w14:textId="77777777" w:rsidR="00B306DE" w:rsidRPr="00242A60" w:rsidRDefault="00B306DE" w:rsidP="00B306DE">
      <w:pPr>
        <w:pStyle w:val="BookBody"/>
      </w:pPr>
      <w:r w:rsidRPr="00242A60">
        <w:rPr>
          <w:szCs w:val="28"/>
        </w:rPr>
        <w:t>This is not modern astronomy. The expanse still belongs to an ancient picture of the sky, and the lights are discussed from the standpoint of earthly time. The transformation is theological and political. A body that emperors may claim as patron and astrologers may treat as an administrator of fate becomes a creaturely servant of times and seasons.</w:t>
      </w:r>
    </w:p>
    <w:p w14:paraId="69300C6E" w14:textId="77777777" w:rsidR="00B306DE" w:rsidRPr="00242A60" w:rsidRDefault="00B306DE" w:rsidP="00B306DE">
      <w:pPr>
        <w:pStyle w:val="BookBody"/>
      </w:pPr>
      <w:r w:rsidRPr="00242A60">
        <w:rPr>
          <w:szCs w:val="28"/>
        </w:rPr>
        <w:t>The distinction will echo through the law and prophets. Deuteronomy 4:19 warns Israel not to be drawn into worship when looking up at Sun, Moon, and stars. The warning assumes their splendor. It does not require pretending they are unimpressive; it requires refusing to mistake splendor for sovereignty. Isaiah 40 says that the creator brings out the heavenly host by number and calls each by name. The stars have not vanished into insignificance. Their innumerable grandeur becomes evidence that they are known and summoned.</w:t>
      </w:r>
    </w:p>
    <w:p w14:paraId="7359BD30" w14:textId="77777777" w:rsidR="00B306DE" w:rsidRPr="00242A60" w:rsidRDefault="00B306DE" w:rsidP="00B306DE">
      <w:pPr>
        <w:pStyle w:val="BookBody"/>
      </w:pPr>
      <w:r w:rsidRPr="00242A60">
        <w:rPr>
          <w:szCs w:val="28"/>
        </w:rPr>
        <w:t>This reassignment creates a durable ambiguity in the biblical cosmos. The heavenly host can still be spoken of in ways that suggest a populated heaven, and later traditions will elaborate angels and astral intelligences. Yet the canonical pressure is clear: no celestial body may close the causal chain in itself. It may signify, govern, or mediate only as a creature. Chapter 4’s qualitative heavens have not yet become the mathematically operational heavens of modernity. But their ultimacy has been broken.</w:t>
      </w:r>
    </w:p>
    <w:p w14:paraId="54BBC37C" w14:textId="77777777" w:rsidR="00B306DE" w:rsidRPr="00242A60" w:rsidRDefault="00B306DE" w:rsidP="00B306DE">
      <w:pPr>
        <w:pStyle w:val="SectionHeading"/>
      </w:pPr>
      <w:r w:rsidRPr="00242A60">
        <w:rPr>
          <w:bCs/>
          <w:szCs w:val="28"/>
        </w:rPr>
        <w:t>The Image Given to Everyone</w:t>
      </w:r>
    </w:p>
    <w:p w14:paraId="42475F5D" w14:textId="77777777" w:rsidR="00B306DE" w:rsidRPr="00242A60" w:rsidRDefault="00B306DE" w:rsidP="00B306DE">
      <w:pPr>
        <w:pStyle w:val="BookBody"/>
      </w:pPr>
      <w:r w:rsidRPr="00242A60">
        <w:rPr>
          <w:szCs w:val="28"/>
        </w:rPr>
        <w:t>The sixth day moves the question of sovereignty from sky to humanity. In Mesopotamian and Egyptian political theology, divine image language could attach with special force to the king. Genesis 1 declares humankind—male and female—to be made in the image and likeness of God. A royal designation is distributed across the species.</w:t>
      </w:r>
    </w:p>
    <w:p w14:paraId="47223B2A" w14:textId="77777777" w:rsidR="00B306DE" w:rsidRPr="00242A60" w:rsidRDefault="00B306DE" w:rsidP="00B306DE">
      <w:pPr>
        <w:pStyle w:val="BookBody"/>
      </w:pPr>
      <w:r w:rsidRPr="00242A60">
        <w:rPr>
          <w:szCs w:val="28"/>
        </w:rPr>
        <w:t>This democratization is inseparable from the command to exercise dominion over other creatures. The text has often been recruited to authorize exploitation, and its verbs are strong. Yet the narrative places human rule under several constraints. The image-bearer is not a god. Dominion is received, not seized. The animals have already been blessed independently. Both humans and land animals are initially given plants for food. And the creator’s own rule, the archetype of creaturely authority, culminates not in endless extraction but in blessing and cessation.</w:t>
      </w:r>
      <w:r w:rsidRPr="00242A60">
        <w:rPr>
          <w:szCs w:val="28"/>
          <w:vertAlign w:val="superscript"/>
        </w:rPr>
        <w:t>13</w:t>
      </w:r>
    </w:p>
    <w:p w14:paraId="0744A5EF" w14:textId="77777777" w:rsidR="00B306DE" w:rsidRPr="00242A60" w:rsidRDefault="00B306DE" w:rsidP="00B306DE">
      <w:pPr>
        <w:pStyle w:val="BookBody"/>
      </w:pPr>
      <w:r w:rsidRPr="00242A60">
        <w:rPr>
          <w:szCs w:val="28"/>
        </w:rPr>
        <w:t>The image therefore grants dignity and imposes representation. Humans stand within creation as creatures addressed by God and toward creation as agents responsible for its ordered flourishing. Their power is neither illusory nor absolute. To image God is precisely not to replace God.</w:t>
      </w:r>
    </w:p>
    <w:p w14:paraId="6F9E75F9" w14:textId="77777777" w:rsidR="00B306DE" w:rsidRPr="00242A60" w:rsidRDefault="00B306DE" w:rsidP="00B306DE">
      <w:pPr>
        <w:pStyle w:val="BookBody"/>
      </w:pPr>
      <w:r w:rsidRPr="00242A60">
        <w:rPr>
          <w:szCs w:val="28"/>
        </w:rPr>
        <w:t>The phrase “male and female” also blocks a royal monopoly. Image is not concentrated in one sex, dynasty, city, or cult statue. Living persons become the authorized image in a world where God is not represented by a manufactured divine body. This move can be read alongside the later prohibition of idols: the creator has already appointed living images, and they cannot be confined to a temple object or possessed by a monarch.</w:t>
      </w:r>
    </w:p>
    <w:p w14:paraId="2D20BB7B" w14:textId="77777777" w:rsidR="00B306DE" w:rsidRPr="00242A60" w:rsidRDefault="00B306DE" w:rsidP="00B306DE">
      <w:pPr>
        <w:pStyle w:val="BookBody"/>
      </w:pPr>
      <w:r w:rsidRPr="00242A60">
        <w:rPr>
          <w:szCs w:val="28"/>
        </w:rPr>
        <w:t>At the same time, Genesis does not dissolve social hierarchy by assertion. Its later interpreters will contest what dominion means, how human violence relates to animal life, and whether the image was damaged or lost. The historical point is narrower but profound. The biblical creator removes cosmic sovereignty from the Sun and Moon while granting derivative authority to ordinary human beings. The world becomes less divine at the top and more charged with accountable agency within.</w:t>
      </w:r>
    </w:p>
    <w:p w14:paraId="5BC5386C" w14:textId="77777777" w:rsidR="00B306DE" w:rsidRPr="00242A60" w:rsidRDefault="00B306DE" w:rsidP="00B306DE">
      <w:pPr>
        <w:pStyle w:val="SectionHeading"/>
      </w:pPr>
      <w:r w:rsidRPr="00242A60">
        <w:rPr>
          <w:bCs/>
          <w:szCs w:val="28"/>
        </w:rPr>
        <w:t>The Seventh Day and the House of God</w:t>
      </w:r>
    </w:p>
    <w:p w14:paraId="38125FCD" w14:textId="77777777" w:rsidR="00B306DE" w:rsidRPr="00242A60" w:rsidRDefault="00B306DE" w:rsidP="00B306DE">
      <w:pPr>
        <w:pStyle w:val="BookBody"/>
      </w:pPr>
      <w:r w:rsidRPr="00242A60">
        <w:rPr>
          <w:szCs w:val="28"/>
        </w:rPr>
        <w:t>The seventh day is not an appendix to six days of manufacture. It is the narrative’s goal. The day alone is blessed and sanctified. God’s cessation gives the created sequence a limit, and the limit becomes holy. Time, not a mountain or city, is the first sanctified reality named in Scripture.</w:t>
      </w:r>
    </w:p>
    <w:p w14:paraId="33F209C6" w14:textId="77777777" w:rsidR="00B306DE" w:rsidRPr="00242A60" w:rsidRDefault="00B306DE" w:rsidP="00B306DE">
      <w:pPr>
        <w:pStyle w:val="BookBody"/>
      </w:pPr>
      <w:r w:rsidRPr="00242A60">
        <w:rPr>
          <w:szCs w:val="28"/>
        </w:rPr>
        <w:t>This does not make sacred space irrelevant. Priestly texts connect creation, sanctuary, and divine presence through patterns of ordered distinction. The tabernacle instructions and their execution echo the language of command, completion, inspection, and blessing found in Genesis. Mark S. Smith argues that Genesis 1 presents the universe through a priestly vision in which God’s ordering presence and the sanctification of the seventh day belong together.</w:t>
      </w:r>
      <w:r w:rsidRPr="00242A60">
        <w:rPr>
          <w:szCs w:val="28"/>
          <w:vertAlign w:val="superscript"/>
        </w:rPr>
        <w:t>14</w:t>
      </w:r>
      <w:r w:rsidRPr="00242A60">
        <w:rPr>
          <w:szCs w:val="28"/>
        </w:rPr>
        <w:t xml:space="preserve"> Levenson likewise traces ancient links among cosmic victory, temple building, enthronement, and rest, while emphasizing the distinct Israelite reworking of those links.</w:t>
      </w:r>
      <w:r w:rsidRPr="00242A60">
        <w:rPr>
          <w:szCs w:val="28"/>
          <w:vertAlign w:val="superscript"/>
        </w:rPr>
        <w:t>15</w:t>
      </w:r>
    </w:p>
    <w:p w14:paraId="676DC3A6" w14:textId="77777777" w:rsidR="00B306DE" w:rsidRPr="00242A60" w:rsidRDefault="00B306DE" w:rsidP="00B306DE">
      <w:pPr>
        <w:pStyle w:val="BookBody"/>
      </w:pPr>
      <w:r w:rsidRPr="00242A60">
        <w:rPr>
          <w:szCs w:val="28"/>
        </w:rPr>
        <w:t xml:space="preserve">In </w:t>
      </w:r>
      <w:r w:rsidRPr="00242A60">
        <w:rPr>
          <w:i/>
          <w:szCs w:val="28"/>
        </w:rPr>
        <w:t>Enuma Elish</w:t>
      </w:r>
      <w:r w:rsidRPr="00242A60">
        <w:rPr>
          <w:szCs w:val="28"/>
        </w:rPr>
        <w:t>, Marduk’s victory leads the gods to build his temple. Divine rest is supported by human service in a city that expresses the victor’s rank. Genesis universalizes and moralizes the pattern. The whole ordered creation can be understood as the sphere of divine rule, yet its culmination is a day that resists possession. No city owns the seventh day. No king created it. Its recurrence carries primordial order into household, field, animal life, and communal worship.</w:t>
      </w:r>
    </w:p>
    <w:p w14:paraId="78F7A585" w14:textId="77777777" w:rsidR="00B306DE" w:rsidRPr="00242A60" w:rsidRDefault="00B306DE" w:rsidP="00B306DE">
      <w:pPr>
        <w:pStyle w:val="BookBody"/>
      </w:pPr>
      <w:r w:rsidRPr="00242A60">
        <w:rPr>
          <w:szCs w:val="28"/>
        </w:rPr>
        <w:t>The Sabbath calendar is therefore a material witness to creatureliness. A tool can be used without pause until it breaks; a slave can be treated as if another’s will exhausts the meaning of his body. Sabbath says that creaturely time does not belong wholly to production. The interruption is not escape from creation but participation in its completion. Rest acknowledges that the world is sustained by more than human work.</w:t>
      </w:r>
    </w:p>
    <w:p w14:paraId="4F95E6F0" w14:textId="77777777" w:rsidR="00B306DE" w:rsidRPr="00242A60" w:rsidRDefault="00B306DE" w:rsidP="00B306DE">
      <w:pPr>
        <w:pStyle w:val="BookBody"/>
      </w:pPr>
      <w:r w:rsidRPr="00242A60">
        <w:rPr>
          <w:szCs w:val="28"/>
        </w:rPr>
        <w:t>This is why the seventh day cannot be described as an early step toward a dead nature. It makes the world liturgical. The week bears a memory and summons an imitation. Created time becomes capable of holiness, and holiness becomes visible as restraint. The creator’s sovereignty is enacted not by consuming every available resource but by declaring enough.</w:t>
      </w:r>
    </w:p>
    <w:p w14:paraId="44C95656" w14:textId="77777777" w:rsidR="00B306DE" w:rsidRPr="00242A60" w:rsidRDefault="00B306DE" w:rsidP="00B306DE">
      <w:pPr>
        <w:pStyle w:val="SectionHeading"/>
      </w:pPr>
      <w:r w:rsidRPr="00242A60">
        <w:rPr>
          <w:bCs/>
          <w:szCs w:val="28"/>
        </w:rPr>
        <w:t>The Sanctuary as a Small World</w:t>
      </w:r>
    </w:p>
    <w:p w14:paraId="7B01F037" w14:textId="77777777" w:rsidR="00B306DE" w:rsidRPr="00242A60" w:rsidRDefault="00B306DE" w:rsidP="00B306DE">
      <w:pPr>
        <w:pStyle w:val="BookBody"/>
      </w:pPr>
      <w:r w:rsidRPr="00242A60">
        <w:rPr>
          <w:szCs w:val="28"/>
        </w:rPr>
        <w:t>The affinity between creation and sanctuary deserves more than a passing comparison, but it also requires caution. Genesis 1 does not explicitly say, “the universe is a temple,” and not every parallel between its seven days and later ritual structures proves deliberate architectural symbolism. The stronger claim is relational. Priestly creation and priestly worship share a concern for ordered distinctions through which divine presence and creaturely life can coexist.</w:t>
      </w:r>
    </w:p>
    <w:p w14:paraId="1469590E" w14:textId="77777777" w:rsidR="00B306DE" w:rsidRPr="00242A60" w:rsidRDefault="00B306DE" w:rsidP="00B306DE">
      <w:pPr>
        <w:pStyle w:val="BookBody"/>
      </w:pPr>
      <w:r w:rsidRPr="00242A60">
        <w:rPr>
          <w:szCs w:val="28"/>
        </w:rPr>
        <w:t>The tabernacle separates zones, appoints times, distinguishes ordinary from holy, and orders the service of bodies and materials. Its construction proceeds through divine speech and obedient execution. When the work is complete, Moses inspects it, blesses the workers, and the divine presence fills the dwelling. The verbal pattern recalls the creator who commands, completes, sees, blesses, and rests. The sanctuary does not manufacture God; it establishes a creaturely place capable of receiving presence.</w:t>
      </w:r>
    </w:p>
    <w:p w14:paraId="288A374B" w14:textId="77777777" w:rsidR="00B306DE" w:rsidRPr="00242A60" w:rsidRDefault="00B306DE" w:rsidP="00B306DE">
      <w:pPr>
        <w:pStyle w:val="BookBody"/>
      </w:pPr>
      <w:r w:rsidRPr="00242A60">
        <w:rPr>
          <w:szCs w:val="28"/>
        </w:rPr>
        <w:t>This relation helps explain why temple destruction can be experienced as a cosmic wound. Psalm 74 moves directly from the devastation of the sanctuary to God’s ancient rule and creative victory. The appeal is not confused. If the temple makes ordered presence locally perceptible, its desecration signifies an advance of disorder. The worshiper answers political violence by invoking the creator of day, night, seasons, sea, and land.</w:t>
      </w:r>
    </w:p>
    <w:p w14:paraId="5977FD7B" w14:textId="77777777" w:rsidR="00B306DE" w:rsidRPr="00242A60" w:rsidRDefault="00B306DE" w:rsidP="00B306DE">
      <w:pPr>
        <w:pStyle w:val="BookBody"/>
      </w:pPr>
      <w:r w:rsidRPr="00242A60">
        <w:rPr>
          <w:szCs w:val="28"/>
        </w:rPr>
        <w:t>Temple liturgy also gathers the more-than-human world into speech. Psalms performed by human voices command seas, rivers, mountains, weather, animals, and stars to praise. The worshiping community does not substitute itself for a silent cosmos. It lends articulate voice to a praise the texts attribute to creation as a whole. Liturgy becomes a meeting of cosmic and social order.</w:t>
      </w:r>
    </w:p>
    <w:p w14:paraId="6B442B3A" w14:textId="77777777" w:rsidR="00B306DE" w:rsidRPr="00242A60" w:rsidRDefault="00B306DE" w:rsidP="00B306DE">
      <w:pPr>
        <w:pStyle w:val="BookBody"/>
      </w:pPr>
      <w:r w:rsidRPr="00242A60">
        <w:rPr>
          <w:szCs w:val="28"/>
        </w:rPr>
        <w:t>The comparison with Marduk’s Esagila is again revealing. Both traditions link ordered cosmos, divine rule, cult, and rest. But Genesis refuses to make the sanctuary the reward of a god whose supremacy has been negotiated through violence. Nor does biblical worship feed a deity who would otherwise lack food. Offerings acknowledge dependence; they do not cure divine need. The house of God can therefore be honored without becoming the cosmic center that licenses a city’s absolute political claim.</w:t>
      </w:r>
    </w:p>
    <w:p w14:paraId="313B3E37" w14:textId="77777777" w:rsidR="00B306DE" w:rsidRPr="00242A60" w:rsidRDefault="00B306DE" w:rsidP="00B306DE">
      <w:pPr>
        <w:pStyle w:val="BookBody"/>
      </w:pPr>
      <w:r w:rsidRPr="00242A60">
        <w:rPr>
          <w:szCs w:val="28"/>
        </w:rPr>
        <w:t>The sanctuary is a concentrated sign, not a rival creation. Its distinctions train perception: material things can bear holiness without becoming gods; a place can mediate presence without containing the creator; ritual can participate in order without controlling it. In that sense, temple liturgy and Sabbath time carry the same discipline. Each locates human action inside an order received rather than invented.</w:t>
      </w:r>
    </w:p>
    <w:p w14:paraId="48CE9E6B" w14:textId="77777777" w:rsidR="00B306DE" w:rsidRPr="00242A60" w:rsidRDefault="00B306DE" w:rsidP="00B306DE">
      <w:pPr>
        <w:pStyle w:val="SectionHeading"/>
      </w:pPr>
      <w:r w:rsidRPr="00242A60">
        <w:rPr>
          <w:bCs/>
          <w:szCs w:val="28"/>
        </w:rPr>
        <w:t>Dust, Breath, and Garden</w:t>
      </w:r>
    </w:p>
    <w:p w14:paraId="39A051ED" w14:textId="77777777" w:rsidR="00B306DE" w:rsidRPr="00242A60" w:rsidRDefault="00B306DE" w:rsidP="00B306DE">
      <w:pPr>
        <w:pStyle w:val="BookBody"/>
      </w:pPr>
      <w:r w:rsidRPr="00242A60">
        <w:rPr>
          <w:szCs w:val="28"/>
        </w:rPr>
        <w:t>Genesis begins again at 2:4b. The shift in style, divine name, sequence, and scale is unmistakable. Instead of a seven-day cosmic architecture, the narrative looks across an earth where no shrub has yet appeared, no rain has fallen, and no human exists to work the ground. A stream or mist waters the land. God forms the human from dust and breathes into the nostrils the breath of life. The earthling becomes a living being.</w:t>
      </w:r>
    </w:p>
    <w:p w14:paraId="5673CFE2" w14:textId="77777777" w:rsidR="00B306DE" w:rsidRPr="00242A60" w:rsidRDefault="00B306DE" w:rsidP="00B306DE">
      <w:pPr>
        <w:pStyle w:val="BookBody"/>
      </w:pPr>
      <w:r w:rsidRPr="00242A60">
        <w:rPr>
          <w:szCs w:val="28"/>
        </w:rPr>
        <w:t xml:space="preserve">The Hebrew play between </w:t>
      </w:r>
      <w:r w:rsidRPr="00242A60">
        <w:rPr>
          <w:i/>
          <w:szCs w:val="28"/>
        </w:rPr>
        <w:t>adam</w:t>
      </w:r>
      <w:r w:rsidRPr="00242A60">
        <w:rPr>
          <w:szCs w:val="28"/>
        </w:rPr>
        <w:t xml:space="preserve"> and </w:t>
      </w:r>
      <w:r w:rsidRPr="00242A60">
        <w:rPr>
          <w:i/>
          <w:szCs w:val="28"/>
        </w:rPr>
        <w:t>adamah</w:t>
      </w:r>
      <w:r w:rsidRPr="00242A60">
        <w:rPr>
          <w:szCs w:val="28"/>
        </w:rPr>
        <w:t xml:space="preserve"> binds humanity to soil before it distinguishes man from woman. Human life is neither a spark trapped in alien matter nor an autonomous spirit using a disposable body. Dust formed and breath given belong to one creature. Dependence is double: the human comes from ground and lives from divine breath.</w:t>
      </w:r>
    </w:p>
    <w:p w14:paraId="33FAE253" w14:textId="77777777" w:rsidR="00B306DE" w:rsidRPr="00242A60" w:rsidRDefault="00B306DE" w:rsidP="00B306DE">
      <w:pPr>
        <w:pStyle w:val="BookBody"/>
      </w:pPr>
      <w:r w:rsidRPr="00242A60">
        <w:rPr>
          <w:szCs w:val="28"/>
        </w:rPr>
        <w:t>The garden is not effortless leisure. The human is placed there “to till it and keep it” (Gen. 2:15). Work belongs to the good beginning; painful toil comes later. The vocation is agricultural and custodial, joining productivity to protection. Westermann reads the account from the concrete environment of cultivated land bordered by steppe, where rain, soil, vegetation, and human labor are visibly interdependent.</w:t>
      </w:r>
      <w:r w:rsidRPr="00242A60">
        <w:rPr>
          <w:szCs w:val="28"/>
          <w:vertAlign w:val="superscript"/>
        </w:rPr>
        <w:t>16</w:t>
      </w:r>
      <w:r w:rsidRPr="00242A60">
        <w:rPr>
          <w:szCs w:val="28"/>
        </w:rPr>
        <w:t xml:space="preserve"> The narrative’s scale is intimate, but its anthropology is cosmic: the creature who names animals and receives companionship remains earth from earth.</w:t>
      </w:r>
    </w:p>
    <w:p w14:paraId="3AC96019" w14:textId="77777777" w:rsidR="00B306DE" w:rsidRPr="00242A60" w:rsidRDefault="00B306DE" w:rsidP="00B306DE">
      <w:pPr>
        <w:pStyle w:val="BookBody"/>
      </w:pPr>
      <w:r w:rsidRPr="00242A60">
        <w:rPr>
          <w:szCs w:val="28"/>
        </w:rPr>
        <w:t>The two Genesis accounts do not collapse into one seamless report. Their initial landscapes and orders differ. To preserve both is to preserve two perspectives on creatureliness. Genesis 1 places humanity within a structured totality and grants a representative vocation. Genesis 2 places the earthling within a local ecology and makes dependence tactile. The first moves toward Sabbath; the second toward garden, prohibition, relationship, and exile. Together they deny both human divinity and human insignificance.</w:t>
      </w:r>
    </w:p>
    <w:p w14:paraId="5A785FAB" w14:textId="77777777" w:rsidR="00B306DE" w:rsidRPr="00242A60" w:rsidRDefault="00B306DE" w:rsidP="00B306DE">
      <w:pPr>
        <w:pStyle w:val="BookBody"/>
      </w:pPr>
      <w:r w:rsidRPr="00242A60">
        <w:rPr>
          <w:szCs w:val="28"/>
        </w:rPr>
        <w:t>The divine command concerning the tree introduces contingency in another register. A creature can receive a boundary and transgress it. Moral agency is not self-creation. The serpent’s promise—“you will be like God”—tempts the humans to treat creaturely limit as deprivation. The story that follows will expose how the refusal of dependence fractures relations among God, human beings, animals, and earth. Yet even outside Eden the ground remains the medium of vocation, resistance, and life.</w:t>
      </w:r>
    </w:p>
    <w:p w14:paraId="56FB12FD" w14:textId="77777777" w:rsidR="00B306DE" w:rsidRPr="00242A60" w:rsidRDefault="00B306DE" w:rsidP="00B306DE">
      <w:pPr>
        <w:pStyle w:val="SectionHeading"/>
      </w:pPr>
      <w:r w:rsidRPr="00242A60">
        <w:rPr>
          <w:bCs/>
          <w:szCs w:val="28"/>
        </w:rPr>
        <w:t>A Covenant with All Flesh</w:t>
      </w:r>
    </w:p>
    <w:p w14:paraId="79145504" w14:textId="77777777" w:rsidR="00B306DE" w:rsidRPr="00242A60" w:rsidRDefault="00B306DE" w:rsidP="00B306DE">
      <w:pPr>
        <w:pStyle w:val="BookBody"/>
      </w:pPr>
      <w:r w:rsidRPr="00242A60">
        <w:rPr>
          <w:szCs w:val="28"/>
        </w:rPr>
        <w:t>Genesis does not leave creation’s goodness protected behind Eden’s closed gate. Violence enters the field with Cain and Abel. Abel’s blood cries from the ground, and the ground no longer yields its strength without resistance. Earth is neither an indifferent stage nor an offended goddess. It is a creature implicated in human action: it receives blood, bears witness, and participates in judgment.</w:t>
      </w:r>
    </w:p>
    <w:p w14:paraId="1C0E63E1" w14:textId="77777777" w:rsidR="00B306DE" w:rsidRPr="00242A60" w:rsidRDefault="00B306DE" w:rsidP="00B306DE">
      <w:pPr>
        <w:pStyle w:val="BookBody"/>
      </w:pPr>
      <w:r w:rsidRPr="00242A60">
        <w:rPr>
          <w:szCs w:val="28"/>
        </w:rPr>
        <w:t xml:space="preserve">By Genesis 6, violence has corrupted “all flesh,” and the flood reverses the ordered separations of Genesis 1. Waters above and below return; boundaries collapse; the habitable world becomes uninhabitable. The narrative shares a broad flood tradition with </w:t>
      </w:r>
      <w:r w:rsidRPr="00242A60">
        <w:rPr>
          <w:i/>
          <w:szCs w:val="28"/>
        </w:rPr>
        <w:t>Atrahasis</w:t>
      </w:r>
      <w:r w:rsidRPr="00242A60">
        <w:rPr>
          <w:szCs w:val="28"/>
        </w:rPr>
        <w:t xml:space="preserve"> and the Gilgamesh epic, but it changes the moral and divine economy. Humanity is not destroyed because its successful multiplication makes too much noise for a tired god. Violence grieves the creator.</w:t>
      </w:r>
    </w:p>
    <w:p w14:paraId="6F1A7817" w14:textId="77777777" w:rsidR="00B306DE" w:rsidRPr="00242A60" w:rsidRDefault="00B306DE" w:rsidP="00B306DE">
      <w:pPr>
        <w:pStyle w:val="BookBody"/>
      </w:pPr>
      <w:r w:rsidRPr="00242A60">
        <w:rPr>
          <w:szCs w:val="28"/>
        </w:rPr>
        <w:t>After the waters recede, God establishes a covenant not only with Noah but with his descendants and “every living creature”—birds, domestic animals, and all animals of the earth (Gen. 9:8–17). The repetition is emphatic. The rainbow addresses a covenantal field wider than humanity. Whenever the bow appears in the cloud, God will remember “the everlasting covenant between God and every living creature of all flesh.”</w:t>
      </w:r>
    </w:p>
    <w:p w14:paraId="657E03E3" w14:textId="77777777" w:rsidR="00B306DE" w:rsidRPr="00242A60" w:rsidRDefault="00B306DE" w:rsidP="00B306DE">
      <w:pPr>
        <w:pStyle w:val="BookBody"/>
      </w:pPr>
      <w:r w:rsidRPr="00242A60">
        <w:rPr>
          <w:szCs w:val="28"/>
        </w:rPr>
        <w:t>The sign is cosmological, ethical, and political at once. A weapon-shaped bow is set in the cloud as a pledge of restraint. The world’s future will not rest on humanity’s innocence; Genesis immediately denies that innocence. It rests on a divine commitment to preserve the conditions of creaturely history. Seedtime and harvest, cold and heat, summer and winter, day and night will continue (Gen. 8:22).</w:t>
      </w:r>
    </w:p>
    <w:p w14:paraId="2E680D48" w14:textId="77777777" w:rsidR="00B306DE" w:rsidRPr="00242A60" w:rsidRDefault="00B306DE" w:rsidP="00B306DE">
      <w:pPr>
        <w:pStyle w:val="BookBody"/>
      </w:pPr>
      <w:r w:rsidRPr="00242A60">
        <w:rPr>
          <w:szCs w:val="28"/>
        </w:rPr>
        <w:t>Preservation does not mean a return to Eden. Humans may now eat animals, fear enters relations between species, and blood receives strict protection. The postdiluvian order is compromised and regulated. It is neither pure harmony nor abandonment. God binds divine action to the persistence of a wounded creation.</w:t>
      </w:r>
    </w:p>
    <w:p w14:paraId="68D2599F" w14:textId="77777777" w:rsidR="00B306DE" w:rsidRPr="00242A60" w:rsidRDefault="00B306DE" w:rsidP="00B306DE">
      <w:pPr>
        <w:pStyle w:val="BookBody"/>
      </w:pPr>
      <w:r w:rsidRPr="00242A60">
        <w:rPr>
          <w:szCs w:val="28"/>
        </w:rPr>
        <w:t>This covenant adds an essential dimension to contingency. A contingent world is vulnerable: its order can be violated and its future cannot be taken for granted. Yet dependence also permits promise. The creation does not secure itself, but it can be sustained by faithfulness. Biblical creation theology therefore moves naturally toward covenant—not because nature is absorbed into Israel’s history, but because the whole field of life becomes the recipient of committed preservation.</w:t>
      </w:r>
      <w:r w:rsidRPr="00242A60">
        <w:rPr>
          <w:szCs w:val="28"/>
          <w:vertAlign w:val="superscript"/>
        </w:rPr>
        <w:t>17</w:t>
      </w:r>
    </w:p>
    <w:p w14:paraId="68C51A20" w14:textId="77777777" w:rsidR="00B306DE" w:rsidRPr="00242A60" w:rsidRDefault="00B306DE" w:rsidP="00B306DE">
      <w:pPr>
        <w:pStyle w:val="SectionHeading"/>
      </w:pPr>
      <w:r w:rsidRPr="00242A60">
        <w:rPr>
          <w:bCs/>
          <w:szCs w:val="28"/>
        </w:rPr>
        <w:t>The Combat That Scripture Keeps</w:t>
      </w:r>
    </w:p>
    <w:p w14:paraId="6C883702" w14:textId="77777777" w:rsidR="00B306DE" w:rsidRPr="00242A60" w:rsidRDefault="00B306DE" w:rsidP="00B306DE">
      <w:pPr>
        <w:pStyle w:val="BookBody"/>
      </w:pPr>
      <w:r w:rsidRPr="00242A60">
        <w:rPr>
          <w:szCs w:val="28"/>
        </w:rPr>
        <w:t>If Genesis 1 were the Bible’s only creation text, one could imagine a straightforward movement from combat myth to creation by peaceful command. The Psalms prevent that simplification. Psalm 74 addresses God from catastrophe: enemies have devastated the sanctuary, and divine absence feels intolerable. The poet appeals to an ancient victory. God divided the sea, broke the heads of dragons, crushed Leviathan, opened springs, and established Sun and seasons (Ps. 74:12–17). Creation is remembered as combat because the community needs creation to happen again in history.</w:t>
      </w:r>
    </w:p>
    <w:p w14:paraId="40B32B75" w14:textId="77777777" w:rsidR="00B306DE" w:rsidRPr="00242A60" w:rsidRDefault="00B306DE" w:rsidP="00B306DE">
      <w:pPr>
        <w:pStyle w:val="BookBody"/>
      </w:pPr>
      <w:r w:rsidRPr="00242A60">
        <w:rPr>
          <w:szCs w:val="28"/>
        </w:rPr>
        <w:t>The imagery resembles the western Asian conflict pattern, but its rhetorical setting changes its force. The psalm does not legitimate a secure king after triumph. It gives sufferers language with which to accuse their apparently inactive God. If divine kingship once meant the defeat of chaos, why does violence now profane the temple? Primordial victory becomes a claim made upon God.</w:t>
      </w:r>
    </w:p>
    <w:p w14:paraId="3496F85A" w14:textId="77777777" w:rsidR="00B306DE" w:rsidRPr="00242A60" w:rsidRDefault="00B306DE" w:rsidP="00B306DE">
      <w:pPr>
        <w:pStyle w:val="BookBody"/>
      </w:pPr>
      <w:r w:rsidRPr="00242A60">
        <w:rPr>
          <w:szCs w:val="28"/>
        </w:rPr>
        <w:t>Psalm 89 similarly joins creation, combat, kingship, and covenant. God rules the raging sea, crushes Rahab, and owns heaven and earth; the same God promises enduring support to David. When the monarchy is humiliated, the psalm places cosmic power and political failure in the same lament. The combat motif does not function as a fossil. It allows historical disorder to be judged against the order creation promised.</w:t>
      </w:r>
    </w:p>
    <w:p w14:paraId="1EC26E29" w14:textId="77777777" w:rsidR="00B306DE" w:rsidRPr="00242A60" w:rsidRDefault="00B306DE" w:rsidP="00B306DE">
      <w:pPr>
        <w:pStyle w:val="BookBody"/>
      </w:pPr>
      <w:r w:rsidRPr="00242A60">
        <w:rPr>
          <w:szCs w:val="28"/>
        </w:rPr>
        <w:t>Ballentine’s study shows that biblical authors repeatedly adapt the conflict motif rather than merely repeat a fixed story. Warrior and enemy, sea and kingship, primordial and eschatological settings can be recombined to make claims about divine and human authority.</w:t>
      </w:r>
      <w:r w:rsidRPr="00242A60">
        <w:rPr>
          <w:szCs w:val="28"/>
          <w:vertAlign w:val="superscript"/>
        </w:rPr>
        <w:t>18</w:t>
      </w:r>
      <w:r w:rsidRPr="00242A60">
        <w:rPr>
          <w:szCs w:val="28"/>
        </w:rPr>
        <w:t xml:space="preserve"> Mythic imagery becomes mobile. It can authorize, protest, remember exodus, or imagine final deliverance.</w:t>
      </w:r>
    </w:p>
    <w:p w14:paraId="2408F017" w14:textId="77777777" w:rsidR="00B306DE" w:rsidRPr="00242A60" w:rsidRDefault="00B306DE" w:rsidP="00B306DE">
      <w:pPr>
        <w:pStyle w:val="BookBody"/>
      </w:pPr>
      <w:r w:rsidRPr="00242A60">
        <w:rPr>
          <w:szCs w:val="28"/>
        </w:rPr>
        <w:t>This survival has two implications. First, biblical monotheism is not achieved by purging every personification or story of cosmic struggle. Older figures remain available because they express the felt violence of disorder. Second, their status changes. Sea, Rahab, dragon, and Leviathan do not inhabit a stable pantheon in which each possesses an independent cultic sovereignty. They appear under the action and judgment of the God whose authority the poem invokes.</w:t>
      </w:r>
    </w:p>
    <w:p w14:paraId="05EF69FE" w14:textId="77777777" w:rsidR="00B306DE" w:rsidRPr="00242A60" w:rsidRDefault="00B306DE" w:rsidP="00B306DE">
      <w:pPr>
        <w:pStyle w:val="SectionHeading"/>
      </w:pPr>
      <w:r w:rsidRPr="00242A60">
        <w:rPr>
          <w:bCs/>
          <w:szCs w:val="28"/>
        </w:rPr>
        <w:t>An Order That Must Be Renewed</w:t>
      </w:r>
    </w:p>
    <w:p w14:paraId="4CC1DB43" w14:textId="77777777" w:rsidR="00B306DE" w:rsidRPr="00242A60" w:rsidRDefault="00B306DE" w:rsidP="00B306DE">
      <w:pPr>
        <w:pStyle w:val="BookBody"/>
      </w:pPr>
      <w:r w:rsidRPr="00242A60">
        <w:rPr>
          <w:szCs w:val="28"/>
        </w:rPr>
        <w:t>The survival of combat language reveals something a tranquil reading of Genesis can miss: biblical order is secure as promise but vulnerable in experience. Flood, invasion, famine, injustice, exile, illness, and death make creation’s goodness contestable. A community that says God established the earth must also ask why the established earth can feel as if it is coming undone.</w:t>
      </w:r>
    </w:p>
    <w:p w14:paraId="440576B3" w14:textId="77777777" w:rsidR="00B306DE" w:rsidRPr="00242A60" w:rsidRDefault="00B306DE" w:rsidP="00B306DE">
      <w:pPr>
        <w:pStyle w:val="BookBody"/>
      </w:pPr>
      <w:r w:rsidRPr="00242A60">
        <w:rPr>
          <w:szCs w:val="28"/>
        </w:rPr>
        <w:t>Levenson’s answer is to resist the assumption that creation occurred once and thereafter became a completed background. In many biblical texts, creation is an active ordering whose effects must be preserved, renewed, and sometimes restored. A victory over chaos can be primordial, but it can also name exodus, return from exile, the rescue of a sufferer, or an expected future. The same theological grammar crosses nature and history because disorder is encountered in both.</w:t>
      </w:r>
      <w:r w:rsidRPr="00242A60">
        <w:rPr>
          <w:szCs w:val="28"/>
          <w:vertAlign w:val="superscript"/>
        </w:rPr>
        <w:t>19</w:t>
      </w:r>
    </w:p>
    <w:p w14:paraId="20A7974F" w14:textId="77777777" w:rsidR="00B306DE" w:rsidRPr="00242A60" w:rsidRDefault="00B306DE" w:rsidP="00B306DE">
      <w:pPr>
        <w:pStyle w:val="BookBody"/>
      </w:pPr>
      <w:r w:rsidRPr="00242A60">
        <w:rPr>
          <w:szCs w:val="28"/>
        </w:rPr>
        <w:t>This does not mean that every storm is secretly a monster attack or that ritual mechanically repeats the world’s first morning. It means that the categories of creation remain existentially available. To open a path through a sea, restore justice, rebuild a sanctuary, send rain, give food, or return breath is to make habitable order present again. Psalm 104 can call the sending of divine spirit “creation” when the ground is renewed. Psalm 51 can ask God to “create” a clean heart. Isaiah can describe return from exile with the language of new creation.</w:t>
      </w:r>
    </w:p>
    <w:p w14:paraId="586462DA" w14:textId="77777777" w:rsidR="00B306DE" w:rsidRPr="00242A60" w:rsidRDefault="00B306DE" w:rsidP="00B306DE">
      <w:pPr>
        <w:pStyle w:val="BookBody"/>
      </w:pPr>
      <w:r w:rsidRPr="00242A60">
        <w:rPr>
          <w:szCs w:val="28"/>
        </w:rPr>
        <w:t xml:space="preserve">Ritual enters this field as response and participation. In Mesopotamia, the recitation of </w:t>
      </w:r>
      <w:r w:rsidRPr="00242A60">
        <w:rPr>
          <w:i/>
          <w:szCs w:val="28"/>
        </w:rPr>
        <w:t>Enuma Elish</w:t>
      </w:r>
      <w:r w:rsidRPr="00242A60">
        <w:rPr>
          <w:szCs w:val="28"/>
        </w:rPr>
        <w:t xml:space="preserve"> belonged to the Babylonian New Year festival and the affirmation of Marduk’s kingship. Israelite liturgies also join divine rule, creation, temple, and communal life, though their exact performance settings cannot always be reconstructed. When worshipers acclaim the creator, lament disorder, keep Sabbath, or bless the giver of food, they do not add power to a needy God. They align creaturely time with an order they receive and desire to see renewed.</w:t>
      </w:r>
    </w:p>
    <w:p w14:paraId="1E312508" w14:textId="77777777" w:rsidR="00B306DE" w:rsidRPr="00242A60" w:rsidRDefault="00B306DE" w:rsidP="00B306DE">
      <w:pPr>
        <w:pStyle w:val="BookBody"/>
      </w:pPr>
      <w:r w:rsidRPr="00242A60">
        <w:rPr>
          <w:szCs w:val="28"/>
        </w:rPr>
        <w:t>This distinction prevents two opposite errors. The first treats biblical creation as a primitive hypothesis that becomes irrelevant once a scientific account of origins is available. The second treats it as a ritual technique by which humans guarantee cosmic stability. The texts permit neither. Creation is a confession about dependence and sovereignty whose claims reach origin, maintenance, judgment, and hope. Human action matters within that order, but it does not own the source of order.</w:t>
      </w:r>
    </w:p>
    <w:p w14:paraId="5E666398" w14:textId="77777777" w:rsidR="00B306DE" w:rsidRPr="00242A60" w:rsidRDefault="00B306DE" w:rsidP="00B306DE">
      <w:pPr>
        <w:pStyle w:val="BookBody"/>
      </w:pPr>
      <w:r w:rsidRPr="00242A60">
        <w:rPr>
          <w:szCs w:val="28"/>
        </w:rPr>
        <w:t>The persistence of disorder also gives biblical praise its seriousness. Praise is not optimism insulated from ruin. Psalms praise beside lament, and sometimes within it. To call the world good after encountering chaos is not to deny chaos. It is to deny chaos the last word.</w:t>
      </w:r>
    </w:p>
    <w:p w14:paraId="1907A732" w14:textId="77777777" w:rsidR="00B306DE" w:rsidRPr="00242A60" w:rsidRDefault="00B306DE" w:rsidP="00B306DE">
      <w:pPr>
        <w:pStyle w:val="SectionHeading"/>
      </w:pPr>
      <w:r w:rsidRPr="00242A60">
        <w:rPr>
          <w:bCs/>
          <w:szCs w:val="28"/>
        </w:rPr>
        <w:t>Leviathan at Play</w:t>
      </w:r>
    </w:p>
    <w:p w14:paraId="55A5EEFF" w14:textId="77777777" w:rsidR="00B306DE" w:rsidRPr="00242A60" w:rsidRDefault="00B306DE" w:rsidP="00B306DE">
      <w:pPr>
        <w:pStyle w:val="BookBody"/>
      </w:pPr>
      <w:r w:rsidRPr="00242A60">
        <w:rPr>
          <w:szCs w:val="28"/>
        </w:rPr>
        <w:t>Psalm 104 offers a different creation theology. It follows an order comparable to Genesis 1: light, heavens, waters, dry land, vegetation, celestial times, animals, humanity, sea, and divine provision. But it turns ordered sequence into an ecological hymn. Springs run through valleys; wild animals drink; birds nest; grass grows for cattle; wine gladdens human hearts; trees receive water; mountain goats find heights; lions seek prey. The world is not a static inventory. It is a web of habitats, appetites, movements, and gifts.</w:t>
      </w:r>
    </w:p>
    <w:p w14:paraId="59CE9190" w14:textId="77777777" w:rsidR="00B306DE" w:rsidRPr="00242A60" w:rsidRDefault="00B306DE" w:rsidP="00B306DE">
      <w:pPr>
        <w:pStyle w:val="BookBody"/>
      </w:pPr>
      <w:r w:rsidRPr="00242A60">
        <w:rPr>
          <w:szCs w:val="28"/>
        </w:rPr>
        <w:t>The waters do not disappear. At God’s rebuke they flee to appointed bounds, but within those bounds the sea remains “great and wide,” filled with innumerable living things. Ships travel there. Leviathan is there too—formed by God “to sport in it” (Ps. 104:26). The monster of combat has become a creature at play.</w:t>
      </w:r>
    </w:p>
    <w:p w14:paraId="64B334DA" w14:textId="77777777" w:rsidR="00B306DE" w:rsidRPr="00242A60" w:rsidRDefault="00B306DE" w:rsidP="00B306DE">
      <w:pPr>
        <w:pStyle w:val="BookBody"/>
      </w:pPr>
      <w:r w:rsidRPr="00242A60">
        <w:rPr>
          <w:szCs w:val="28"/>
        </w:rPr>
        <w:t>Levenson calls attention to the audacity of this transformation. The older chaos figure is not only defeated; it can be integrated into a creation without opposition.</w:t>
      </w:r>
      <w:r w:rsidRPr="00242A60">
        <w:rPr>
          <w:szCs w:val="28"/>
          <w:vertAlign w:val="superscript"/>
        </w:rPr>
        <w:t>20</w:t>
      </w:r>
      <w:r w:rsidRPr="00242A60">
        <w:rPr>
          <w:szCs w:val="28"/>
        </w:rPr>
        <w:t xml:space="preserve"> Yet integration does not domesticate Leviathan into a household pet. The sea retains scale and danger. The point is rank and delight: what elsewhere symbolizes resistance can be presented here as intentionally made and joyfully active.</w:t>
      </w:r>
    </w:p>
    <w:p w14:paraId="49FF6C7B" w14:textId="77777777" w:rsidR="00B306DE" w:rsidRPr="00242A60" w:rsidRDefault="00B306DE" w:rsidP="00B306DE">
      <w:pPr>
        <w:pStyle w:val="BookBody"/>
      </w:pPr>
      <w:r w:rsidRPr="00242A60">
        <w:rPr>
          <w:szCs w:val="28"/>
        </w:rPr>
        <w:t>Every creature remains dependent. “These all look to you to give them their food in due season” (Ps. 104:27). When God hides the divine face, they are dismayed; when breath is withdrawn, they return to dust; when spirit is sent, they are created and the ground is renewed. Creation is not confined to an inaccessible beginning. It occurs in the continued gift of breath and food.</w:t>
      </w:r>
    </w:p>
    <w:p w14:paraId="66F189FE" w14:textId="77777777" w:rsidR="00B306DE" w:rsidRPr="00242A60" w:rsidRDefault="00B306DE" w:rsidP="00B306DE">
      <w:pPr>
        <w:pStyle w:val="BookBody"/>
      </w:pPr>
      <w:r w:rsidRPr="00242A60">
        <w:rPr>
          <w:szCs w:val="28"/>
        </w:rPr>
        <w:t>This dependence is not mechanical. The lion hunts, the human works, the bird builds, the sea teems. Creaturely agency operates inside gifted conditions. God’s provision does not eliminate secondary action; it makes such action possible. Psalm 104 thus offers one of the strongest biblical answers to the false choice between divine creation and a living world. The more thoroughly the creatures depend, the more vividly they live.</w:t>
      </w:r>
    </w:p>
    <w:p w14:paraId="5B47B0E9" w14:textId="77777777" w:rsidR="00B306DE" w:rsidRPr="00242A60" w:rsidRDefault="00B306DE" w:rsidP="00B306DE">
      <w:pPr>
        <w:pStyle w:val="SectionHeading"/>
      </w:pPr>
      <w:r w:rsidRPr="00242A60">
        <w:rPr>
          <w:bCs/>
          <w:szCs w:val="28"/>
        </w:rPr>
        <w:t>A Choir, Not a Machine</w:t>
      </w:r>
    </w:p>
    <w:p w14:paraId="685ABA1A" w14:textId="77777777" w:rsidR="00B306DE" w:rsidRPr="00242A60" w:rsidRDefault="00B306DE" w:rsidP="00B306DE">
      <w:pPr>
        <w:pStyle w:val="BookBody"/>
      </w:pPr>
      <w:r w:rsidRPr="00242A60">
        <w:rPr>
          <w:szCs w:val="28"/>
        </w:rPr>
        <w:t>Other psalms make the responsive creation explicitly vocal. Psalm 19 says the heavens declare God’s glory and the firmament proclaims handiwork. Day pours speech into day; night communicates knowledge to night. The poet immediately admits the paradox: there is no ordinary speech and no audible voice, yet the testimony extends through the earth. Cosmic order is intelligible as praise before it is reducible to information.</w:t>
      </w:r>
    </w:p>
    <w:p w14:paraId="7BA26104" w14:textId="77777777" w:rsidR="00B306DE" w:rsidRPr="00242A60" w:rsidRDefault="00B306DE" w:rsidP="00B306DE">
      <w:pPr>
        <w:pStyle w:val="BookBody"/>
      </w:pPr>
      <w:r w:rsidRPr="00242A60">
        <w:rPr>
          <w:szCs w:val="28"/>
        </w:rPr>
        <w:t>The Sun in that psalm is neither denied nor deified. It emerges like a bridegroom and runs like a strong man. God has set its tent in the heavens. The poetry preserves exuberant agency while locating it within divine appointment. Demythologization here is not the removal of metaphor. It is metaphor without worship.</w:t>
      </w:r>
    </w:p>
    <w:p w14:paraId="1F70D409" w14:textId="77777777" w:rsidR="00B306DE" w:rsidRPr="00242A60" w:rsidRDefault="00B306DE" w:rsidP="00B306DE">
      <w:pPr>
        <w:pStyle w:val="BookBody"/>
      </w:pPr>
      <w:r w:rsidRPr="00242A60">
        <w:rPr>
          <w:szCs w:val="28"/>
        </w:rPr>
        <w:t>Psalm 148 widens the choir. Angels, heavenly host, Sun, Moon, shining stars, highest heavens, and waters above the heavens are commanded to praise. Then fire, hail, snow, frost, storm wind, mountains, fruit trees, cedars, animals, birds, kings, peoples, old, and young join them. They praise because God commanded and they were created, and because God established them within limits. Creation and command produce not silence but doxology.</w:t>
      </w:r>
    </w:p>
    <w:p w14:paraId="4683213B" w14:textId="77777777" w:rsidR="00B306DE" w:rsidRPr="00242A60" w:rsidRDefault="00B306DE" w:rsidP="00B306DE">
      <w:pPr>
        <w:pStyle w:val="BookBody"/>
      </w:pPr>
      <w:r w:rsidRPr="00242A60">
        <w:rPr>
          <w:szCs w:val="28"/>
        </w:rPr>
        <w:t>Psalm 8 gives humanity a place inside this chorus. The heavens are the work of divine fingers; Moon and stars are established. Against their scale the human seems negligible. Yet the human is crowned with glory and honor and receives responsibility for animals. Wonder and dominion coexist. The proper response to delegated authority is astonishment, not self-deification.</w:t>
      </w:r>
    </w:p>
    <w:p w14:paraId="2F9EA49C" w14:textId="77777777" w:rsidR="00B306DE" w:rsidRPr="00242A60" w:rsidRDefault="00B306DE" w:rsidP="00B306DE">
      <w:pPr>
        <w:pStyle w:val="BookBody"/>
      </w:pPr>
      <w:r w:rsidRPr="00242A60">
        <w:rPr>
          <w:szCs w:val="28"/>
        </w:rPr>
        <w:t>The personifications of biblical poetry should not be mistaken for a systematic claim that mountains possess human consciousness. Neither should they be dismissed as ornamental language applied to inert matter. They disclose a relation: creatures exceed their utility and signify beyond themselves. A machine can operate. A choir responds. The biblical cosmos is ordered enough to be dependable and alive enough to praise.</w:t>
      </w:r>
    </w:p>
    <w:p w14:paraId="741DB5C8" w14:textId="77777777" w:rsidR="00B306DE" w:rsidRPr="00242A60" w:rsidRDefault="00B306DE" w:rsidP="00B306DE">
      <w:pPr>
        <w:pStyle w:val="SectionHeading"/>
      </w:pPr>
      <w:r w:rsidRPr="00242A60">
        <w:rPr>
          <w:bCs/>
          <w:szCs w:val="28"/>
        </w:rPr>
        <w:t>Job and the World beyond Use</w:t>
      </w:r>
    </w:p>
    <w:p w14:paraId="32D3B3F1" w14:textId="77777777" w:rsidR="00B306DE" w:rsidRPr="00242A60" w:rsidRDefault="00B306DE" w:rsidP="00B306DE">
      <w:pPr>
        <w:pStyle w:val="BookBody"/>
      </w:pPr>
      <w:r w:rsidRPr="00242A60">
        <w:rPr>
          <w:szCs w:val="28"/>
        </w:rPr>
        <w:t>The Book of Job subjects every easy doctrine of order to pressure. Job’s friends assume a moral cosmos whose rewards and punishments can be read from a person’s condition. Job’s undeserved suffering makes that confidence cruel. When God finally answers from the whirlwind, the speeches do not provide the causal explanation Job requested. They take him through a world whose scale, danger, and plurality overwhelm the friends’ narrow calculus.</w:t>
      </w:r>
    </w:p>
    <w:p w14:paraId="7EAAE8CF" w14:textId="77777777" w:rsidR="00B306DE" w:rsidRPr="00242A60" w:rsidRDefault="00B306DE" w:rsidP="00B306DE">
      <w:pPr>
        <w:pStyle w:val="BookBody"/>
      </w:pPr>
      <w:r w:rsidRPr="00242A60">
        <w:rPr>
          <w:szCs w:val="28"/>
        </w:rPr>
        <w:t>God asks about the earth’s foundations, the sea’s birth, the gates of death, the storehouses of snow, the paths of light, the Pleiades and Orion, and the ordinances of heaven (Job 38). Then attention turns to animals: lion, raven, mountain goat, wild ass, wild ox, ostrich, horse, hawk, and eagle. Several live beyond human settlement and usefulness. Rain falls on land where no one lives, making grass grow in a desert without a human beneficiary (Job 38:26–27). Creation is good on a scale larger than service to civilization.</w:t>
      </w:r>
    </w:p>
    <w:p w14:paraId="7DB2393E" w14:textId="77777777" w:rsidR="00B306DE" w:rsidRPr="00242A60" w:rsidRDefault="00B306DE" w:rsidP="00B306DE">
      <w:pPr>
        <w:pStyle w:val="BookBody"/>
      </w:pPr>
      <w:r w:rsidRPr="00242A60">
        <w:rPr>
          <w:szCs w:val="28"/>
        </w:rPr>
        <w:t>Abigail Pelham reads the divine speeches as a contest over the world as it ought to be. The animals’ wildness and God’s attention to them unsettle Job’s and the reader’s inside-outside boundaries.</w:t>
      </w:r>
      <w:r w:rsidRPr="00242A60">
        <w:rPr>
          <w:szCs w:val="28"/>
          <w:vertAlign w:val="superscript"/>
        </w:rPr>
        <w:t>21</w:t>
      </w:r>
      <w:r w:rsidRPr="00242A60">
        <w:rPr>
          <w:szCs w:val="28"/>
        </w:rPr>
        <w:t xml:space="preserve"> They are not decorative examples of divine engineering. Their lives establish that human moral experience, though urgent, does not exhaust the creator’s field of care.</w:t>
      </w:r>
    </w:p>
    <w:p w14:paraId="394AFD07" w14:textId="77777777" w:rsidR="00B306DE" w:rsidRPr="00242A60" w:rsidRDefault="00B306DE" w:rsidP="00B306DE">
      <w:pPr>
        <w:pStyle w:val="BookBody"/>
      </w:pPr>
      <w:r w:rsidRPr="00242A60">
        <w:rPr>
          <w:szCs w:val="28"/>
        </w:rPr>
        <w:t>Behemoth and Leviathan intensify the point. Behemoth is “the first of the great acts of God” and cannot be mastered by ordinary force. Leviathan defeats hooks, ropes, weapons, and commercial possession. The speeches do not simply replay a cosmogonic execution. God displays creatures associated with chaos and asks Job to see the limits of human control. Depending on how one interprets their mythic and zoological dimensions, they remain monsters, animals, or deliberately unstable combinations. In every case, they are within creation and beyond domestication.</w:t>
      </w:r>
    </w:p>
    <w:p w14:paraId="0CD9D8FA" w14:textId="77777777" w:rsidR="00B306DE" w:rsidRPr="00242A60" w:rsidRDefault="00B306DE" w:rsidP="00B306DE">
      <w:pPr>
        <w:pStyle w:val="BookBody"/>
      </w:pPr>
      <w:r w:rsidRPr="00242A60">
        <w:rPr>
          <w:szCs w:val="28"/>
        </w:rPr>
        <w:t>Job therefore corrects a possible abuse of Genesis dominion. Human authority does not make the whole world transparent to human purposes. The creator values inaccessible places and recalcitrant lives. Creatureliness is not a ladder on which humanity stands one rung beneath God and everything else exists below as raw material. It is a network of asymmetrical dependencies in which God relates to creatures that do not answer to us.</w:t>
      </w:r>
    </w:p>
    <w:p w14:paraId="1C65A3B9" w14:textId="77777777" w:rsidR="00B306DE" w:rsidRPr="00242A60" w:rsidRDefault="00B306DE" w:rsidP="00B306DE">
      <w:pPr>
        <w:pStyle w:val="BookBody"/>
      </w:pPr>
      <w:r w:rsidRPr="00242A60">
        <w:rPr>
          <w:szCs w:val="28"/>
        </w:rPr>
        <w:t>The divine speeches do not solve the moral scandal by aesthetic distraction. Job’s protest remains part of the book, and God rebukes the friends for not speaking rightly as Job has (Job 42:7). The encounter instead breaks the friends’ closed cosmology. A created order can be real without being a formula by which sufferers are blamed. Its wisdom exceeds possession.</w:t>
      </w:r>
    </w:p>
    <w:p w14:paraId="0246ACD4" w14:textId="77777777" w:rsidR="00B306DE" w:rsidRPr="00242A60" w:rsidRDefault="00B306DE" w:rsidP="00B306DE">
      <w:pPr>
        <w:pStyle w:val="SectionHeading"/>
      </w:pPr>
      <w:r w:rsidRPr="00242A60">
        <w:rPr>
          <w:bCs/>
          <w:szCs w:val="28"/>
        </w:rPr>
        <w:t>Creator against Idol and Empire</w:t>
      </w:r>
    </w:p>
    <w:p w14:paraId="6C60F277" w14:textId="77777777" w:rsidR="00B306DE" w:rsidRPr="00242A60" w:rsidRDefault="00B306DE" w:rsidP="00B306DE">
      <w:pPr>
        <w:pStyle w:val="BookBody"/>
      </w:pPr>
      <w:r w:rsidRPr="00242A60">
        <w:rPr>
          <w:szCs w:val="28"/>
        </w:rPr>
        <w:t>In prophetic literature, creation language becomes a weapon against political despair. The exilic audience of Isaiah 40 sees imperial power and may suspect that Israel’s God has lost control. The prophet asks who measured the waters, marked off the heavens, weighed mountains, and instructed the creator. Nations are a drop from a bucket; rulers wither. The one who created the ends of the earth neither faints nor grows weary.</w:t>
      </w:r>
    </w:p>
    <w:p w14:paraId="5E42BAF0" w14:textId="77777777" w:rsidR="00B306DE" w:rsidRPr="00242A60" w:rsidRDefault="00B306DE" w:rsidP="00B306DE">
      <w:pPr>
        <w:pStyle w:val="BookBody"/>
      </w:pPr>
      <w:r w:rsidRPr="00242A60">
        <w:rPr>
          <w:szCs w:val="28"/>
        </w:rPr>
        <w:t>This is not abstract cosmology introduced for its own sake. Creation relativizes empire. Babylon’s apparent totality is placed inside a larger sovereignty. The same passage tells the audience to lift its eyes: the creator brings out the starry host by number and calls them by name (Isa. 40:26). In a setting where astral deities and imperial order could reinforce each other, numbered stars become witnesses against the claim that earthly power is ultimate.</w:t>
      </w:r>
    </w:p>
    <w:p w14:paraId="410A75C2" w14:textId="77777777" w:rsidR="00B306DE" w:rsidRPr="00242A60" w:rsidRDefault="00B306DE" w:rsidP="00B306DE">
      <w:pPr>
        <w:pStyle w:val="BookBody"/>
      </w:pPr>
      <w:r w:rsidRPr="00242A60">
        <w:rPr>
          <w:szCs w:val="28"/>
        </w:rPr>
        <w:t>Isaiah 44:24 presses the point: YHWH made all things, stretched out the heavens alone, and spread out the earth “by myself.” Isaiah 45 denies divinity to rivals while insisting that the creator forms light, creates darkness, makes well-being, and creates calamity. The rhetoric is deliberately uncompromising. No cosmic remainder may become an independent explanation of history outside divine sovereignty.</w:t>
      </w:r>
    </w:p>
    <w:p w14:paraId="495474E2" w14:textId="77777777" w:rsidR="00B306DE" w:rsidRPr="00242A60" w:rsidRDefault="00B306DE" w:rsidP="00B306DE">
      <w:pPr>
        <w:pStyle w:val="BookBody"/>
      </w:pPr>
      <w:r w:rsidRPr="00242A60">
        <w:rPr>
          <w:szCs w:val="28"/>
        </w:rPr>
        <w:t>Yet the prophetic corpus also retains combat imagery. Isaiah 51 awakens the divine arm that cut Rahab and pierced the dragon, then immediately recalls the drying of the sea as a path for the redeemed. Creation and exodus overlap. The monster is not only primordial chaos; it supplies language for historical oppression and deliverance. Divine victory is asked to become present.</w:t>
      </w:r>
    </w:p>
    <w:p w14:paraId="4814E109" w14:textId="77777777" w:rsidR="00B306DE" w:rsidRPr="00242A60" w:rsidRDefault="00B306DE" w:rsidP="00B306DE">
      <w:pPr>
        <w:pStyle w:val="BookBody"/>
      </w:pPr>
      <w:r w:rsidRPr="00242A60">
        <w:rPr>
          <w:szCs w:val="28"/>
        </w:rPr>
        <w:t>Jeremiah 10 contrasts idols with the living God who made the earth by power, established the world by wisdom, and stretched out heavens by understanding. Amos identifies the one who forms mountains, creates wind, makes dawn into darkness, calls for sea waters, and pours them on earth (Amos 4:13; 5:8; 9:6). Such doxologies interrupt social accusation, not replace it. The creator’s sovereignty establishes the scale on which exploitation, false worship, and imperial confidence are judged.</w:t>
      </w:r>
    </w:p>
    <w:p w14:paraId="6409F56D" w14:textId="77777777" w:rsidR="00B306DE" w:rsidRPr="00242A60" w:rsidRDefault="00B306DE" w:rsidP="00B306DE">
      <w:pPr>
        <w:pStyle w:val="BookBody"/>
      </w:pPr>
      <w:r w:rsidRPr="00242A60">
        <w:rPr>
          <w:szCs w:val="28"/>
        </w:rPr>
        <w:t>Prophetic creation theology therefore completes neither disenchantment nor fatalism. If Sun, storm, sea, and empire are creatures, they cannot dictate the future. History remains open to judgment and restoration. Contingency is politically dangerous to every regime that presents its power as nature.</w:t>
      </w:r>
    </w:p>
    <w:p w14:paraId="6D194AA9" w14:textId="77777777" w:rsidR="00B306DE" w:rsidRPr="00242A60" w:rsidRDefault="00B306DE" w:rsidP="00B306DE">
      <w:pPr>
        <w:pStyle w:val="SectionHeading"/>
      </w:pPr>
      <w:r w:rsidRPr="00242A60">
        <w:rPr>
          <w:bCs/>
          <w:szCs w:val="28"/>
        </w:rPr>
        <w:t>Wisdom at the Beginning</w:t>
      </w:r>
    </w:p>
    <w:p w14:paraId="7E521D18" w14:textId="77777777" w:rsidR="00B306DE" w:rsidRPr="00242A60" w:rsidRDefault="00B306DE" w:rsidP="00B306DE">
      <w:pPr>
        <w:pStyle w:val="BookBody"/>
      </w:pPr>
      <w:r w:rsidRPr="00242A60">
        <w:rPr>
          <w:szCs w:val="28"/>
        </w:rPr>
        <w:t>Proverbs 8 introduces another voice. Wisdom calls in public, at gates and crossroads, offering prudence, justice, and life. Then she places herself before or at creation. Before depths, springs, mountains, fields, and dust, Wisdom was brought forth. When God established heavens, bounded the sea, and marked earth’s foundations, she was there.</w:t>
      </w:r>
    </w:p>
    <w:p w14:paraId="2F330A8B" w14:textId="77777777" w:rsidR="00B306DE" w:rsidRPr="00242A60" w:rsidRDefault="00B306DE" w:rsidP="00B306DE">
      <w:pPr>
        <w:pStyle w:val="BookBody"/>
      </w:pPr>
      <w:r w:rsidRPr="00242A60">
        <w:rPr>
          <w:szCs w:val="28"/>
        </w:rPr>
        <w:t xml:space="preserve">The difficult Hebrew word </w:t>
      </w:r>
      <w:r w:rsidRPr="00242A60">
        <w:rPr>
          <w:i/>
          <w:szCs w:val="28"/>
        </w:rPr>
        <w:t>amon</w:t>
      </w:r>
      <w:r w:rsidRPr="00242A60">
        <w:rPr>
          <w:szCs w:val="28"/>
        </w:rPr>
        <w:t xml:space="preserve"> in Proverbs 8:30 has generated translations such as “master worker,” “little child,” or “one brought up beside him.” The uncertainty should discourage a tidy metaphysical portrait. What is clear is the literary effect: the order by which humans should live is not a late convention imposed on an indifferent universe. Wisdom rejoices before God, delights in the inhabited world, and delights in humanity.</w:t>
      </w:r>
    </w:p>
    <w:p w14:paraId="542854D4" w14:textId="77777777" w:rsidR="00B306DE" w:rsidRPr="00242A60" w:rsidRDefault="00B306DE" w:rsidP="00B306DE">
      <w:pPr>
        <w:pStyle w:val="BookBody"/>
      </w:pPr>
      <w:r w:rsidRPr="00242A60">
        <w:rPr>
          <w:szCs w:val="28"/>
        </w:rPr>
        <w:t>The poem comes close to personifying a divine companion without establishing an independent creator goddess. Wisdom speaks as a woman, mediates life, and possesses a priority that later Jewish and Christian interpreters will explore in different directions. Within Proverbs, however, she invites human beings into a grain of order already present in creation. Ethical attention and cosmic fittingness correspond.</w:t>
      </w:r>
    </w:p>
    <w:p w14:paraId="2A4B3D28" w14:textId="77777777" w:rsidR="00B306DE" w:rsidRPr="00242A60" w:rsidRDefault="00B306DE" w:rsidP="00B306DE">
      <w:pPr>
        <w:pStyle w:val="BookBody"/>
      </w:pPr>
      <w:r w:rsidRPr="00242A60">
        <w:rPr>
          <w:szCs w:val="28"/>
        </w:rPr>
        <w:t>This correspondence differs from astral fate. Wisdom does not provide a table by which every event can be predicted. She requires listening, discipline, and judgment. A wise order can be violated; fools can prosper temporarily; innocent persons can suffer. Job and Ecclesiastes will expose the limits of confident correlation. Yet the personification keeps the cosmos from becoming brute fact. The world is made in a way that can be sought, learned, loved, and disputed.</w:t>
      </w:r>
    </w:p>
    <w:p w14:paraId="2375EFD7" w14:textId="77777777" w:rsidR="00B306DE" w:rsidRPr="00242A60" w:rsidRDefault="00B306DE" w:rsidP="00B306DE">
      <w:pPr>
        <w:pStyle w:val="SectionHeading"/>
      </w:pPr>
      <w:r w:rsidRPr="00242A60">
        <w:rPr>
          <w:bCs/>
          <w:szCs w:val="28"/>
        </w:rPr>
        <w:t>New Heavens from the Old Sea</w:t>
      </w:r>
    </w:p>
    <w:p w14:paraId="7E7EC971" w14:textId="77777777" w:rsidR="00B306DE" w:rsidRPr="00242A60" w:rsidRDefault="00B306DE" w:rsidP="00B306DE">
      <w:pPr>
        <w:pStyle w:val="BookBody"/>
      </w:pPr>
      <w:r w:rsidRPr="00242A60">
        <w:rPr>
          <w:szCs w:val="28"/>
        </w:rPr>
        <w:t>Biblical creation language eventually turns from origin and maintenance toward transformation. Isaiah 65 promises “new heavens and a new earth,” then describes Jerusalem’s joy, long life, secure labor, and peace among animals. The novelty is not an escape from created existence. It is the healing of birth, work, violence, and habitation. Eschatology radicalizes creation’s goodness by refusing to abandon it.</w:t>
      </w:r>
    </w:p>
    <w:p w14:paraId="6102F90C" w14:textId="77777777" w:rsidR="00B306DE" w:rsidRPr="00242A60" w:rsidRDefault="00B306DE" w:rsidP="00B306DE">
      <w:pPr>
        <w:pStyle w:val="BookBody"/>
      </w:pPr>
      <w:r w:rsidRPr="00242A60">
        <w:rPr>
          <w:szCs w:val="28"/>
        </w:rPr>
        <w:t>Daniel 7 uses a more turbulent image. Four beasts rise from the sea as winds churn it. They signify empires, political powers rendered monstrous. The Ancient of Days sits in judgment, and one like a human being receives dominion. The vision moves the conflict pattern into apocalyptic history. Sea-born beasts are not zoological curiosities; empire is exposed as a distortion of creaturely rule. The humanlike recipient of authority reverses the bestialization of sovereignty.</w:t>
      </w:r>
    </w:p>
    <w:p w14:paraId="4A192B15" w14:textId="77777777" w:rsidR="00B306DE" w:rsidRPr="00242A60" w:rsidRDefault="00B306DE" w:rsidP="00B306DE">
      <w:pPr>
        <w:pStyle w:val="BookBody"/>
      </w:pPr>
      <w:r w:rsidRPr="00242A60">
        <w:rPr>
          <w:szCs w:val="28"/>
        </w:rPr>
        <w:t>Here Genesis 1’s categories return under pressure. The sea produces creatures, humankind receives dominion, and cosmic order distinguishes realms. Daniel transforms these elements into a judgment on kingdoms that act as beasts. The question is not whether myth has been eliminated. It is which historical powers mythic language enables the community to see.</w:t>
      </w:r>
    </w:p>
    <w:p w14:paraId="4296A9C8" w14:textId="77777777" w:rsidR="00B306DE" w:rsidRPr="00242A60" w:rsidRDefault="00B306DE" w:rsidP="00B306DE">
      <w:pPr>
        <w:pStyle w:val="BookBody"/>
      </w:pPr>
      <w:r w:rsidRPr="00242A60">
        <w:rPr>
          <w:szCs w:val="28"/>
        </w:rPr>
        <w:t>Later apocalyptic traditions will intensify cosmic signs, angelic mediators, resurrection, judgment, and renewed creation. Ballentine traces how the conflict motif moves into eschatological battles in Jewish and Christian texts.</w:t>
      </w:r>
      <w:r w:rsidRPr="00242A60">
        <w:rPr>
          <w:szCs w:val="28"/>
          <w:vertAlign w:val="superscript"/>
        </w:rPr>
        <w:t>22</w:t>
      </w:r>
      <w:r w:rsidRPr="00242A60">
        <w:rPr>
          <w:szCs w:val="28"/>
        </w:rPr>
        <w:t xml:space="preserve"> This afterlife confirms that monotheistic creation did not make cosmic imagery obsolete. It made that imagery contestable and portable. Monsters could name empires; new creation could name liberation; divine victory could be awaited rather than ritually guaranteed by the present king.</w:t>
      </w:r>
    </w:p>
    <w:p w14:paraId="28FC3FBD" w14:textId="77777777" w:rsidR="00B306DE" w:rsidRPr="00242A60" w:rsidRDefault="00B306DE" w:rsidP="00B306DE">
      <w:pPr>
        <w:pStyle w:val="SectionHeading"/>
      </w:pPr>
      <w:r w:rsidRPr="00242A60">
        <w:rPr>
          <w:bCs/>
          <w:szCs w:val="28"/>
        </w:rPr>
        <w:t>Contingency before Creation from Nothing</w:t>
      </w:r>
    </w:p>
    <w:p w14:paraId="70260695" w14:textId="77777777" w:rsidR="00B306DE" w:rsidRPr="00242A60" w:rsidRDefault="00B306DE" w:rsidP="00B306DE">
      <w:pPr>
        <w:pStyle w:val="BookBody"/>
      </w:pPr>
      <w:r w:rsidRPr="00242A60">
        <w:rPr>
          <w:szCs w:val="28"/>
        </w:rPr>
        <w:t>The transformation described in this chapter must be distinguished from a later metaphysical development. The mature doctrine of creation from nothing will state with increasing precision that all being other than God depends on God and that no coeternal matter limits divine freedom. That doctrine belongs centrally to later Jewish, Christian, and Islamic thought. It should not be projected without qualification into every biblical creation text.</w:t>
      </w:r>
    </w:p>
    <w:p w14:paraId="7DD7628F" w14:textId="77777777" w:rsidR="00B306DE" w:rsidRPr="00242A60" w:rsidRDefault="00B306DE" w:rsidP="00B306DE">
      <w:pPr>
        <w:pStyle w:val="BookBody"/>
      </w:pPr>
      <w:r w:rsidRPr="00242A60">
        <w:rPr>
          <w:szCs w:val="28"/>
        </w:rPr>
        <w:t xml:space="preserve">Genesis 1 opens with waters, darkness, and an unproductive earth. Psalms can imagine creation as victory over sea monsters. Job’s God bounds a sea that bursts from a womb. These are not philosophical accounts of an absolute transition from nonbeing to being. Levenson’s central warning is that biblical creation often concerns the mastery of chaos and the continuing vulnerability of order; </w:t>
      </w:r>
      <w:r w:rsidRPr="00242A60">
        <w:rPr>
          <w:i/>
          <w:szCs w:val="28"/>
        </w:rPr>
        <w:t>creatio ex nihilo</w:t>
      </w:r>
      <w:r w:rsidRPr="00242A60">
        <w:rPr>
          <w:szCs w:val="28"/>
        </w:rPr>
        <w:t xml:space="preserve"> is a postbiblical formulation even when later interpreters rightly find scriptural trajectories toward it.</w:t>
      </w:r>
      <w:r w:rsidRPr="00242A60">
        <w:rPr>
          <w:szCs w:val="28"/>
          <w:vertAlign w:val="superscript"/>
        </w:rPr>
        <w:t>23</w:t>
      </w:r>
    </w:p>
    <w:p w14:paraId="4AECFF76" w14:textId="77777777" w:rsidR="00B306DE" w:rsidRPr="00242A60" w:rsidRDefault="00B306DE" w:rsidP="00B306DE">
      <w:pPr>
        <w:pStyle w:val="BookBody"/>
      </w:pPr>
      <w:r w:rsidRPr="00242A60">
        <w:rPr>
          <w:szCs w:val="28"/>
        </w:rPr>
        <w:t>Yet creaturely contingency is already powerfully present. The lights do not appoint themselves. The seas receive bounds. Living beings depend on breath and food. Nations and rulers pass. The cosmos can be renewed because it does not possess the source of its order in itself. No element, deity, king, or empire closes reality around its own necessity.</w:t>
      </w:r>
    </w:p>
    <w:p w14:paraId="011120EC" w14:textId="77777777" w:rsidR="00B306DE" w:rsidRPr="00242A60" w:rsidRDefault="00B306DE" w:rsidP="00B306DE">
      <w:pPr>
        <w:pStyle w:val="BookBody"/>
      </w:pPr>
      <w:r w:rsidRPr="00242A60">
        <w:rPr>
          <w:szCs w:val="28"/>
        </w:rPr>
        <w:t>This is a different claim from saying that the world is unreal. Dependence is not illusion. The creator repeatedly addresses creatures as genuine others: earth brings forth, waters teem, humans answer, Wisdom calls, animals hunt, seas rage, and stars praise. Biblical monotheism establishes an asymmetry without erasing relation. God is not one more powerful being inside the cosmos, but neither is the cosmos a disposable appearance.</w:t>
      </w:r>
    </w:p>
    <w:p w14:paraId="0928A30D" w14:textId="77777777" w:rsidR="00B306DE" w:rsidRPr="00242A60" w:rsidRDefault="00B306DE" w:rsidP="00B306DE">
      <w:pPr>
        <w:pStyle w:val="BookBody"/>
      </w:pPr>
      <w:r w:rsidRPr="00242A60">
        <w:rPr>
          <w:szCs w:val="28"/>
        </w:rPr>
        <w:t>The historical importance of this move is difficult to overstate. Once cosmic powers become creatures, they can be investigated, used, admired, feared, and politically reassigned without being worshiped. But that possibility does not yet produce modern mechanism. Creaturely things remain embedded in blessing, command, signification, praise, and providence. The world has been deprived of rival gods, not of meaning.</w:t>
      </w:r>
    </w:p>
    <w:p w14:paraId="7703EEBB" w14:textId="77777777" w:rsidR="00B306DE" w:rsidRPr="00242A60" w:rsidRDefault="00B306DE" w:rsidP="00B306DE">
      <w:pPr>
        <w:pStyle w:val="SectionHeading"/>
      </w:pPr>
      <w:r w:rsidRPr="00242A60">
        <w:rPr>
          <w:bCs/>
          <w:szCs w:val="28"/>
        </w:rPr>
        <w:t>What Remains Alive</w:t>
      </w:r>
    </w:p>
    <w:p w14:paraId="6CEA6C70" w14:textId="77777777" w:rsidR="00B306DE" w:rsidRPr="00242A60" w:rsidRDefault="00B306DE" w:rsidP="00B306DE">
      <w:pPr>
        <w:pStyle w:val="BookBody"/>
      </w:pPr>
      <w:r w:rsidRPr="00242A60">
        <w:rPr>
          <w:szCs w:val="28"/>
        </w:rPr>
        <w:t>Creation against the gods is an act of subtraction. Sun and Moon lose divine names. Sea loses ultimacy. Fertility loses an independent drama of divine sexuality. Kingship loses the right to mirror a victorious pantheon without judgment. Human labor no longer exists to feed hungry gods. No idol can enclose the source of life.</w:t>
      </w:r>
    </w:p>
    <w:p w14:paraId="784EE784" w14:textId="77777777" w:rsidR="00B306DE" w:rsidRPr="00242A60" w:rsidRDefault="00B306DE" w:rsidP="00B306DE">
      <w:pPr>
        <w:pStyle w:val="BookBody"/>
      </w:pPr>
      <w:r w:rsidRPr="00242A60">
        <w:rPr>
          <w:szCs w:val="28"/>
        </w:rPr>
        <w:t>But the subtraction makes possible a redistribution. Holiness enters recurring time. Divine image is given to male and female. Breath animates dust. The land receives a human keeper rather than a divine owner. Animals receive blessing and habitats. Leviathan receives a sea in which to play. Stars receive names from the creator and a place in the choir. The created world is less sovereign and more densely related.</w:t>
      </w:r>
    </w:p>
    <w:p w14:paraId="0614A346" w14:textId="77777777" w:rsidR="00B306DE" w:rsidRPr="00242A60" w:rsidRDefault="00B306DE" w:rsidP="00B306DE">
      <w:pPr>
        <w:pStyle w:val="BookBody"/>
      </w:pPr>
      <w:r w:rsidRPr="00242A60">
        <w:rPr>
          <w:szCs w:val="28"/>
        </w:rPr>
        <w:t>This chapter therefore marks the first great reorganization of the living cosmos, not its death. The decisive category is creatureliness. A creature is contingent: it need not exist from itself. It is dependent: it receives life, place, and limit. It is good: its finite form can be affirmed. It is ordered: it participates in relations it did not invent. It is capable of praise: its being can signify gratitude beyond itself. And it is forbidden ultimacy: no finite power may demand the trust appropriate to the source of all.</w:t>
      </w:r>
    </w:p>
    <w:p w14:paraId="60C872B2" w14:textId="77777777" w:rsidR="00B306DE" w:rsidRPr="00242A60" w:rsidRDefault="00B306DE" w:rsidP="00B306DE">
      <w:pPr>
        <w:pStyle w:val="BookBody"/>
      </w:pPr>
      <w:r w:rsidRPr="00242A60">
        <w:rPr>
          <w:szCs w:val="28"/>
        </w:rPr>
        <w:t>The biblical texts never hold this vision without tension. Combat imagery persists beside creation by speech. Job contests moralized order. Ecclesiastes will question easy wisdom. Prophets announce both calamity and new creation. Apocalyptic beasts emerge again from the sea. The tradition remains alive because it argues over what divine sovereignty and creaturely goodness require.</w:t>
      </w:r>
    </w:p>
    <w:p w14:paraId="04E4EE56" w14:textId="77777777" w:rsidR="00B306DE" w:rsidRPr="00242A60" w:rsidRDefault="00B306DE" w:rsidP="00B306DE">
      <w:pPr>
        <w:pStyle w:val="BookBody"/>
      </w:pPr>
      <w:r w:rsidRPr="00242A60">
        <w:rPr>
          <w:szCs w:val="28"/>
        </w:rPr>
        <w:t>That argument prepares the next transformation. Christianity will identify the divine wisdom and word through whom all things are made with a particular human life. Cosmic mediation will be concentrated in Christ; providence and freedom will challenge the rule of astral fate; creation will be drawn into incarnation, resurrection, and sacramental presence. The many powers have already been denied ultimacy. The next question is how the one creator becomes present within the creaturely world without collapsing the difference between them.</w:t>
      </w:r>
    </w:p>
    <w:p w14:paraId="5D97FA49" w14:textId="77777777" w:rsidR="00B306DE" w:rsidRPr="00242A60" w:rsidRDefault="00B306DE" w:rsidP="00B306DE">
      <w:pPr>
        <w:pStyle w:val="NotesHeading"/>
      </w:pPr>
      <w:r w:rsidRPr="00242A60">
        <w:rPr>
          <w:bCs/>
          <w:szCs w:val="28"/>
        </w:rPr>
        <w:t>Notes</w:t>
      </w:r>
    </w:p>
    <w:p w14:paraId="2A69A055" w14:textId="77777777" w:rsidR="00B306DE" w:rsidRPr="00242A60" w:rsidRDefault="00B306DE" w:rsidP="00B306DE">
      <w:pPr>
        <w:pStyle w:val="NoteEntry"/>
      </w:pPr>
      <w:r w:rsidRPr="00242A60">
        <w:rPr>
          <w:szCs w:val="28"/>
        </w:rPr>
        <w:t xml:space="preserve">1. Genesis 1:1–2:3. Biblical quotations and references follow the </w:t>
      </w:r>
      <w:r w:rsidRPr="00242A60">
        <w:rPr>
          <w:i/>
          <w:szCs w:val="28"/>
        </w:rPr>
        <w:t>New Revised Standard Version Bible with the Apocrypha</w:t>
      </w:r>
      <w:r w:rsidRPr="00242A60">
        <w:rPr>
          <w:szCs w:val="28"/>
        </w:rPr>
        <w:t xml:space="preserve"> unless otherwise noted.</w:t>
      </w:r>
    </w:p>
    <w:p w14:paraId="3138A03E" w14:textId="77777777" w:rsidR="00B306DE" w:rsidRPr="00242A60" w:rsidRDefault="00B306DE" w:rsidP="00B306DE">
      <w:pPr>
        <w:pStyle w:val="NoteEntry"/>
      </w:pPr>
      <w:r w:rsidRPr="00242A60">
        <w:rPr>
          <w:szCs w:val="28"/>
        </w:rPr>
        <w:t xml:space="preserve">2. Jon D. Levenson, </w:t>
      </w:r>
      <w:r w:rsidRPr="00242A60">
        <w:rPr>
          <w:i/>
          <w:szCs w:val="28"/>
        </w:rPr>
        <w:t>Creation and the Persistence of Evil: The Jewish Drama of Divine Omnipotence</w:t>
      </w:r>
      <w:r w:rsidRPr="00242A60">
        <w:rPr>
          <w:szCs w:val="28"/>
        </w:rPr>
        <w:t xml:space="preserve"> (Princeton, NJ: Princeton University Press, 1988; paperback ed. with new preface, 1994), 3–13, 16–39.</w:t>
      </w:r>
    </w:p>
    <w:p w14:paraId="64682950" w14:textId="77777777" w:rsidR="00B306DE" w:rsidRPr="00242A60" w:rsidRDefault="00B306DE" w:rsidP="00B306DE">
      <w:pPr>
        <w:pStyle w:val="NoteEntry"/>
      </w:pPr>
      <w:r w:rsidRPr="00242A60">
        <w:rPr>
          <w:szCs w:val="28"/>
        </w:rPr>
        <w:t xml:space="preserve">3. Claus Westermann, </w:t>
      </w:r>
      <w:r w:rsidRPr="00242A60">
        <w:rPr>
          <w:i/>
          <w:szCs w:val="28"/>
        </w:rPr>
        <w:t>Genesis 1–11: A Commentary</w:t>
      </w:r>
      <w:r w:rsidRPr="00242A60">
        <w:rPr>
          <w:szCs w:val="28"/>
        </w:rPr>
        <w:t>, trans. John J. Scullion (Minneapolis: Augsburg, 1984), 19–73.</w:t>
      </w:r>
    </w:p>
    <w:p w14:paraId="0B05C426" w14:textId="77777777" w:rsidR="00B306DE" w:rsidRPr="00242A60" w:rsidRDefault="00B306DE" w:rsidP="00B306DE">
      <w:pPr>
        <w:pStyle w:val="NoteEntry"/>
      </w:pPr>
      <w:r w:rsidRPr="00242A60">
        <w:rPr>
          <w:szCs w:val="28"/>
        </w:rPr>
        <w:t xml:space="preserve">4. Debra Scoggins Ballentine, </w:t>
      </w:r>
      <w:r w:rsidRPr="00242A60">
        <w:rPr>
          <w:i/>
          <w:szCs w:val="28"/>
        </w:rPr>
        <w:t>The Conflict Myth and the Biblical Tradition</w:t>
      </w:r>
      <w:r w:rsidRPr="00242A60">
        <w:rPr>
          <w:szCs w:val="28"/>
        </w:rPr>
        <w:t xml:space="preserve"> (New York: Oxford University Press, 2015), 22–70.</w:t>
      </w:r>
    </w:p>
    <w:p w14:paraId="7742905C" w14:textId="77777777" w:rsidR="00B306DE" w:rsidRPr="00242A60" w:rsidRDefault="00B306DE" w:rsidP="00B306DE">
      <w:pPr>
        <w:pStyle w:val="NoteEntry"/>
      </w:pPr>
      <w:r w:rsidRPr="00242A60">
        <w:rPr>
          <w:szCs w:val="28"/>
        </w:rPr>
        <w:t xml:space="preserve">5. Stephanie Dalley, trans., </w:t>
      </w:r>
      <w:r w:rsidRPr="00242A60">
        <w:rPr>
          <w:i/>
          <w:szCs w:val="28"/>
        </w:rPr>
        <w:t>Myths from Mesopotamia: Creation, the Flood, Gilgamesh, and Others</w:t>
      </w:r>
      <w:r w:rsidRPr="00242A60">
        <w:rPr>
          <w:szCs w:val="28"/>
        </w:rPr>
        <w:t>, rev. ed. (Oxford: Oxford University Press, 2000), 1–38.</w:t>
      </w:r>
    </w:p>
    <w:p w14:paraId="4FA92038" w14:textId="77777777" w:rsidR="00B306DE" w:rsidRPr="00242A60" w:rsidRDefault="00B306DE" w:rsidP="00B306DE">
      <w:pPr>
        <w:pStyle w:val="NoteEntry"/>
      </w:pPr>
      <w:r w:rsidRPr="00242A60">
        <w:rPr>
          <w:szCs w:val="28"/>
        </w:rPr>
        <w:t xml:space="preserve">6. Dalley, </w:t>
      </w:r>
      <w:r w:rsidRPr="00242A60">
        <w:rPr>
          <w:i/>
          <w:szCs w:val="28"/>
        </w:rPr>
        <w:t>Myths from Mesopotamia</w:t>
      </w:r>
      <w:r w:rsidRPr="00242A60">
        <w:rPr>
          <w:szCs w:val="28"/>
        </w:rPr>
        <w:t>, 228–77.</w:t>
      </w:r>
    </w:p>
    <w:p w14:paraId="2645D57E" w14:textId="77777777" w:rsidR="00B306DE" w:rsidRPr="00242A60" w:rsidRDefault="00B306DE" w:rsidP="00B306DE">
      <w:pPr>
        <w:pStyle w:val="NoteEntry"/>
      </w:pPr>
      <w:r w:rsidRPr="00242A60">
        <w:rPr>
          <w:szCs w:val="28"/>
        </w:rPr>
        <w:t xml:space="preserve">7. David Toshio Tsumura, </w:t>
      </w:r>
      <w:r w:rsidRPr="00242A60">
        <w:rPr>
          <w:i/>
          <w:szCs w:val="28"/>
        </w:rPr>
        <w:t>The Earth and the Waters in Genesis 1 and 2: A Linguistic Investigation</w:t>
      </w:r>
      <w:r w:rsidRPr="00242A60">
        <w:rPr>
          <w:szCs w:val="28"/>
        </w:rPr>
        <w:t xml:space="preserve"> (Sheffield: JSOT Press, 1989), 45–65, 156–57.</w:t>
      </w:r>
    </w:p>
    <w:p w14:paraId="601C11BF" w14:textId="77777777" w:rsidR="00B306DE" w:rsidRPr="00242A60" w:rsidRDefault="00B306DE" w:rsidP="00B306DE">
      <w:pPr>
        <w:pStyle w:val="NoteEntry"/>
      </w:pPr>
      <w:r w:rsidRPr="00242A60">
        <w:rPr>
          <w:szCs w:val="28"/>
        </w:rPr>
        <w:t xml:space="preserve">8. Michael D. Coogan and Mark S. Smith, eds. and trans., </w:t>
      </w:r>
      <w:r w:rsidRPr="00242A60">
        <w:rPr>
          <w:i/>
          <w:szCs w:val="28"/>
        </w:rPr>
        <w:t>Stories from Ancient Canaan</w:t>
      </w:r>
      <w:r w:rsidRPr="00242A60">
        <w:rPr>
          <w:szCs w:val="28"/>
        </w:rPr>
        <w:t>, 2nd ed. (Louisville, KY: Westminster John Knox Press, 2012), 97–153.</w:t>
      </w:r>
    </w:p>
    <w:p w14:paraId="2FE1B776" w14:textId="77777777" w:rsidR="00B306DE" w:rsidRPr="00242A60" w:rsidRDefault="00B306DE" w:rsidP="00B306DE">
      <w:pPr>
        <w:pStyle w:val="NoteEntry"/>
      </w:pPr>
      <w:r w:rsidRPr="00242A60">
        <w:rPr>
          <w:szCs w:val="28"/>
        </w:rPr>
        <w:t xml:space="preserve">9. Mark S. Smith, </w:t>
      </w:r>
      <w:r w:rsidRPr="00242A60">
        <w:rPr>
          <w:i/>
          <w:szCs w:val="28"/>
        </w:rPr>
        <w:t>The Priestly Vision of Genesis 1</w:t>
      </w:r>
      <w:r w:rsidRPr="00242A60">
        <w:rPr>
          <w:szCs w:val="28"/>
        </w:rPr>
        <w:t xml:space="preserve"> (Minneapolis: Fortress Press, 2010), 49–69; Levenson, </w:t>
      </w:r>
      <w:r w:rsidRPr="00242A60">
        <w:rPr>
          <w:i/>
          <w:szCs w:val="28"/>
        </w:rPr>
        <w:t>Creation and the Persistence of Evil</w:t>
      </w:r>
      <w:r w:rsidRPr="00242A60">
        <w:rPr>
          <w:szCs w:val="28"/>
        </w:rPr>
        <w:t>, 3–13.</w:t>
      </w:r>
    </w:p>
    <w:p w14:paraId="0147F300" w14:textId="77777777" w:rsidR="00B306DE" w:rsidRPr="00242A60" w:rsidRDefault="00B306DE" w:rsidP="00B306DE">
      <w:pPr>
        <w:pStyle w:val="NoteEntry"/>
      </w:pPr>
      <w:r w:rsidRPr="00242A60">
        <w:rPr>
          <w:szCs w:val="28"/>
        </w:rPr>
        <w:t xml:space="preserve">10. Westermann, </w:t>
      </w:r>
      <w:r w:rsidRPr="00242A60">
        <w:rPr>
          <w:i/>
          <w:szCs w:val="28"/>
        </w:rPr>
        <w:t>Genesis 1–11</w:t>
      </w:r>
      <w:r w:rsidRPr="00242A60">
        <w:rPr>
          <w:szCs w:val="28"/>
        </w:rPr>
        <w:t>, 94–104, 141–48.</w:t>
      </w:r>
    </w:p>
    <w:p w14:paraId="40420544" w14:textId="77777777" w:rsidR="00B306DE" w:rsidRPr="00242A60" w:rsidRDefault="00B306DE" w:rsidP="00B306DE">
      <w:pPr>
        <w:pStyle w:val="NoteEntry"/>
      </w:pPr>
      <w:r w:rsidRPr="00242A60">
        <w:rPr>
          <w:szCs w:val="28"/>
        </w:rPr>
        <w:t xml:space="preserve">11. Gerhard von Rad, </w:t>
      </w:r>
      <w:r w:rsidRPr="00242A60">
        <w:rPr>
          <w:i/>
          <w:szCs w:val="28"/>
        </w:rPr>
        <w:t>Genesis: A Commentary</w:t>
      </w:r>
      <w:r w:rsidRPr="00242A60">
        <w:rPr>
          <w:szCs w:val="28"/>
        </w:rPr>
        <w:t>, rev. ed., trans. John H. Marks (Philadelphia: Westminster Press, 1972), 45–66.</w:t>
      </w:r>
    </w:p>
    <w:p w14:paraId="3FD0D95F" w14:textId="77777777" w:rsidR="00B306DE" w:rsidRPr="00242A60" w:rsidRDefault="00B306DE" w:rsidP="00B306DE">
      <w:pPr>
        <w:pStyle w:val="NoteEntry"/>
      </w:pPr>
      <w:r w:rsidRPr="00242A60">
        <w:rPr>
          <w:szCs w:val="28"/>
        </w:rPr>
        <w:t xml:space="preserve">12. Westermann, </w:t>
      </w:r>
      <w:r w:rsidRPr="00242A60">
        <w:rPr>
          <w:i/>
          <w:szCs w:val="28"/>
        </w:rPr>
        <w:t>Genesis 1–11</w:t>
      </w:r>
      <w:r w:rsidRPr="00242A60">
        <w:rPr>
          <w:szCs w:val="28"/>
        </w:rPr>
        <w:t xml:space="preserve">, 120–34; Smith, </w:t>
      </w:r>
      <w:r w:rsidRPr="00242A60">
        <w:rPr>
          <w:i/>
          <w:szCs w:val="28"/>
        </w:rPr>
        <w:t>Priestly Vision</w:t>
      </w:r>
      <w:r w:rsidRPr="00242A60">
        <w:rPr>
          <w:szCs w:val="28"/>
        </w:rPr>
        <w:t>, 135–44.</w:t>
      </w:r>
    </w:p>
    <w:p w14:paraId="4A2FE462" w14:textId="77777777" w:rsidR="00B306DE" w:rsidRPr="00242A60" w:rsidRDefault="00B306DE" w:rsidP="00B306DE">
      <w:pPr>
        <w:pStyle w:val="NoteEntry"/>
      </w:pPr>
      <w:r w:rsidRPr="00242A60">
        <w:rPr>
          <w:szCs w:val="28"/>
        </w:rPr>
        <w:t xml:space="preserve">13. Smith, </w:t>
      </w:r>
      <w:r w:rsidRPr="00242A60">
        <w:rPr>
          <w:i/>
          <w:szCs w:val="28"/>
        </w:rPr>
        <w:t>Priestly Vision</w:t>
      </w:r>
      <w:r w:rsidRPr="00242A60">
        <w:rPr>
          <w:szCs w:val="28"/>
        </w:rPr>
        <w:t xml:space="preserve">, 145–58; Walter Brueggemann, </w:t>
      </w:r>
      <w:r w:rsidRPr="00242A60">
        <w:rPr>
          <w:i/>
          <w:szCs w:val="28"/>
        </w:rPr>
        <w:t>Genesis</w:t>
      </w:r>
      <w:r w:rsidRPr="00242A60">
        <w:rPr>
          <w:szCs w:val="28"/>
        </w:rPr>
        <w:t>, Interpretation (Atlanta: John Knox Press, 1982), 25–37.</w:t>
      </w:r>
    </w:p>
    <w:p w14:paraId="2A595965" w14:textId="77777777" w:rsidR="00B306DE" w:rsidRPr="00242A60" w:rsidRDefault="00B306DE" w:rsidP="00B306DE">
      <w:pPr>
        <w:pStyle w:val="NoteEntry"/>
      </w:pPr>
      <w:r w:rsidRPr="00242A60">
        <w:rPr>
          <w:szCs w:val="28"/>
        </w:rPr>
        <w:t xml:space="preserve">14. Smith, </w:t>
      </w:r>
      <w:r w:rsidRPr="00242A60">
        <w:rPr>
          <w:i/>
          <w:szCs w:val="28"/>
        </w:rPr>
        <w:t>Priestly Vision</w:t>
      </w:r>
      <w:r w:rsidRPr="00242A60">
        <w:rPr>
          <w:szCs w:val="28"/>
        </w:rPr>
        <w:t>, 97–115, 128–64.</w:t>
      </w:r>
    </w:p>
    <w:p w14:paraId="40C750B5" w14:textId="77777777" w:rsidR="00B306DE" w:rsidRPr="00242A60" w:rsidRDefault="00B306DE" w:rsidP="00B306DE">
      <w:pPr>
        <w:pStyle w:val="NoteEntry"/>
      </w:pPr>
      <w:r w:rsidRPr="00242A60">
        <w:rPr>
          <w:szCs w:val="28"/>
        </w:rPr>
        <w:t xml:space="preserve">15. Levenson, </w:t>
      </w:r>
      <w:r w:rsidRPr="00242A60">
        <w:rPr>
          <w:i/>
          <w:szCs w:val="28"/>
        </w:rPr>
        <w:t>Creation and the Persistence of Evil</w:t>
      </w:r>
      <w:r w:rsidRPr="00242A60">
        <w:rPr>
          <w:szCs w:val="28"/>
        </w:rPr>
        <w:t>, 78–99.</w:t>
      </w:r>
    </w:p>
    <w:p w14:paraId="39700180" w14:textId="77777777" w:rsidR="00B306DE" w:rsidRPr="00242A60" w:rsidRDefault="00B306DE" w:rsidP="00B306DE">
      <w:pPr>
        <w:pStyle w:val="NoteEntry"/>
      </w:pPr>
      <w:r w:rsidRPr="00242A60">
        <w:rPr>
          <w:szCs w:val="28"/>
        </w:rPr>
        <w:t xml:space="preserve">16. Westermann, </w:t>
      </w:r>
      <w:r w:rsidRPr="00242A60">
        <w:rPr>
          <w:i/>
          <w:szCs w:val="28"/>
        </w:rPr>
        <w:t>Genesis 1–11</w:t>
      </w:r>
      <w:r w:rsidRPr="00242A60">
        <w:rPr>
          <w:szCs w:val="28"/>
        </w:rPr>
        <w:t>, 193–229.</w:t>
      </w:r>
    </w:p>
    <w:p w14:paraId="18F66BDC" w14:textId="77777777" w:rsidR="00B306DE" w:rsidRPr="00242A60" w:rsidRDefault="00B306DE" w:rsidP="00B306DE">
      <w:pPr>
        <w:pStyle w:val="NoteEntry"/>
      </w:pPr>
      <w:r w:rsidRPr="00242A60">
        <w:rPr>
          <w:szCs w:val="28"/>
        </w:rPr>
        <w:t>17. Genesis 8:20–9:17.</w:t>
      </w:r>
    </w:p>
    <w:p w14:paraId="4094A107" w14:textId="77777777" w:rsidR="00B306DE" w:rsidRPr="00242A60" w:rsidRDefault="00B306DE" w:rsidP="00B306DE">
      <w:pPr>
        <w:pStyle w:val="NoteEntry"/>
      </w:pPr>
      <w:r w:rsidRPr="00242A60">
        <w:rPr>
          <w:szCs w:val="28"/>
        </w:rPr>
        <w:t xml:space="preserve">18. Ballentine, </w:t>
      </w:r>
      <w:r w:rsidRPr="00242A60">
        <w:rPr>
          <w:i/>
          <w:szCs w:val="28"/>
        </w:rPr>
        <w:t>Conflict Myth</w:t>
      </w:r>
      <w:r w:rsidRPr="00242A60">
        <w:rPr>
          <w:szCs w:val="28"/>
        </w:rPr>
        <w:t>, 73–126.</w:t>
      </w:r>
    </w:p>
    <w:p w14:paraId="20F255AC" w14:textId="77777777" w:rsidR="00B306DE" w:rsidRPr="00242A60" w:rsidRDefault="00B306DE" w:rsidP="00B306DE">
      <w:pPr>
        <w:pStyle w:val="NoteEntry"/>
      </w:pPr>
      <w:r w:rsidRPr="00242A60">
        <w:rPr>
          <w:szCs w:val="28"/>
        </w:rPr>
        <w:t xml:space="preserve">19. Levenson, </w:t>
      </w:r>
      <w:r w:rsidRPr="00242A60">
        <w:rPr>
          <w:i/>
          <w:szCs w:val="28"/>
        </w:rPr>
        <w:t>Creation and the Persistence of Evil</w:t>
      </w:r>
      <w:r w:rsidRPr="00242A60">
        <w:rPr>
          <w:szCs w:val="28"/>
        </w:rPr>
        <w:t>, 26–46, 100–20.</w:t>
      </w:r>
    </w:p>
    <w:p w14:paraId="0BCD6FF2" w14:textId="77777777" w:rsidR="00B306DE" w:rsidRPr="00242A60" w:rsidRDefault="00B306DE" w:rsidP="00B306DE">
      <w:pPr>
        <w:pStyle w:val="NoteEntry"/>
      </w:pPr>
      <w:r w:rsidRPr="00242A60">
        <w:rPr>
          <w:szCs w:val="28"/>
        </w:rPr>
        <w:t xml:space="preserve">20. Levenson, </w:t>
      </w:r>
      <w:r w:rsidRPr="00242A60">
        <w:rPr>
          <w:i/>
          <w:szCs w:val="28"/>
        </w:rPr>
        <w:t>Creation and the Persistence of Evil</w:t>
      </w:r>
      <w:r w:rsidRPr="00242A60">
        <w:rPr>
          <w:szCs w:val="28"/>
        </w:rPr>
        <w:t>, 53–65.</w:t>
      </w:r>
    </w:p>
    <w:p w14:paraId="634C3CD3" w14:textId="77777777" w:rsidR="00B306DE" w:rsidRPr="00242A60" w:rsidRDefault="00B306DE" w:rsidP="00B306DE">
      <w:pPr>
        <w:pStyle w:val="NoteEntry"/>
      </w:pPr>
      <w:r w:rsidRPr="00242A60">
        <w:rPr>
          <w:szCs w:val="28"/>
        </w:rPr>
        <w:t xml:space="preserve">21. Abigail Pelham, </w:t>
      </w:r>
      <w:r w:rsidRPr="00242A60">
        <w:rPr>
          <w:i/>
          <w:szCs w:val="28"/>
        </w:rPr>
        <w:t>Contested Creations in the Book of Job: The-World-as-It-Ought-and-Ought-Not-to-Be</w:t>
      </w:r>
      <w:r w:rsidRPr="00242A60">
        <w:rPr>
          <w:szCs w:val="28"/>
        </w:rPr>
        <w:t xml:space="preserve"> (Leiden: Brill, 2012), 71–83, 171–207.</w:t>
      </w:r>
    </w:p>
    <w:p w14:paraId="7EC66768" w14:textId="77777777" w:rsidR="00B306DE" w:rsidRPr="00242A60" w:rsidRDefault="00B306DE" w:rsidP="00B306DE">
      <w:pPr>
        <w:pStyle w:val="NoteEntry"/>
      </w:pPr>
      <w:r w:rsidRPr="00242A60">
        <w:rPr>
          <w:szCs w:val="28"/>
        </w:rPr>
        <w:t xml:space="preserve">22. Ballentine, </w:t>
      </w:r>
      <w:r w:rsidRPr="00242A60">
        <w:rPr>
          <w:i/>
          <w:szCs w:val="28"/>
        </w:rPr>
        <w:t>Conflict Myth</w:t>
      </w:r>
      <w:r w:rsidRPr="00242A60">
        <w:rPr>
          <w:szCs w:val="28"/>
        </w:rPr>
        <w:t>, 127–70.</w:t>
      </w:r>
    </w:p>
    <w:p w14:paraId="1C79EB2F" w14:textId="77777777" w:rsidR="00B306DE" w:rsidRPr="00242A60" w:rsidRDefault="00B306DE" w:rsidP="00B306DE">
      <w:pPr>
        <w:pStyle w:val="NoteEntry"/>
      </w:pPr>
      <w:r w:rsidRPr="00242A60">
        <w:rPr>
          <w:szCs w:val="28"/>
        </w:rPr>
        <w:t xml:space="preserve">23. Levenson, </w:t>
      </w:r>
      <w:r w:rsidRPr="00242A60">
        <w:rPr>
          <w:i/>
          <w:szCs w:val="28"/>
        </w:rPr>
        <w:t>Creation and the Persistence of Evil</w:t>
      </w:r>
      <w:r w:rsidRPr="00242A60">
        <w:rPr>
          <w:szCs w:val="28"/>
        </w:rPr>
        <w:t xml:space="preserve">, 3–13, 127–55; Smith, </w:t>
      </w:r>
      <w:r w:rsidRPr="00242A60">
        <w:rPr>
          <w:i/>
          <w:szCs w:val="28"/>
        </w:rPr>
        <w:t>Priestly Vision</w:t>
      </w:r>
      <w:r w:rsidRPr="00242A60">
        <w:rPr>
          <w:szCs w:val="28"/>
        </w:rPr>
        <w:t>, 49–69.</w:t>
      </w:r>
    </w:p>
    <w:p w14:paraId="0C401ADB" w14:textId="77777777" w:rsidR="00DA7928" w:rsidRPr="00DA7928" w:rsidRDefault="00DA7928" w:rsidP="00DA7928">
      <w:pPr>
        <w:pStyle w:val="ChapterHeading"/>
      </w:pPr>
      <w:bookmarkStart w:id="8" w:name="toc_chapter_6"/>
      <w:r>
        <w:rPr>
          <w:sz w:val="28"/>
        </w:rPr>
        <w:t>Chapter 6</w:t>
      </w:r>
      <w:r>
        <w:rPr>
          <w:sz w:val="28"/>
        </w:rPr>
        <w:br/>
      </w:r>
      <w:r>
        <w:t>Christ, Providence, and the Contest with Fate</w:t>
      </w:r>
      <w:bookmarkEnd w:id="8"/>
    </w:p>
    <w:p w14:paraId="1253008E" w14:textId="77777777" w:rsidR="00DA7928" w:rsidRPr="00DA7928" w:rsidRDefault="00DA7928" w:rsidP="00DA7928">
      <w:pPr>
        <w:pStyle w:val="SectionHeading"/>
      </w:pPr>
      <w:r w:rsidRPr="00DA7928">
        <w:rPr>
          <w:bCs/>
          <w:szCs w:val="28"/>
        </w:rPr>
        <w:t>Facing West</w:t>
      </w:r>
    </w:p>
    <w:p w14:paraId="1548F585" w14:textId="77777777" w:rsidR="00DA7928" w:rsidRPr="00DA7928" w:rsidRDefault="00DA7928" w:rsidP="00DA7928">
      <w:pPr>
        <w:pStyle w:val="BookBody"/>
      </w:pPr>
      <w:r w:rsidRPr="00DA7928">
        <w:rPr>
          <w:szCs w:val="28"/>
        </w:rPr>
        <w:t>The first material witness of this chapter is a human body turning in place.</w:t>
      </w:r>
    </w:p>
    <w:p w14:paraId="2AFFB00E" w14:textId="77777777" w:rsidR="00DA7928" w:rsidRPr="00DA7928" w:rsidRDefault="00DA7928" w:rsidP="00DA7928">
      <w:pPr>
        <w:pStyle w:val="BookBody"/>
      </w:pPr>
      <w:r w:rsidRPr="00DA7928">
        <w:rPr>
          <w:szCs w:val="28"/>
        </w:rPr>
        <w:t xml:space="preserve">At an early Christian baptism described in the </w:t>
      </w:r>
      <w:r w:rsidRPr="00DA7928">
        <w:rPr>
          <w:i/>
          <w:szCs w:val="28"/>
        </w:rPr>
        <w:t>Apostolic Tradition</w:t>
      </w:r>
      <w:r w:rsidRPr="00DA7928">
        <w:rPr>
          <w:szCs w:val="28"/>
        </w:rPr>
        <w:t>, the candidate stands at the threshold of the water. Clothing and ornaments have been removed. One minister holds oil over which an exorcism has been spoken; another holds oil of thanksgiving. Before the candidate descends, a presbyter tells the person to renounce Satan, Satan's service, and Satan's works. In one strand of the rite, the renunciation is followed by a turn toward the east and an affirmation of allegiance to Father, Son, and Holy Spirit. The candidate then enters the water and answers a threefold series of questions about faith.</w:t>
      </w:r>
      <w:r w:rsidRPr="00DA7928">
        <w:rPr>
          <w:szCs w:val="28"/>
          <w:vertAlign w:val="superscript"/>
        </w:rPr>
        <w:t>1</w:t>
      </w:r>
    </w:p>
    <w:p w14:paraId="2E11E087" w14:textId="77777777" w:rsidR="00DA7928" w:rsidRPr="00DA7928" w:rsidRDefault="00DA7928" w:rsidP="00DA7928">
      <w:pPr>
        <w:pStyle w:val="BookBody"/>
      </w:pPr>
      <w:r w:rsidRPr="00DA7928">
        <w:rPr>
          <w:szCs w:val="28"/>
        </w:rPr>
        <w:t>The movement is small enough to miss. Yet it gives spatial form to a cosmic claim. To face west is to face the region where the Sun disappears and darkness advances. To turn east is to face light's return. The candidate does not merely exchange one private opinion for another. The body withdraws consent from a hostile administration of the world and enters another sovereignty. Water, oil, breath, direction, speech, and a gathered community cooperate in the passage.</w:t>
      </w:r>
    </w:p>
    <w:p w14:paraId="7EDF73E8" w14:textId="77777777" w:rsidR="00DA7928" w:rsidRPr="00DA7928" w:rsidRDefault="00DA7928" w:rsidP="00DA7928">
      <w:pPr>
        <w:pStyle w:val="BookBody"/>
      </w:pPr>
      <w:r w:rsidRPr="00DA7928">
        <w:rPr>
          <w:szCs w:val="28"/>
        </w:rPr>
        <w:t>The rite does not say that every star is a demon or every natural power an enemy. Neither does it teach that the visible world is a prison from which the enlightened soul escapes. The same candidate confesses the creator and the incarnation, receives material signs, and joins a people whose worship is ordered by days, seasons, and the annual return of Pascha. The renunciation distinguishes powers. It denies the devil's claim to service without denying creation's capacity to mediate grace.</w:t>
      </w:r>
    </w:p>
    <w:p w14:paraId="5D6E7574" w14:textId="77777777" w:rsidR="00DA7928" w:rsidRPr="00DA7928" w:rsidRDefault="00DA7928" w:rsidP="00DA7928">
      <w:pPr>
        <w:pStyle w:val="BookBody"/>
      </w:pPr>
      <w:r w:rsidRPr="00DA7928">
        <w:rPr>
          <w:szCs w:val="28"/>
        </w:rPr>
        <w:t xml:space="preserve">That distinction governs the Christian hinge in the history of the living cosmos. Christianity inherited a biblical world in which Sun, Moon, stars, sea, animals, nations, and angels were creatures rather than gods. It also entered a Mediterranean society where celestial bodies remained entangled with civic religion, medicine, philosophy, divination, imperial power, and ordinary decisions. A horoscope could be treated as technical advice, a map of providence, a declaration of necessity, or an illicit compact. The word </w:t>
      </w:r>
      <w:r w:rsidRPr="00DA7928">
        <w:rPr>
          <w:i/>
          <w:szCs w:val="28"/>
        </w:rPr>
        <w:t>astrology</w:t>
      </w:r>
      <w:r w:rsidRPr="00DA7928">
        <w:rPr>
          <w:szCs w:val="28"/>
        </w:rPr>
        <w:t xml:space="preserve"> covered arguments and practices that did not all make the same causal claims.</w:t>
      </w:r>
      <w:r w:rsidRPr="00DA7928">
        <w:rPr>
          <w:szCs w:val="28"/>
          <w:vertAlign w:val="superscript"/>
        </w:rPr>
        <w:t>2</w:t>
      </w:r>
    </w:p>
    <w:p w14:paraId="719CCBD0" w14:textId="77777777" w:rsidR="00DA7928" w:rsidRPr="00DA7928" w:rsidRDefault="00DA7928" w:rsidP="00DA7928">
      <w:pPr>
        <w:pStyle w:val="BookBody"/>
      </w:pPr>
      <w:r w:rsidRPr="00DA7928">
        <w:rPr>
          <w:szCs w:val="28"/>
        </w:rPr>
        <w:t>The governing question is therefore not whether Christianity believed in heaven. It is how Christians could preserve a cosmos dense with mediation while denying that the stars ruled the will or determined salvation. Their answer did not arrive as a single decree. Paul and John concentrated cosmic unity in Christ. Irenaeus made incarnation a recapitulation of creation rather than a rescue from it. Origen distinguished signs and foreknowledge from causes. Augustine separated providential order from the fatalism he associated with natal astrology. Baptism and calendar made these arguments habitual. The heavens remained meaningful, but their meaning was placed under judgment.</w:t>
      </w:r>
    </w:p>
    <w:p w14:paraId="2743E140" w14:textId="77777777" w:rsidR="00DA7928" w:rsidRPr="00DA7928" w:rsidRDefault="00DA7928" w:rsidP="00DA7928">
      <w:pPr>
        <w:pStyle w:val="SectionHeading"/>
      </w:pPr>
      <w:r w:rsidRPr="00DA7928">
        <w:rPr>
          <w:bCs/>
          <w:szCs w:val="28"/>
        </w:rPr>
        <w:t>The Powers after Creation</w:t>
      </w:r>
    </w:p>
    <w:p w14:paraId="7225234C" w14:textId="77777777" w:rsidR="00DA7928" w:rsidRPr="00DA7928" w:rsidRDefault="00DA7928" w:rsidP="00DA7928">
      <w:pPr>
        <w:pStyle w:val="BookBody"/>
      </w:pPr>
      <w:r w:rsidRPr="00DA7928">
        <w:rPr>
          <w:szCs w:val="28"/>
        </w:rPr>
        <w:t>The biblical transformation traced in the previous chapter had denied the heavenly bodies independent divinity. Genesis appointed the lights for signs, seasons, days, and years. Prophets mocked idols and named the stars as a numbered host. Psalms made the heavens proclaim rather than command. Yet the removal of rival gods did not empty the space between creator and creature. Biblical and early Jewish texts spoke of angels, watchers, principalities, thrones, authorities, spirits, and a heavenly council. Creation was one, but it was not flat.</w:t>
      </w:r>
    </w:p>
    <w:p w14:paraId="15C80CA7" w14:textId="77777777" w:rsidR="00DA7928" w:rsidRPr="00DA7928" w:rsidRDefault="00DA7928" w:rsidP="00DA7928">
      <w:pPr>
        <w:pStyle w:val="BookBody"/>
      </w:pPr>
      <w:r w:rsidRPr="00DA7928">
        <w:rPr>
          <w:szCs w:val="28"/>
        </w:rPr>
        <w:t>This populated heaven created a problem and a resource for Christian thought. It allowed Christians to describe Christ's work at a genuinely cosmic scale. Salvation could concern more than the correction of individual conduct or the fate of disembodied souls. It could reach visible and invisible orders, reconcile divided realms, judge rebellious powers, and renew creation. At the same time, a populated heaven made discernment unavoidable. Which powers served God? Which had rebelled? Which words named offices within creation, and which named objects of misplaced worship? How could divine providence operate through secondary agents without becoming the same thing as astral necessity?</w:t>
      </w:r>
    </w:p>
    <w:p w14:paraId="369A27D4" w14:textId="77777777" w:rsidR="00DA7928" w:rsidRPr="00DA7928" w:rsidRDefault="00DA7928" w:rsidP="00DA7928">
      <w:pPr>
        <w:pStyle w:val="BookBody"/>
      </w:pPr>
      <w:r w:rsidRPr="00DA7928">
        <w:rPr>
          <w:szCs w:val="28"/>
        </w:rPr>
        <w:t>Christian writers did not answer uniformly. Some portrayed astrology principally as a doctrine taught by fallen angels. Some conceded that celestial patterns might be signs while denying that human astrologers could read them reliably. Some interpreted the star of Bethlehem as the end of the old astral regime. Others found Christian meanings in constellations, planetary imagery, or zodiacal forms. The disagreement is not noise around a simple consensus. It reveals how difficult it was to detach cosmic significance from cosmic domination.</w:t>
      </w:r>
    </w:p>
    <w:p w14:paraId="52F6BC97" w14:textId="77777777" w:rsidR="00DA7928" w:rsidRPr="00DA7928" w:rsidRDefault="00DA7928" w:rsidP="00DA7928">
      <w:pPr>
        <w:pStyle w:val="BookBody"/>
      </w:pPr>
      <w:r w:rsidRPr="00DA7928">
        <w:rPr>
          <w:szCs w:val="28"/>
        </w:rPr>
        <w:t>Two affirmations nevertheless set the limits of the debate. First, the creator and redeemer were one God. No lower maker could be blamed for a defective material world while a higher savior extracted spiritual persons from it. Second, salvation could not be necessitated by birth under a star. If a constellation made virtue and vice unavoidable, moral exhortation, repentance, judgment, prayer, baptism, and grace would lose their sense. Christianity's contest with fate therefore belonged to its account of creation and redemption together.</w:t>
      </w:r>
    </w:p>
    <w:p w14:paraId="5EADDF1F" w14:textId="77777777" w:rsidR="00DA7928" w:rsidRPr="00DA7928" w:rsidRDefault="00DA7928" w:rsidP="00DA7928">
      <w:pPr>
        <w:pStyle w:val="SectionHeading"/>
      </w:pPr>
      <w:r w:rsidRPr="00DA7928">
        <w:rPr>
          <w:bCs/>
          <w:szCs w:val="28"/>
        </w:rPr>
        <w:t>All Things in Christ</w:t>
      </w:r>
    </w:p>
    <w:p w14:paraId="4F55822D" w14:textId="77777777" w:rsidR="00DA7928" w:rsidRPr="00DA7928" w:rsidRDefault="00DA7928" w:rsidP="00DA7928">
      <w:pPr>
        <w:pStyle w:val="BookBody"/>
      </w:pPr>
      <w:r w:rsidRPr="00DA7928">
        <w:rPr>
          <w:szCs w:val="28"/>
        </w:rPr>
        <w:t>The Letter to the Colossians offers the chapter's first great concentration of cosmic language. Its hymn calls Christ the image of the invisible God and the firstborn of all creation. In him all things were created, in heaven and on earth, visible and invisible, including thrones, dominions, rulers, and powers. All things came through him and move toward him. He is before them, they cohere in him, and through the blood of his cross God reconciles all things, earthly and heavenly (Col. 1:15-20).</w:t>
      </w:r>
      <w:r w:rsidRPr="00DA7928">
        <w:rPr>
          <w:szCs w:val="28"/>
          <w:vertAlign w:val="superscript"/>
        </w:rPr>
        <w:t>3</w:t>
      </w:r>
    </w:p>
    <w:p w14:paraId="1E6FD0FD" w14:textId="77777777" w:rsidR="00DA7928" w:rsidRPr="00DA7928" w:rsidRDefault="00DA7928" w:rsidP="00DA7928">
      <w:pPr>
        <w:pStyle w:val="BookBody"/>
      </w:pPr>
      <w:r w:rsidRPr="00DA7928">
        <w:rPr>
          <w:szCs w:val="28"/>
        </w:rPr>
        <w:t>The repeated phrase “all things” does more than enlarge a doctrine already complete at a human scale. It rearranges the universe. Visible bodies and invisible powers are not parallel kingdoms. Neither are celestial rulers eternal intermediaries standing between a remote deity and matter. They belong to the created totality whose origin, coherence, end, and reconciliation are Christological.</w:t>
      </w:r>
    </w:p>
    <w:p w14:paraId="42B14F2E" w14:textId="77777777" w:rsidR="00DA7928" w:rsidRPr="00DA7928" w:rsidRDefault="00DA7928" w:rsidP="00DA7928">
      <w:pPr>
        <w:pStyle w:val="BookBody"/>
      </w:pPr>
      <w:r w:rsidRPr="00DA7928">
        <w:rPr>
          <w:szCs w:val="28"/>
        </w:rPr>
        <w:t>George van Kooten places this language within the cosmological arguments of the Greco-Roman world rather than treating it as a decorative expansion of private salvation. Philosophers could describe a cosmos held together by divine reason, soul, pneuma, harmony, or sympathy. Astral and political hierarchies could mirror one another. Colossians enters that field with an audacious identification: the principle in whom the cosmos coheres is the crucified and risen Christ. Cosmic unity is not an abstract substance or a chain descending through increasingly material levels. It is gathered around a life whose authority appears in self-giving and reconciliation.</w:t>
      </w:r>
      <w:r w:rsidRPr="00DA7928">
        <w:rPr>
          <w:szCs w:val="28"/>
          <w:vertAlign w:val="superscript"/>
        </w:rPr>
        <w:t>4</w:t>
      </w:r>
    </w:p>
    <w:p w14:paraId="27376650" w14:textId="77777777" w:rsidR="00DA7928" w:rsidRPr="00DA7928" w:rsidRDefault="00DA7928" w:rsidP="00DA7928">
      <w:pPr>
        <w:pStyle w:val="BookBody"/>
      </w:pPr>
      <w:r w:rsidRPr="00DA7928">
        <w:rPr>
          <w:szCs w:val="28"/>
        </w:rPr>
        <w:t xml:space="preserve">This does not make the powers unreal. Colossians can speak of Christ disarming rulers and authorities and making a public spectacle of them (2:15). It warns against being taken captive by teaching associated with “the elemental spirits of the universe,” worship of angels, ascetic regulations, and calendar observances (2:8, 16-23). Scholars debate whether the </w:t>
      </w:r>
      <w:r w:rsidRPr="00DA7928">
        <w:rPr>
          <w:i/>
          <w:szCs w:val="28"/>
        </w:rPr>
        <w:t>stoicheia</w:t>
      </w:r>
      <w:r w:rsidRPr="00DA7928">
        <w:rPr>
          <w:szCs w:val="28"/>
        </w:rPr>
        <w:t xml:space="preserve"> in Paul are physical elements, celestial beings, elementary teachings, cosmic regulators, or a deliberately flexible combination. The important point here is relational. Whatever power these terms name, it cannot complete the causal circle around the believer. The powers themselves have been created in Christ and subjected to his victory.</w:t>
      </w:r>
    </w:p>
    <w:p w14:paraId="135CD34C" w14:textId="77777777" w:rsidR="00DA7928" w:rsidRPr="00DA7928" w:rsidRDefault="00DA7928" w:rsidP="00DA7928">
      <w:pPr>
        <w:pStyle w:val="BookBody"/>
      </w:pPr>
      <w:r w:rsidRPr="00DA7928">
        <w:rPr>
          <w:szCs w:val="28"/>
        </w:rPr>
        <w:t>The cross is therefore not an episode inside a cosmos whose deeper structure remains unchanged. It is the disclosure and transformation of that structure. In imperial imagery, a victor stripped defeated rulers and displayed them in triumph. Colossians transfers the image to a condemned body. The instrument by which earthly authority shamed Christ becomes the means by which the powers are shamed. Cosmic sovereignty is redefined by the event that appeared to prove its absence.</w:t>
      </w:r>
    </w:p>
    <w:p w14:paraId="6B22C1FB" w14:textId="77777777" w:rsidR="00DA7928" w:rsidRPr="00DA7928" w:rsidRDefault="00DA7928" w:rsidP="00DA7928">
      <w:pPr>
        <w:pStyle w:val="BookBody"/>
      </w:pPr>
      <w:r w:rsidRPr="00DA7928">
        <w:rPr>
          <w:szCs w:val="28"/>
        </w:rPr>
        <w:t>This redefinition also guards against an easy disenchantment story. The hymn does not say that only measurable bodies exist. It speaks readily of invisible orders. Nor does it replace those orders with an isolated divine will acting without mediation. It ranks them inside a Christological whole. Their reality is affirmed; their ultimacy is refused.</w:t>
      </w:r>
    </w:p>
    <w:p w14:paraId="2F789CF1" w14:textId="77777777" w:rsidR="00DA7928" w:rsidRPr="00DA7928" w:rsidRDefault="00DA7928" w:rsidP="00DA7928">
      <w:pPr>
        <w:pStyle w:val="SectionHeading"/>
      </w:pPr>
      <w:r w:rsidRPr="00DA7928">
        <w:rPr>
          <w:bCs/>
          <w:szCs w:val="28"/>
        </w:rPr>
        <w:t>Creation Groans, Powers Fail</w:t>
      </w:r>
    </w:p>
    <w:p w14:paraId="41298C9D" w14:textId="77777777" w:rsidR="00DA7928" w:rsidRPr="00DA7928" w:rsidRDefault="00DA7928" w:rsidP="00DA7928">
      <w:pPr>
        <w:pStyle w:val="BookBody"/>
      </w:pPr>
      <w:r w:rsidRPr="00DA7928">
        <w:rPr>
          <w:szCs w:val="28"/>
        </w:rPr>
        <w:t>Romans 8 places the same reorganization in a different register. Here creation does not simply cohere; it groans. It has been subjected to futility and waits for liberation from decay. Human beings groan with it while awaiting the redemption of their bodies. The Spirit also groans, interceding at the limit of speech. Creation, humanity, and Spirit are drawn into one labor whose end is not departure from matter but the freedom of glory (Rom. 8:18-27).</w:t>
      </w:r>
      <w:r w:rsidRPr="00DA7928">
        <w:rPr>
          <w:szCs w:val="28"/>
          <w:vertAlign w:val="superscript"/>
        </w:rPr>
        <w:t>5</w:t>
      </w:r>
    </w:p>
    <w:p w14:paraId="72042C50" w14:textId="77777777" w:rsidR="00DA7928" w:rsidRPr="00DA7928" w:rsidRDefault="00DA7928" w:rsidP="00DA7928">
      <w:pPr>
        <w:pStyle w:val="BookBody"/>
      </w:pPr>
      <w:r w:rsidRPr="00DA7928">
        <w:rPr>
          <w:szCs w:val="28"/>
        </w:rPr>
        <w:t>The passage refuses two reductions. The first would make salvation an inward change unrelated to the more-than-human world. Paul instead imagines creation as a participant in expectation. Its present condition is wounded, and its future is joined to the disclosure of renewed human creaturehood. The second reduction would make cosmic suffering a fixed necessity. Creation's subjection is real, but not final. Its groaning is compared to childbirth, an agony ordered toward emergence rather than endless repetition.</w:t>
      </w:r>
    </w:p>
    <w:p w14:paraId="2524EBA1" w14:textId="77777777" w:rsidR="00DA7928" w:rsidRPr="00DA7928" w:rsidRDefault="00DA7928" w:rsidP="00DA7928">
      <w:pPr>
        <w:pStyle w:val="BookBody"/>
      </w:pPr>
      <w:r w:rsidRPr="00DA7928">
        <w:rPr>
          <w:szCs w:val="28"/>
        </w:rPr>
        <w:t>Between groaning and assurance, Paul makes the claim later isolated in the KJV as a formula of optimism: “all things work together for good” (Rom. 8:28). Other ancient witnesses and translations name God explicitly as the one who works. The theological distinction is decisive even where “all things” remains the grammatical subject. Paul does not describe events as possessing an immanent tendency to reconcile themselves, as though creation were a hidden organism whose wounds become good when viewed from the whole. The surrounding movement belongs to divine purpose: God calls, justifies, and glorifies. Providence names God's action within the groaning field, not the field's autonomous wisdom.</w:t>
      </w:r>
    </w:p>
    <w:p w14:paraId="14704EFD" w14:textId="77777777" w:rsidR="00DA7928" w:rsidRPr="00DA7928" w:rsidRDefault="00DA7928" w:rsidP="00DA7928">
      <w:pPr>
        <w:pStyle w:val="BookBody"/>
      </w:pPr>
      <w:r w:rsidRPr="00DA7928">
        <w:rPr>
          <w:szCs w:val="28"/>
        </w:rPr>
        <w:t>The next verse determines what “good” means: conformity to the image of the Son (8:29). The good is therefore not favorable circumstance, retrospective explanation, or the conversion of suffering into necessity. The cross does not make violence innocent, and resurrection denies violence the final word. Fate closes the future by assigning every event its necessary place within the cosmos. Providence keeps the future open to an end no created power can secure.</w:t>
      </w:r>
    </w:p>
    <w:p w14:paraId="33930F09" w14:textId="77777777" w:rsidR="00DA7928" w:rsidRPr="00DA7928" w:rsidRDefault="00DA7928" w:rsidP="00DA7928">
      <w:pPr>
        <w:pStyle w:val="BookBody"/>
      </w:pPr>
      <w:r w:rsidRPr="00DA7928">
        <w:rPr>
          <w:szCs w:val="28"/>
        </w:rPr>
        <w:t>The conclusion names the powers that cannot close the future: death, life, angels, rulers, things present, things to come, powers, height, depth, and anything else in creation cannot separate believers from the love of God in Christ (8:38-39). The list stretches across temporal, political, and cosmological dimensions. Paul does not need to decide whether “height” and “depth” evoke astronomical positions, hostile beings, or the extremes of space. The rhetoric gathers every plausible separator and places it inside creation. Nothing created can become an ultimate wall between creature and creator.</w:t>
      </w:r>
    </w:p>
    <w:p w14:paraId="2BB49EEB" w14:textId="77777777" w:rsidR="00DA7928" w:rsidRPr="00DA7928" w:rsidRDefault="00DA7928" w:rsidP="00DA7928">
      <w:pPr>
        <w:pStyle w:val="BookBody"/>
      </w:pPr>
      <w:r w:rsidRPr="00DA7928">
        <w:rPr>
          <w:szCs w:val="28"/>
        </w:rPr>
        <w:t>This is liberation from fate before it becomes a technical refutation of horoscopy. An astral scheme may correlate the hour of birth with a hierarchy of causes. Romans answers at another level: no created height, depth, present, future, angel, or ruler possesses the authority to determine the final relation between God and the person in Christ. The claim does not abolish natural causation. Bodies still decay. Empires still kill. Choices have consequences. But no finite cause can turn contingency into theological abandonment.</w:t>
      </w:r>
    </w:p>
    <w:p w14:paraId="4B415E42" w14:textId="77777777" w:rsidR="00DA7928" w:rsidRPr="00DA7928" w:rsidRDefault="00DA7928" w:rsidP="00DA7928">
      <w:pPr>
        <w:pStyle w:val="BookBody"/>
      </w:pPr>
      <w:r w:rsidRPr="00DA7928">
        <w:rPr>
          <w:szCs w:val="28"/>
        </w:rPr>
        <w:t>The same conviction appears in Galatians. Paul describes a former enslavement to “the elemental spirits of the world” and asks why those who have come to know God would return to observing days, months, seasons, and years as if such observance restored bondage (Gal. 4:3, 8-10). His target is not every calendar; Paul himself lives by communal and sacred times. It is submission to a regime in which calendrical powers define religious status and necessity. Christian time must be received through adoption and promise, not fear of cosmic administrators.</w:t>
      </w:r>
    </w:p>
    <w:p w14:paraId="25C9EF5B" w14:textId="77777777" w:rsidR="00DA7928" w:rsidRPr="00DA7928" w:rsidRDefault="00DA7928" w:rsidP="00DA7928">
      <w:pPr>
        <w:pStyle w:val="BookBody"/>
      </w:pPr>
      <w:r w:rsidRPr="00DA7928">
        <w:rPr>
          <w:szCs w:val="28"/>
        </w:rPr>
        <w:t>The alternative to cosmic administration is therefore not an unconditioned self. Paul's movement continues from release under the elemental powers to life by the Spirit, recognized not from a birth configuration but by its fruit (Gal. 5:22-23). Grace does not compete with the stars as a stronger determining cause. Given freely and without proportion to birth, rank, merit, or celestial position, it awakens a freedom that desires to answer gift with gift.</w:t>
      </w:r>
    </w:p>
    <w:p w14:paraId="4EF046AE" w14:textId="77777777" w:rsidR="00DA7928" w:rsidRPr="00DA7928" w:rsidRDefault="00DA7928" w:rsidP="00DA7928">
      <w:pPr>
        <w:pStyle w:val="SectionHeading"/>
      </w:pPr>
      <w:r w:rsidRPr="00DA7928">
        <w:rPr>
          <w:bCs/>
          <w:szCs w:val="28"/>
        </w:rPr>
        <w:t>The Word Enters His World</w:t>
      </w:r>
    </w:p>
    <w:p w14:paraId="72D46C21" w14:textId="77777777" w:rsidR="00DA7928" w:rsidRPr="00DA7928" w:rsidRDefault="00DA7928" w:rsidP="00DA7928">
      <w:pPr>
        <w:pStyle w:val="BookBody"/>
      </w:pPr>
      <w:r w:rsidRPr="00DA7928">
        <w:rPr>
          <w:szCs w:val="28"/>
        </w:rPr>
        <w:t>The Gospel of John supplies another grammar for cosmic mediation. Its prologue begins before the beginning narrated by Genesis: the Word is with God and is God; all things come into being through the Word; life in the Word becomes the light of human beings (John 1:1-5). The movement is at once upward and downward. The Word cannot be placed among the things that came to be through him, yet this same Word becomes flesh and dwells among us (1:14).</w:t>
      </w:r>
      <w:r w:rsidRPr="00DA7928">
        <w:rPr>
          <w:szCs w:val="28"/>
          <w:vertAlign w:val="superscript"/>
        </w:rPr>
        <w:t>6</w:t>
      </w:r>
    </w:p>
    <w:p w14:paraId="5A4535E8" w14:textId="77777777" w:rsidR="00DA7928" w:rsidRPr="00DA7928" w:rsidRDefault="00DA7928" w:rsidP="00DA7928">
      <w:pPr>
        <w:pStyle w:val="BookBody"/>
      </w:pPr>
      <w:r w:rsidRPr="00DA7928">
        <w:rPr>
          <w:szCs w:val="28"/>
        </w:rPr>
        <w:t>The incarnation changes what mediation can mean. In many ancient cosmologies, mediation protects transcendence by arranging levels between the highest principle and unstable matter. Descent risks diminution. John's Word does not cease to be the divine agent of creation by becoming flesh. The creator's self-expression enters created vulnerability without the world becoming divine by nature or God becoming one item within it.</w:t>
      </w:r>
    </w:p>
    <w:p w14:paraId="2C31F24E" w14:textId="77777777" w:rsidR="00DA7928" w:rsidRPr="00DA7928" w:rsidRDefault="00DA7928" w:rsidP="00DA7928">
      <w:pPr>
        <w:pStyle w:val="BookBody"/>
      </w:pPr>
      <w:r w:rsidRPr="00DA7928">
        <w:rPr>
          <w:szCs w:val="28"/>
        </w:rPr>
        <w:t>The prologue also preserves the world's ambiguity. The world came into being through the Word, yet the world did not know him. “World” can name the created totality loved by God, the human order organized in resistance, or both at once. Incarnation is therefore neither a divine endorsement of every existing arrangement nor a rejection of material existence. It is judgment and gift within the world that already belongs to the Word.</w:t>
      </w:r>
    </w:p>
    <w:p w14:paraId="132958D4" w14:textId="77777777" w:rsidR="00DA7928" w:rsidRPr="00DA7928" w:rsidRDefault="00DA7928" w:rsidP="00DA7928">
      <w:pPr>
        <w:pStyle w:val="BookBody"/>
      </w:pPr>
      <w:r w:rsidRPr="00DA7928">
        <w:rPr>
          <w:szCs w:val="28"/>
        </w:rPr>
        <w:t>The language of light must likewise be handled carefully. John's light is not simply the physical Sun under a Christian name. It is life, revelation, judgment, and divine presence. Yet the metaphor works because visible light already discloses, warms, orders days, and overcomes darkness. Christian speech neither worships the Sun nor discards its sensible force. It permits created light to signify the uncreated Word while preserving their difference.</w:t>
      </w:r>
    </w:p>
    <w:p w14:paraId="34418339" w14:textId="77777777" w:rsidR="00DA7928" w:rsidRPr="00DA7928" w:rsidRDefault="00DA7928" w:rsidP="00DA7928">
      <w:pPr>
        <w:pStyle w:val="BookBody"/>
      </w:pPr>
      <w:r w:rsidRPr="00DA7928">
        <w:rPr>
          <w:szCs w:val="28"/>
        </w:rPr>
        <w:t>Paul and John thus provide the central architecture of the chapter. Cosmic unity is not destroyed; it is personalized without becoming merely subjective. The one through whom all things exist is identified with Christ. The powers are neither gods nor fictions. Creation is neither self-enclosed nature nor a temporary prison. Mediation reaches its center in the incarnate Logos, and every other mediation must be judged by its relation to that center.</w:t>
      </w:r>
    </w:p>
    <w:p w14:paraId="5054031D" w14:textId="77777777" w:rsidR="00DA7928" w:rsidRPr="00DA7928" w:rsidRDefault="00DA7928" w:rsidP="00DA7928">
      <w:pPr>
        <w:pStyle w:val="SectionHeading"/>
      </w:pPr>
      <w:r w:rsidRPr="00DA7928">
        <w:rPr>
          <w:bCs/>
          <w:szCs w:val="28"/>
        </w:rPr>
        <w:t>One Creator, One Redeemer</w:t>
      </w:r>
    </w:p>
    <w:p w14:paraId="42084E78" w14:textId="77777777" w:rsidR="00DA7928" w:rsidRPr="00DA7928" w:rsidRDefault="00DA7928" w:rsidP="00DA7928">
      <w:pPr>
        <w:pStyle w:val="BookBody"/>
      </w:pPr>
      <w:r w:rsidRPr="00DA7928">
        <w:rPr>
          <w:szCs w:val="28"/>
        </w:rPr>
        <w:t xml:space="preserve">Irenaeus of Lyons develops this architecture in controversy. His </w:t>
      </w:r>
      <w:r w:rsidRPr="00DA7928">
        <w:rPr>
          <w:i/>
          <w:szCs w:val="28"/>
        </w:rPr>
        <w:t>Against Heresies</w:t>
      </w:r>
      <w:r w:rsidRPr="00DA7928">
        <w:rPr>
          <w:szCs w:val="28"/>
        </w:rPr>
        <w:t xml:space="preserve"> responds especially to teachers who distinguished the highest God from the maker of the material world, multiplied divine emanations, and assigned different roles to Jesus, Christ, the Savior, and heavenly powers. Irenaeus reports these systems at exhausting length because their cosmologies were not incidental. They explained why the world appears fractured and how the spiritual person might ascend beyond its maker.</w:t>
      </w:r>
    </w:p>
    <w:p w14:paraId="53B730C0" w14:textId="77777777" w:rsidR="00DA7928" w:rsidRPr="00DA7928" w:rsidRDefault="00DA7928" w:rsidP="00DA7928">
      <w:pPr>
        <w:pStyle w:val="BookBody"/>
      </w:pPr>
      <w:r w:rsidRPr="00DA7928">
        <w:rPr>
          <w:szCs w:val="28"/>
        </w:rPr>
        <w:t>His answer is not that cosmology should be abandoned for simple faith. It is that creation, incarnation, and salvation must belong to one economy. The God proclaimed in Scripture made heaven and earth. The Word through whom creation came to be is the same Jesus Christ born, suffering, risen, and coming in glory. The Spirit active in creation and prophecy is the Spirit given to the Church. No saving knowledge can require contempt for the maker's work.</w:t>
      </w:r>
    </w:p>
    <w:p w14:paraId="35D629D1" w14:textId="77777777" w:rsidR="00DA7928" w:rsidRPr="00DA7928" w:rsidRDefault="00DA7928" w:rsidP="00DA7928">
      <w:pPr>
        <w:pStyle w:val="BookBody"/>
      </w:pPr>
      <w:r w:rsidRPr="00DA7928">
        <w:rPr>
          <w:szCs w:val="28"/>
        </w:rPr>
        <w:t>This argument protects the living body of the cosmos. If the Savior merely passes through flesh or temporarily occupies a material shell, matter remains outside reconciliation. If a lower deity made the world in ignorance, its order cannot truly reveal the highest God. Irenaeus instead insists that the Word takes up the formed human being, the flesh derived from Adam, and carries it through death toward incorruption. Salvation concerns the “complete man,” body and soul, because the creator has not surrendered the creature.</w:t>
      </w:r>
      <w:r w:rsidRPr="00DA7928">
        <w:rPr>
          <w:szCs w:val="28"/>
          <w:vertAlign w:val="superscript"/>
        </w:rPr>
        <w:t>7</w:t>
      </w:r>
    </w:p>
    <w:p w14:paraId="740EF843" w14:textId="77777777" w:rsidR="00DA7928" w:rsidRPr="00DA7928" w:rsidRDefault="00DA7928" w:rsidP="00DA7928">
      <w:pPr>
        <w:pStyle w:val="BookBody"/>
      </w:pPr>
      <w:r w:rsidRPr="00DA7928">
        <w:rPr>
          <w:szCs w:val="28"/>
        </w:rPr>
        <w:t>Irenaeus's polemic can be sharp enough to conceal the generosity of the underlying vision. He does not defend materiality as inert stuff. Creation possesses a history. It is formed, addressed, nourished, tested, healed, and brought to maturity. Human beings are not timeless sparks misplaced in bodies; they are young creatures learning to receive divine likeness. The world is not saved by revealing that it never mattered. It is gathered through the patience of an economy.</w:t>
      </w:r>
    </w:p>
    <w:p w14:paraId="7D570B29" w14:textId="77777777" w:rsidR="00DA7928" w:rsidRPr="00DA7928" w:rsidRDefault="00DA7928" w:rsidP="00DA7928">
      <w:pPr>
        <w:pStyle w:val="SectionHeading"/>
      </w:pPr>
      <w:r w:rsidRPr="00DA7928">
        <w:rPr>
          <w:bCs/>
          <w:szCs w:val="28"/>
        </w:rPr>
        <w:t>Recapitulation</w:t>
      </w:r>
    </w:p>
    <w:p w14:paraId="0F542899" w14:textId="77777777" w:rsidR="00DA7928" w:rsidRPr="00DA7928" w:rsidRDefault="00DA7928" w:rsidP="00DA7928">
      <w:pPr>
        <w:pStyle w:val="BookBody"/>
      </w:pPr>
      <w:r w:rsidRPr="00DA7928">
        <w:rPr>
          <w:szCs w:val="28"/>
        </w:rPr>
        <w:t xml:space="preserve">Irenaeus names this gathering with the Pauline language of recapitulation: Christ “sums up” or “heads up” all things. In </w:t>
      </w:r>
      <w:r w:rsidRPr="00DA7928">
        <w:rPr>
          <w:i/>
          <w:szCs w:val="28"/>
        </w:rPr>
        <w:t>Against Heresies</w:t>
      </w:r>
      <w:r w:rsidRPr="00DA7928">
        <w:rPr>
          <w:szCs w:val="28"/>
        </w:rPr>
        <w:t xml:space="preserve"> III.16.6 he joins Ephesians 1:10 to incarnation. The one Christ moves through the whole divine economy and gathers all things in himself. The invisible becomes visible, the incomprehensible comprehensible, the impassible capable of suffering; the Word becomes human so that his supremacy embraces both invisible and visible creation.</w:t>
      </w:r>
      <w:r w:rsidRPr="00DA7928">
        <w:rPr>
          <w:szCs w:val="28"/>
          <w:vertAlign w:val="superscript"/>
        </w:rPr>
        <w:t>8</w:t>
      </w:r>
    </w:p>
    <w:p w14:paraId="2AA61D12" w14:textId="77777777" w:rsidR="00DA7928" w:rsidRPr="00DA7928" w:rsidRDefault="00DA7928" w:rsidP="00DA7928">
      <w:pPr>
        <w:pStyle w:val="BookBody"/>
      </w:pPr>
      <w:r w:rsidRPr="00DA7928">
        <w:rPr>
          <w:szCs w:val="28"/>
        </w:rPr>
        <w:t>Recapitulation is more than repetition. Christ retraces the human sequence from birth to death in obedience, reversing Adam's disobedience without erasing creaturely history. He passes through ages of life, sanctifying embodied development. Mary answers Eve; the tree of the cross answers the tree of transgression; obedience answers grasping. The pattern is typological, but its scale is cosmic. What is healed is not an abstract essence detached from time. A damaged history is taken up and redirected.</w:t>
      </w:r>
    </w:p>
    <w:p w14:paraId="41B60AD0" w14:textId="77777777" w:rsidR="00DA7928" w:rsidRPr="00DA7928" w:rsidRDefault="00DA7928" w:rsidP="00DA7928">
      <w:pPr>
        <w:pStyle w:val="BookBody"/>
      </w:pPr>
      <w:r w:rsidRPr="00DA7928">
        <w:rPr>
          <w:szCs w:val="28"/>
        </w:rPr>
        <w:t>The doctrine also revises hierarchy. Christ is head not because he occupies the top rung of a chain continuous with lower powers, but because the Word who exceeds creation has entered it and joined its destiny to himself. In Irenaeus's reading of Ephesians, heavenly and earthly things are not dissolved into one substance. They are united under a head. Difference remains, but it no longer implies estrangement.</w:t>
      </w:r>
    </w:p>
    <w:p w14:paraId="7FC9AE24" w14:textId="77777777" w:rsidR="00DA7928" w:rsidRPr="00DA7928" w:rsidRDefault="00DA7928" w:rsidP="00DA7928">
      <w:pPr>
        <w:pStyle w:val="BookBody"/>
      </w:pPr>
      <w:r w:rsidRPr="00DA7928">
        <w:rPr>
          <w:szCs w:val="28"/>
        </w:rPr>
        <w:t>This helps explain why early Christian anti-fatalism was not simply a declaration of human independence. The liberated person is not an autonomous point cut loose from cosmic relations. Freedom becomes possible inside a new belonging. Christ's headship interrupts hostile dominion and restores relation to creator, body, neighbor, and world. Agency is enlarged because no created power has the right to define the person absolutely.</w:t>
      </w:r>
    </w:p>
    <w:p w14:paraId="772AA073" w14:textId="77777777" w:rsidR="00DA7928" w:rsidRPr="00DA7928" w:rsidRDefault="00DA7928" w:rsidP="00DA7928">
      <w:pPr>
        <w:pStyle w:val="BookBody"/>
      </w:pPr>
      <w:r w:rsidRPr="00DA7928">
        <w:rPr>
          <w:szCs w:val="28"/>
        </w:rPr>
        <w:t>Irenaeus therefore preserves cosmic mediation while concentrating it. Angels, sacraments, Scripture, apostolic preaching, material elements, and ecclesial bodies can mediate because the creator acts through creatures. But no mediator constitutes an alternate route around incarnation. The way beyond the cosmos is not flight from the maker; it is communion with the Word through whom the cosmos exists.</w:t>
      </w:r>
    </w:p>
    <w:p w14:paraId="395A41E8" w14:textId="77777777" w:rsidR="00DA7928" w:rsidRPr="00DA7928" w:rsidRDefault="00DA7928" w:rsidP="00DA7928">
      <w:pPr>
        <w:pStyle w:val="SectionHeading"/>
      </w:pPr>
      <w:r w:rsidRPr="00DA7928">
        <w:rPr>
          <w:bCs/>
          <w:szCs w:val="28"/>
        </w:rPr>
        <w:t>What Astrological Fate Claimed</w:t>
      </w:r>
    </w:p>
    <w:p w14:paraId="569F2AEF" w14:textId="77777777" w:rsidR="00DA7928" w:rsidRPr="00DA7928" w:rsidRDefault="00DA7928" w:rsidP="00DA7928">
      <w:pPr>
        <w:pStyle w:val="BookBody"/>
      </w:pPr>
      <w:r w:rsidRPr="00DA7928">
        <w:rPr>
          <w:szCs w:val="28"/>
        </w:rPr>
        <w:t xml:space="preserve">The word </w:t>
      </w:r>
      <w:r w:rsidRPr="00DA7928">
        <w:rPr>
          <w:i/>
          <w:szCs w:val="28"/>
        </w:rPr>
        <w:t>fate</w:t>
      </w:r>
      <w:r w:rsidRPr="00DA7928">
        <w:rPr>
          <w:szCs w:val="28"/>
        </w:rPr>
        <w:t xml:space="preserve"> did not name one coherent ancient doctrine. Stoic philosophers could speak of an ordered sequence of causes pervaded by divine reason. Poets personified Fate or the Fates. Popular divination mixed inherited techniques, household decisions, temple consultation, medicine, dreams, omens, and celestial observation. Astrologers themselves differed over how strictly a birth chart necessitated events and whether knowledge, virtue, ritual, or political status could modify its effects.</w:t>
      </w:r>
    </w:p>
    <w:p w14:paraId="333F01DE" w14:textId="77777777" w:rsidR="00DA7928" w:rsidRPr="00DA7928" w:rsidRDefault="00DA7928" w:rsidP="00DA7928">
      <w:pPr>
        <w:pStyle w:val="BookBody"/>
      </w:pPr>
      <w:r w:rsidRPr="00DA7928">
        <w:rPr>
          <w:szCs w:val="28"/>
        </w:rPr>
        <w:t>Natal astrology nonetheless posed a particularly direct challenge to Christian claims. It mapped the arrangement of Sun, Moon, planets, zodiacal signs, houses, aspects, and lots at a moment of birth or conception. From that configuration the practitioner might judge temperament, health, marriage, occupation, honors, dangers, and length of life. Even when presented probabilistically, the horoscope made the heavens an archive of embodied destiny.</w:t>
      </w:r>
    </w:p>
    <w:p w14:paraId="133782D5" w14:textId="77777777" w:rsidR="00DA7928" w:rsidRPr="00DA7928" w:rsidRDefault="00DA7928" w:rsidP="00DA7928">
      <w:pPr>
        <w:pStyle w:val="BookBody"/>
      </w:pPr>
      <w:r w:rsidRPr="00DA7928">
        <w:rPr>
          <w:szCs w:val="28"/>
        </w:rPr>
        <w:t>Christian objections repeatedly returned to five pressure points. Could the exact moment of birth be observed with the precision astrology required? Why did persons born at the same time experience different lives? Why did twins born moments apart often resemble one another physically while diverging in action and fortune? Why did whole peoples share customs that no individual horoscope could explain? And if stars necessitated conduct, on what basis could anyone praise, blame, repent, pray, or be judged?</w:t>
      </w:r>
      <w:r w:rsidRPr="00DA7928">
        <w:rPr>
          <w:szCs w:val="28"/>
          <w:vertAlign w:val="superscript"/>
        </w:rPr>
        <w:t>9</w:t>
      </w:r>
    </w:p>
    <w:p w14:paraId="53A2EF68" w14:textId="77777777" w:rsidR="00DA7928" w:rsidRPr="00DA7928" w:rsidRDefault="00DA7928" w:rsidP="00DA7928">
      <w:pPr>
        <w:pStyle w:val="BookBody"/>
      </w:pPr>
      <w:r w:rsidRPr="00DA7928">
        <w:rPr>
          <w:szCs w:val="28"/>
        </w:rPr>
        <w:t>These arguments were not invented by Christians. Skeptical and Academic philosophers had used several against astrologers long before. Christian authors borrowed them because they were available, portable, and rhetorically effective. Their use should not be mistaken for a patient engagement with the best mathematical astrology. Tim Hegedus shows that patristic polemic often attacked a simplified, fully fatalistic opponent and sometimes misunderstood the techniques it criticized.</w:t>
      </w:r>
      <w:r w:rsidRPr="00DA7928">
        <w:rPr>
          <w:szCs w:val="28"/>
          <w:vertAlign w:val="superscript"/>
        </w:rPr>
        <w:t>10</w:t>
      </w:r>
    </w:p>
    <w:p w14:paraId="2CC7544E" w14:textId="77777777" w:rsidR="00DA7928" w:rsidRPr="00DA7928" w:rsidRDefault="00DA7928" w:rsidP="00DA7928">
      <w:pPr>
        <w:pStyle w:val="BookBody"/>
      </w:pPr>
      <w:r w:rsidRPr="00DA7928">
        <w:rPr>
          <w:szCs w:val="28"/>
        </w:rPr>
        <w:t>Yet the borrowed arguments acquired a new center. The decisive Christian objection was soteriological. A chart might claim influence over bodily constitution, weather, or temperament and still leave room for debate. It could not be allowed to determine whether someone could answer God's call. Birth under Mars or Saturn could not make baptism futile, sin unavoidable, or resurrection inaccessible. The contest concerned who possessed the final word over a creature's future.</w:t>
      </w:r>
    </w:p>
    <w:p w14:paraId="75FA00E9" w14:textId="77777777" w:rsidR="00DA7928" w:rsidRPr="00DA7928" w:rsidRDefault="00DA7928" w:rsidP="00DA7928">
      <w:pPr>
        <w:pStyle w:val="SectionHeading"/>
      </w:pPr>
      <w:r w:rsidRPr="00DA7928">
        <w:rPr>
          <w:bCs/>
          <w:szCs w:val="28"/>
        </w:rPr>
        <w:t>Arguments against Necessity</w:t>
      </w:r>
    </w:p>
    <w:p w14:paraId="1301DCEA" w14:textId="77777777" w:rsidR="00DA7928" w:rsidRPr="00DA7928" w:rsidRDefault="00DA7928" w:rsidP="00DA7928">
      <w:pPr>
        <w:pStyle w:val="BookBody"/>
      </w:pPr>
      <w:r w:rsidRPr="00DA7928">
        <w:rPr>
          <w:szCs w:val="28"/>
        </w:rPr>
        <w:t>The argument from practical impossibility attacked the horoscope at its point of construction. Birth is a process rather than an indivisible instant. Information must pass from the birthing room to the observer. The observer must locate the horizon and calculate bodies moving through the sky. Latitude, terrain, instruments, clocks, and human reaction introduce error. Even a correct celestial theory could not guarantee a correct nativity.</w:t>
      </w:r>
    </w:p>
    <w:p w14:paraId="4984B0A2" w14:textId="77777777" w:rsidR="00DA7928" w:rsidRPr="00DA7928" w:rsidRDefault="00DA7928" w:rsidP="00DA7928">
      <w:pPr>
        <w:pStyle w:val="BookBody"/>
      </w:pPr>
      <w:r w:rsidRPr="00DA7928">
        <w:rPr>
          <w:szCs w:val="28"/>
        </w:rPr>
        <w:t>The argument from different destinies reversed the comparison. If two children were born under nearly the same sky but lived radically different lives, astral configuration could not be a sufficient cause. The argument from common destinies asked why shipwreck, battle, epidemic, or earthquake could bring many differently born persons to one end. The argument from national customs observed that peoples share laws, diets, marriage patterns, and rituals across countless horoscopes. Social formation seemed stronger than individual stars.</w:t>
      </w:r>
    </w:p>
    <w:p w14:paraId="02791677" w14:textId="77777777" w:rsidR="00DA7928" w:rsidRPr="00DA7928" w:rsidRDefault="00DA7928" w:rsidP="00DA7928">
      <w:pPr>
        <w:pStyle w:val="BookBody"/>
      </w:pPr>
      <w:r w:rsidRPr="00DA7928">
        <w:rPr>
          <w:szCs w:val="28"/>
        </w:rPr>
        <w:t>The moral argument went deeper. If adultery, murder, generosity, or fidelity followed necessarily from a planet's position, the person would not be the true agent. Blame would ascend from offender to star and finally to the creator of the stars. Law, teaching, and discipline would punish instruments for acts necessitated elsewhere. Prayer would become either useless—because the sequence could not change—or another predetermined motion without genuine address.</w:t>
      </w:r>
    </w:p>
    <w:p w14:paraId="7A5F7E03" w14:textId="77777777" w:rsidR="00DA7928" w:rsidRPr="00DA7928" w:rsidRDefault="00DA7928" w:rsidP="00DA7928">
      <w:pPr>
        <w:pStyle w:val="BookBody"/>
      </w:pPr>
      <w:r w:rsidRPr="00DA7928">
        <w:rPr>
          <w:szCs w:val="28"/>
        </w:rPr>
        <w:t>The force of these arguments did not require denying every celestial effect. Ancient people could readily observe that the Sun warms, the Moon marks time and correlates with tides, seasons affect bodies, and climates shape ways of life. The disputed step was the conversion of such relations into a comprehensive moral destiny. Christian critics needed a distinction between natural conditions and coercive causation, even when they did not always state that distinction consistently.</w:t>
      </w:r>
    </w:p>
    <w:p w14:paraId="3C722E6E" w14:textId="77777777" w:rsidR="00DA7928" w:rsidRPr="00DA7928" w:rsidRDefault="00DA7928" w:rsidP="00DA7928">
      <w:pPr>
        <w:pStyle w:val="BookBody"/>
      </w:pPr>
      <w:r w:rsidRPr="00DA7928">
        <w:rPr>
          <w:szCs w:val="28"/>
        </w:rPr>
        <w:t>That distinction opened a space for creaturely action. Freedom did not mean exemption from body, history, temperament, society, or divine knowledge. It meant that none of these conditions necessitated the moral act in the way a fatalist chart seemed to claim. Early Christians could therefore borrow anti-astrological arguments without becoming modern individualists. The will remained dependent, wounded, instructed, aided, and judged. It was not written by Saturn.</w:t>
      </w:r>
    </w:p>
    <w:p w14:paraId="036C0DC1" w14:textId="77777777" w:rsidR="00DA7928" w:rsidRPr="00DA7928" w:rsidRDefault="00DA7928" w:rsidP="00DA7928">
      <w:pPr>
        <w:pStyle w:val="SectionHeading"/>
      </w:pPr>
      <w:r w:rsidRPr="00DA7928">
        <w:rPr>
          <w:bCs/>
          <w:szCs w:val="28"/>
        </w:rPr>
        <w:t>Demons, Lawgivers, and Freedom</w:t>
      </w:r>
    </w:p>
    <w:p w14:paraId="635845C8" w14:textId="77777777" w:rsidR="00DA7928" w:rsidRPr="00DA7928" w:rsidRDefault="00DA7928" w:rsidP="00DA7928">
      <w:pPr>
        <w:pStyle w:val="BookBody"/>
      </w:pPr>
      <w:r w:rsidRPr="00DA7928">
        <w:rPr>
          <w:szCs w:val="28"/>
        </w:rPr>
        <w:t>Some Christian writers explained astrology's persuasive power by assigning it to rebellious spiritual agents. Tertullian linked the art to fallen angels, placing astrologers and their celestial teachers under a shared sentence of exile. Tatian portrayed planetary spirits as lawgivers who bind human beings to fate. The demonic account preserved the reality of spiritual conflict while denying that the visible stars themselves possessed divine sovereignty.</w:t>
      </w:r>
      <w:r w:rsidRPr="00DA7928">
        <w:rPr>
          <w:szCs w:val="28"/>
          <w:vertAlign w:val="superscript"/>
        </w:rPr>
        <w:t>11</w:t>
      </w:r>
    </w:p>
    <w:p w14:paraId="4C79EAFD" w14:textId="77777777" w:rsidR="00DA7928" w:rsidRPr="00DA7928" w:rsidRDefault="00DA7928" w:rsidP="00DA7928">
      <w:pPr>
        <w:pStyle w:val="BookBody"/>
      </w:pPr>
      <w:r w:rsidRPr="00DA7928">
        <w:rPr>
          <w:szCs w:val="28"/>
        </w:rPr>
        <w:t xml:space="preserve">Tatian's </w:t>
      </w:r>
      <w:r w:rsidRPr="00DA7928">
        <w:rPr>
          <w:i/>
          <w:szCs w:val="28"/>
        </w:rPr>
        <w:t>Address to the Greeks</w:t>
      </w:r>
      <w:r w:rsidRPr="00DA7928">
        <w:rPr>
          <w:szCs w:val="28"/>
        </w:rPr>
        <w:t xml:space="preserve"> makes the liberation explicitly Christological. Christians, he argues, have risen above fate because they have come to know one Lord rather than wandering planetary demons. The claim does not mean that converts cease to inhabit time or body. It means that the astral rulers' law is not the law of salvation. Christian knowledge is an act of transferred allegiance.</w:t>
      </w:r>
    </w:p>
    <w:p w14:paraId="7C38C3DF" w14:textId="77777777" w:rsidR="00DA7928" w:rsidRPr="00DA7928" w:rsidRDefault="00DA7928" w:rsidP="00DA7928">
      <w:pPr>
        <w:pStyle w:val="BookBody"/>
      </w:pPr>
      <w:r w:rsidRPr="00DA7928">
        <w:rPr>
          <w:szCs w:val="28"/>
        </w:rPr>
        <w:t xml:space="preserve">Bardaisan of Edessa offered a more discriminating anti-fatalism in the </w:t>
      </w:r>
      <w:r w:rsidRPr="00DA7928">
        <w:rPr>
          <w:i/>
          <w:szCs w:val="28"/>
        </w:rPr>
        <w:t>Book of the Laws of Countries</w:t>
      </w:r>
      <w:r w:rsidRPr="00DA7928">
        <w:rPr>
          <w:szCs w:val="28"/>
        </w:rPr>
        <w:t>. Human beings everywhere possess bodies subject to nature: hunger, growth, sexual difference, illness, and death. They also live within customs that differ by region and people. Yet within nature and custom there remains a sphere of free action. Christians across nations can refuse local practices, demonstrating that neither climate nor stars wholly determine conduct.</w:t>
      </w:r>
      <w:r w:rsidRPr="00DA7928">
        <w:rPr>
          <w:szCs w:val="28"/>
          <w:vertAlign w:val="superscript"/>
        </w:rPr>
        <w:t>12</w:t>
      </w:r>
    </w:p>
    <w:p w14:paraId="28BF4BA8" w14:textId="77777777" w:rsidR="00DA7928" w:rsidRPr="00DA7928" w:rsidRDefault="00DA7928" w:rsidP="00DA7928">
      <w:pPr>
        <w:pStyle w:val="BookBody"/>
      </w:pPr>
      <w:r w:rsidRPr="00DA7928">
        <w:rPr>
          <w:szCs w:val="28"/>
        </w:rPr>
        <w:t>This tripartite distinction—nature, custom, and freedom—is historically important. It does not require an unconditioned self. A person can be affected by body and society without being reducible to either. The stars might belong to nature, and geography might shape collective life, but moral agency operates within and sometimes against those conditions.</w:t>
      </w:r>
    </w:p>
    <w:p w14:paraId="4DC6396F" w14:textId="77777777" w:rsidR="00DA7928" w:rsidRPr="00DA7928" w:rsidRDefault="00DA7928" w:rsidP="00DA7928">
      <w:pPr>
        <w:pStyle w:val="BookBody"/>
      </w:pPr>
      <w:r w:rsidRPr="00DA7928">
        <w:rPr>
          <w:szCs w:val="28"/>
        </w:rPr>
        <w:t>The demonic account and Bardaisan's analysis pull in different directions. One dramatizes hostile personal rule; the other differentiates kinds of causation. Early Christianity retained both. The rite of renunciation made the first tangible. Ethical instruction and apology often required the second. Together they denied that the cosmos formed one seamless mechanism of necessity.</w:t>
      </w:r>
    </w:p>
    <w:p w14:paraId="48962327" w14:textId="77777777" w:rsidR="00DA7928" w:rsidRPr="00DA7928" w:rsidRDefault="00DA7928" w:rsidP="00DA7928">
      <w:pPr>
        <w:pStyle w:val="SectionHeading"/>
      </w:pPr>
      <w:r w:rsidRPr="00DA7928">
        <w:rPr>
          <w:bCs/>
          <w:szCs w:val="28"/>
        </w:rPr>
        <w:t>Origen: Providence Is Not Compulsion</w:t>
      </w:r>
    </w:p>
    <w:p w14:paraId="42CF621D" w14:textId="77777777" w:rsidR="00DA7928" w:rsidRPr="00DA7928" w:rsidRDefault="00DA7928" w:rsidP="00DA7928">
      <w:pPr>
        <w:pStyle w:val="BookBody"/>
      </w:pPr>
      <w:r w:rsidRPr="00DA7928">
        <w:rPr>
          <w:szCs w:val="28"/>
        </w:rPr>
        <w:t>Origen of Alexandria gives the contest its most intellectually ambitious early Christian form. He accepts a cosmos ordered by divine providence, populated by rational powers, intelligible through Scripture, and capable of signification. He also insists on rational freedom and responsibility. The difficulty is obvious: if God foreknows the future and providentially orders the whole, how can creaturely acts be more than the execution of a settled script?</w:t>
      </w:r>
    </w:p>
    <w:p w14:paraId="28F3CF4C" w14:textId="77777777" w:rsidR="00DA7928" w:rsidRPr="00DA7928" w:rsidRDefault="00DA7928" w:rsidP="00DA7928">
      <w:pPr>
        <w:pStyle w:val="BookBody"/>
      </w:pPr>
      <w:r w:rsidRPr="00DA7928">
        <w:rPr>
          <w:szCs w:val="28"/>
        </w:rPr>
        <w:t xml:space="preserve">In </w:t>
      </w:r>
      <w:r w:rsidRPr="00DA7928">
        <w:rPr>
          <w:i/>
          <w:szCs w:val="28"/>
        </w:rPr>
        <w:t>On Prayer</w:t>
      </w:r>
      <w:r w:rsidRPr="00DA7928">
        <w:rPr>
          <w:szCs w:val="28"/>
        </w:rPr>
        <w:t>, Origen addresses the objection that prayer is pointless if God foreknows all things. His response does not weaken foreknowledge. God knows the whole sequence, including prayers and the acts that occur through them. But knowledge does not coerce the known event. A person's future choice can be known as a choice rather than converted into an involuntary event.</w:t>
      </w:r>
      <w:r w:rsidRPr="00DA7928">
        <w:rPr>
          <w:szCs w:val="28"/>
          <w:vertAlign w:val="superscript"/>
        </w:rPr>
        <w:t>13</w:t>
      </w:r>
    </w:p>
    <w:p w14:paraId="2C646B81" w14:textId="77777777" w:rsidR="00DA7928" w:rsidRPr="00DA7928" w:rsidRDefault="00DA7928" w:rsidP="00DA7928">
      <w:pPr>
        <w:pStyle w:val="BookBody"/>
      </w:pPr>
      <w:r w:rsidRPr="00DA7928">
        <w:rPr>
          <w:szCs w:val="28"/>
        </w:rPr>
        <w:t xml:space="preserve">The distinction becomes sharper in the material preserved as </w:t>
      </w:r>
      <w:r w:rsidRPr="00DA7928">
        <w:rPr>
          <w:i/>
          <w:szCs w:val="28"/>
        </w:rPr>
        <w:t>Philocalia</w:t>
      </w:r>
      <w:r w:rsidRPr="00DA7928">
        <w:rPr>
          <w:szCs w:val="28"/>
        </w:rPr>
        <w:t xml:space="preserve"> 23. Divine foreknowledge is not the efficient cause of everything foreknown. Prophecy does not make betrayal necessary; it knows the act that a responsible agent will commit. Origen sometimes states the relation provocatively: the future event is the logical cause of its being foreknown, rather than foreknowledge being the moral cause of the event.</w:t>
      </w:r>
      <w:r w:rsidRPr="00DA7928">
        <w:rPr>
          <w:szCs w:val="28"/>
          <w:vertAlign w:val="superscript"/>
        </w:rPr>
        <w:t>14</w:t>
      </w:r>
    </w:p>
    <w:p w14:paraId="237D05FD" w14:textId="77777777" w:rsidR="00DA7928" w:rsidRPr="00DA7928" w:rsidRDefault="00DA7928" w:rsidP="00DA7928">
      <w:pPr>
        <w:pStyle w:val="BookBody"/>
      </w:pPr>
      <w:r w:rsidRPr="00DA7928">
        <w:rPr>
          <w:szCs w:val="28"/>
        </w:rPr>
        <w:t>This account allows providence to be comprehensive without becoming coercive. Providence orders conditions, consequences, instruction, correction, and opportunities for return. It can incorporate creaturely acts without erasing their distinct agency. The order is dramatic rather than mechanical: persons respond, fail, learn, resist, and are judged within a field held by divine wisdom.</w:t>
      </w:r>
    </w:p>
    <w:p w14:paraId="0E5B7163" w14:textId="77777777" w:rsidR="00DA7928" w:rsidRPr="00DA7928" w:rsidRDefault="00DA7928" w:rsidP="00DA7928">
      <w:pPr>
        <w:pStyle w:val="BookBody"/>
      </w:pPr>
      <w:r w:rsidRPr="00DA7928">
        <w:rPr>
          <w:szCs w:val="28"/>
        </w:rPr>
        <w:t>Origen's view also prevents freedom from becoming a rival principle beside God. The rational creature receives existence, capacity, and a field of action. Freedom is creaturely and therefore dependent. Its acts can be foreknown and providentially used without ceasing to belong to the agent. The alternative to astral fate is not self-creation; it is responsible participation in providence.</w:t>
      </w:r>
    </w:p>
    <w:p w14:paraId="65199876" w14:textId="77777777" w:rsidR="00DA7928" w:rsidRPr="00DA7928" w:rsidRDefault="00DA7928" w:rsidP="00DA7928">
      <w:pPr>
        <w:pStyle w:val="SectionHeading"/>
      </w:pPr>
      <w:r w:rsidRPr="00DA7928">
        <w:rPr>
          <w:bCs/>
          <w:szCs w:val="28"/>
        </w:rPr>
        <w:t>The Stars as Signs</w:t>
      </w:r>
    </w:p>
    <w:p w14:paraId="21FADB3C" w14:textId="77777777" w:rsidR="00DA7928" w:rsidRPr="00DA7928" w:rsidRDefault="00DA7928" w:rsidP="00DA7928">
      <w:pPr>
        <w:pStyle w:val="BookBody"/>
      </w:pPr>
      <w:r w:rsidRPr="00DA7928">
        <w:rPr>
          <w:szCs w:val="28"/>
        </w:rPr>
        <w:t xml:space="preserve">Origen's most subtle move is to retain the biblical description of the lights as signs while denying that they cause the events astrologers assign to them. In </w:t>
      </w:r>
      <w:r w:rsidRPr="00DA7928">
        <w:rPr>
          <w:i/>
          <w:szCs w:val="28"/>
        </w:rPr>
        <w:t>Philocalia</w:t>
      </w:r>
      <w:r w:rsidRPr="00DA7928">
        <w:rPr>
          <w:szCs w:val="28"/>
        </w:rPr>
        <w:t xml:space="preserve"> 23, commenting on Genesis 1:14, he distinguishes signification from production. A celestial configuration may signify an event without compelling it, just as a prophetic text can disclose an action without forcing the actor.</w:t>
      </w:r>
      <w:r w:rsidRPr="00DA7928">
        <w:rPr>
          <w:szCs w:val="28"/>
          <w:vertAlign w:val="superscript"/>
        </w:rPr>
        <w:t>15</w:t>
      </w:r>
    </w:p>
    <w:p w14:paraId="2FB943A5" w14:textId="77777777" w:rsidR="00DA7928" w:rsidRPr="00DA7928" w:rsidRDefault="00DA7928" w:rsidP="00DA7928">
      <w:pPr>
        <w:pStyle w:val="BookBody"/>
      </w:pPr>
      <w:r w:rsidRPr="00DA7928">
        <w:rPr>
          <w:szCs w:val="28"/>
        </w:rPr>
        <w:t>The distinction does not make the heavens meaningless. On the contrary, Origen imagines them as a kind of writing. Their motions can bear characters within a providentially ordered cosmos. But human beings cannot assume that they possess the literacy required to read this script. Astrologers lack sufficient precision, ignore complexities, and mistake correlation for efficient causation. Superior spiritual intelligences may apprehend signs that remain opaque to ordinary observers.</w:t>
      </w:r>
    </w:p>
    <w:p w14:paraId="7164E947" w14:textId="77777777" w:rsidR="00DA7928" w:rsidRPr="00DA7928" w:rsidRDefault="00DA7928" w:rsidP="00DA7928">
      <w:pPr>
        <w:pStyle w:val="BookBody"/>
      </w:pPr>
      <w:r w:rsidRPr="00DA7928">
        <w:rPr>
          <w:szCs w:val="28"/>
        </w:rPr>
        <w:t>Here Origen stands close enough to ancient doctrines of cosmic sympathy to make later readers uneasy. He can speak of stars as rational beings with freedom, worshiping and serving God. He can compare celestial signs to other forms of divination in which an observed event does not produce the future it indicates. His universe is emphatically not dead matter. Hegedus is right to resist treating Origen as a simple opponent of everything that could be called astrology.</w:t>
      </w:r>
      <w:r w:rsidRPr="00DA7928">
        <w:rPr>
          <w:szCs w:val="28"/>
          <w:vertAlign w:val="superscript"/>
        </w:rPr>
        <w:t>16</w:t>
      </w:r>
    </w:p>
    <w:p w14:paraId="47564EEA" w14:textId="77777777" w:rsidR="00DA7928" w:rsidRPr="00DA7928" w:rsidRDefault="00DA7928" w:rsidP="00DA7928">
      <w:pPr>
        <w:pStyle w:val="BookBody"/>
      </w:pPr>
      <w:r w:rsidRPr="00DA7928">
        <w:rPr>
          <w:szCs w:val="28"/>
        </w:rPr>
        <w:t>Yet Origen imposes decisive limits. Created signs do not rule the will. Spiritual powers are ranked under God and can fall by exceeding their order. Human astrological technique cannot claim exhaustive access to providence. The sky may be a text, but it is not a sentence imposed on the newborn. Its legibility belongs to divine governance, not to commercial mastery.</w:t>
      </w:r>
    </w:p>
    <w:p w14:paraId="551E463E" w14:textId="77777777" w:rsidR="00DA7928" w:rsidRPr="00DA7928" w:rsidRDefault="00DA7928" w:rsidP="00DA7928">
      <w:pPr>
        <w:pStyle w:val="BookBody"/>
      </w:pPr>
      <w:r w:rsidRPr="00DA7928">
        <w:rPr>
          <w:szCs w:val="28"/>
        </w:rPr>
        <w:t>The sign-cause distinction will outlive Origen. It supplies a conceptual refuge for meaningful heavens after fatalism has been rejected. A star can announce without necessitating; a comet can portend without manufacturing; a celestial body can influence material conditions without determining consent. Later Christian, Islamic, and Jewish thinkers will draw the boundaries differently, but they will repeatedly need some version of this grammar.</w:t>
      </w:r>
    </w:p>
    <w:p w14:paraId="05798D32" w14:textId="77777777" w:rsidR="00DA7928" w:rsidRPr="00DA7928" w:rsidRDefault="00DA7928" w:rsidP="00DA7928">
      <w:pPr>
        <w:pStyle w:val="SectionHeading"/>
      </w:pPr>
      <w:r w:rsidRPr="00DA7928">
        <w:rPr>
          <w:bCs/>
          <w:szCs w:val="28"/>
        </w:rPr>
        <w:t>A New Star</w:t>
      </w:r>
    </w:p>
    <w:p w14:paraId="232A7462" w14:textId="77777777" w:rsidR="00DA7928" w:rsidRPr="00DA7928" w:rsidRDefault="00DA7928" w:rsidP="00DA7928">
      <w:pPr>
        <w:pStyle w:val="BookBody"/>
      </w:pPr>
      <w:r w:rsidRPr="00DA7928">
        <w:rPr>
          <w:szCs w:val="28"/>
        </w:rPr>
        <w:t>The star of Bethlehem made the grammar concrete. Matthew's Magi are practitioners from the east whose attention is drawn by a celestial appearance. They reach Jerusalem, consult scriptural interpretation, and then follow the star to the child. The narrative neither offers a general endorsement of horoscopy nor treats the heavens as mute. Astral knowledge begins the journey; Israel's text redirects it; worship ends before Christ.</w:t>
      </w:r>
    </w:p>
    <w:p w14:paraId="2EBF9670" w14:textId="77777777" w:rsidR="00DA7928" w:rsidRPr="00DA7928" w:rsidRDefault="00DA7928" w:rsidP="00DA7928">
      <w:pPr>
        <w:pStyle w:val="BookBody"/>
      </w:pPr>
      <w:r w:rsidRPr="00DA7928">
        <w:rPr>
          <w:szCs w:val="28"/>
        </w:rPr>
        <w:t>Origen, answering Celsus, argues that the Bethlehem star was new and unlike the ordinary planetary bodies. He compares it to a comet or extraordinary celestial appearance associated with a great change. He also imagines that beneficent spiritual powers could have made the sign visible. The point is not to fit Jesus into an existing natal chart. The unprecedented birth receives an unprecedented sign.</w:t>
      </w:r>
      <w:r w:rsidRPr="00DA7928">
        <w:rPr>
          <w:szCs w:val="28"/>
          <w:vertAlign w:val="superscript"/>
        </w:rPr>
        <w:t>17</w:t>
      </w:r>
    </w:p>
    <w:p w14:paraId="06FB216E" w14:textId="77777777" w:rsidR="00DA7928" w:rsidRPr="00DA7928" w:rsidRDefault="00DA7928" w:rsidP="00DA7928">
      <w:pPr>
        <w:pStyle w:val="BookBody"/>
      </w:pPr>
      <w:r w:rsidRPr="00DA7928">
        <w:rPr>
          <w:szCs w:val="28"/>
        </w:rPr>
        <w:t>Other Christian writers pressed the episode into an anti-astrological narrative. Ignatius of Antioch describes the star as surpassing other stars while the old magical order is dissolved. Tertullian could say, more radically, that astrology was permitted only until the Gospel, because the Magi's worship of Christ marked its termination. These interpretations convert an apparent astrological success into the announcement of astrology's defeat.</w:t>
      </w:r>
    </w:p>
    <w:p w14:paraId="6B3E2B29" w14:textId="77777777" w:rsidR="00DA7928" w:rsidRPr="00DA7928" w:rsidRDefault="00DA7928" w:rsidP="00DA7928">
      <w:pPr>
        <w:pStyle w:val="BookBody"/>
      </w:pPr>
      <w:r w:rsidRPr="00DA7928">
        <w:rPr>
          <w:szCs w:val="28"/>
        </w:rPr>
        <w:t>The conversion is rhetorically powerful but historically unstable. Christians continued to look at stars, use planetary days, calculate feasts, copy astronomical texts, and sometimes cast charts. The Magi themselves remained honored. The story could authorize missionary appropriation as easily as prohibition: pagan wisdom reaches its truth when it bows before Christ.</w:t>
      </w:r>
    </w:p>
    <w:p w14:paraId="4B0AB88F" w14:textId="77777777" w:rsidR="00DA7928" w:rsidRPr="00DA7928" w:rsidRDefault="00DA7928" w:rsidP="00DA7928">
      <w:pPr>
        <w:pStyle w:val="BookBody"/>
      </w:pPr>
      <w:r w:rsidRPr="00DA7928">
        <w:rPr>
          <w:szCs w:val="28"/>
        </w:rPr>
        <w:t>The star therefore condenses the chapter's central ambiguity. Heaven signifies. A celestial event can direct persons toward revelation. But the sign cannot enclose Christ within astral necessity. The star serves the incarnation; the incarnation does not serve the horoscope.</w:t>
      </w:r>
    </w:p>
    <w:p w14:paraId="755718BE" w14:textId="77777777" w:rsidR="00DA7928" w:rsidRPr="00DA7928" w:rsidRDefault="00DA7928" w:rsidP="00DA7928">
      <w:pPr>
        <w:pStyle w:val="SectionHeading"/>
      </w:pPr>
      <w:r w:rsidRPr="00DA7928">
        <w:rPr>
          <w:bCs/>
          <w:szCs w:val="28"/>
        </w:rPr>
        <w:t>Augustine before the Twins</w:t>
      </w:r>
    </w:p>
    <w:p w14:paraId="295D2637" w14:textId="77777777" w:rsidR="00DA7928" w:rsidRPr="00DA7928" w:rsidRDefault="00DA7928" w:rsidP="00DA7928">
      <w:pPr>
        <w:pStyle w:val="BookBody"/>
      </w:pPr>
      <w:r w:rsidRPr="00DA7928">
        <w:rPr>
          <w:szCs w:val="28"/>
        </w:rPr>
        <w:t xml:space="preserve">Augustine's rejection of astrology carried autobiographical weight. As a young man he had consulted and defended the </w:t>
      </w:r>
      <w:r w:rsidRPr="00DA7928">
        <w:rPr>
          <w:i/>
          <w:szCs w:val="28"/>
        </w:rPr>
        <w:t>mathematici</w:t>
      </w:r>
      <w:r w:rsidRPr="00DA7928">
        <w:rPr>
          <w:szCs w:val="28"/>
        </w:rPr>
        <w:t>, the specialists who calculated nativities. He was not merely observing a pagan survival from outside. Astrology belonged to the intellectual and religious field through which he had tried to understand responsibility, suffering, and the ordered whole.</w:t>
      </w:r>
    </w:p>
    <w:p w14:paraId="758FC2C0" w14:textId="77777777" w:rsidR="00DA7928" w:rsidRPr="00DA7928" w:rsidRDefault="00DA7928" w:rsidP="00DA7928">
      <w:pPr>
        <w:pStyle w:val="BookBody"/>
      </w:pPr>
      <w:r w:rsidRPr="00DA7928">
        <w:rPr>
          <w:szCs w:val="28"/>
        </w:rPr>
        <w:t xml:space="preserve">In </w:t>
      </w:r>
      <w:r w:rsidRPr="00DA7928">
        <w:rPr>
          <w:i/>
          <w:szCs w:val="28"/>
        </w:rPr>
        <w:t>Confessions</w:t>
      </w:r>
      <w:r w:rsidRPr="00DA7928">
        <w:rPr>
          <w:szCs w:val="28"/>
        </w:rPr>
        <w:t xml:space="preserve"> VII.6, he recalls two interventions. The physician Vindicianus warned that apparent successes arose from chance and the human tendency to remember a striking hit while forgetting failures. Augustine did not immediately accept the criticism. The more decisive story came from his friend Firminus. Firminus's father and another household's enslaved man had closely observed two simultaneous pregnancies. The children were born at nearly the same time under what should have been an indistinguishable configuration, yet one entered a prosperous family and the other remained enslaved.</w:t>
      </w:r>
      <w:r w:rsidRPr="00DA7928">
        <w:rPr>
          <w:szCs w:val="28"/>
          <w:vertAlign w:val="superscript"/>
        </w:rPr>
        <w:t>18</w:t>
      </w:r>
    </w:p>
    <w:p w14:paraId="272F377D" w14:textId="77777777" w:rsidR="00DA7928" w:rsidRPr="00DA7928" w:rsidRDefault="00DA7928" w:rsidP="00DA7928">
      <w:pPr>
        <w:pStyle w:val="BookBody"/>
      </w:pPr>
      <w:r w:rsidRPr="00DA7928">
        <w:rPr>
          <w:szCs w:val="28"/>
        </w:rPr>
        <w:t>The social structure of the story matters. A horoscope that claimed to disclose personal destiny was confronted by the institution of slavery. The sky was nearly the same; human status was radically different. Astrology risked presenting a political arrangement as celestial necessity. Augustine concludes that true predictions must result from chance, while false ones are not failures of an otherwise necessary art but reveal that the art lacks the causal knowledge it claims.</w:t>
      </w:r>
    </w:p>
    <w:p w14:paraId="59707413" w14:textId="77777777" w:rsidR="00DA7928" w:rsidRPr="00DA7928" w:rsidRDefault="00DA7928" w:rsidP="00DA7928">
      <w:pPr>
        <w:pStyle w:val="BookBody"/>
      </w:pPr>
      <w:r w:rsidRPr="00DA7928">
        <w:rPr>
          <w:szCs w:val="28"/>
        </w:rPr>
        <w:t>He then turns to twins. They can be born so close together that no practitioner can reliably inscribe the relevant difference, yet their actions, fortunes, and deaths diverge. The argument does not prove that celestial bodies exert no physical influence. It attacks the sufficiency of the natal figure as an explanation of a whole life.</w:t>
      </w:r>
    </w:p>
    <w:p w14:paraId="4A21E98C" w14:textId="77777777" w:rsidR="00DA7928" w:rsidRPr="00DA7928" w:rsidRDefault="00DA7928" w:rsidP="00DA7928">
      <w:pPr>
        <w:pStyle w:val="BookBody"/>
      </w:pPr>
      <w:r w:rsidRPr="00DA7928">
        <w:rPr>
          <w:szCs w:val="28"/>
        </w:rPr>
        <w:t>Augustine's retrospective narrative makes the rejection appear as a liberation of confession. If the stars caused his acts, the admission “I sinned” would be displaced by “Mars caused this.” Astrology could become an alibi. The point is not that Augustine invents a modern sovereign will. It is that repentance requires a speaker who can truthfully own an act before God.</w:t>
      </w:r>
    </w:p>
    <w:p w14:paraId="1209883D" w14:textId="77777777" w:rsidR="00DA7928" w:rsidRPr="00DA7928" w:rsidRDefault="00DA7928" w:rsidP="00DA7928">
      <w:pPr>
        <w:pStyle w:val="SectionHeading"/>
      </w:pPr>
      <w:r w:rsidRPr="00DA7928">
        <w:rPr>
          <w:bCs/>
          <w:szCs w:val="28"/>
        </w:rPr>
        <w:t>Fate in the City of God</w:t>
      </w:r>
    </w:p>
    <w:p w14:paraId="12BC409D" w14:textId="77777777" w:rsidR="00DA7928" w:rsidRPr="00DA7928" w:rsidRDefault="00DA7928" w:rsidP="00DA7928">
      <w:pPr>
        <w:pStyle w:val="BookBody"/>
      </w:pPr>
      <w:r w:rsidRPr="00DA7928">
        <w:rPr>
          <w:szCs w:val="28"/>
        </w:rPr>
        <w:t xml:space="preserve">Augustine returns to astrology in Book V of </w:t>
      </w:r>
      <w:r w:rsidRPr="00DA7928">
        <w:rPr>
          <w:i/>
          <w:szCs w:val="28"/>
        </w:rPr>
        <w:t>The City of God</w:t>
      </w:r>
      <w:r w:rsidRPr="00DA7928">
        <w:rPr>
          <w:szCs w:val="28"/>
        </w:rPr>
        <w:t>, where the issue is Rome's power. Did the empire expand because virtue deserved dominion, because the gods rewarded worship, because fortune happened to favor Rome, or because fate fixed the sequence? The argument about individual horoscopes becomes an argument about political theology.</w:t>
      </w:r>
    </w:p>
    <w:p w14:paraId="5B078034" w14:textId="77777777" w:rsidR="00DA7928" w:rsidRPr="00DA7928" w:rsidRDefault="00DA7928" w:rsidP="00DA7928">
      <w:pPr>
        <w:pStyle w:val="BookBody"/>
      </w:pPr>
      <w:r w:rsidRPr="00DA7928">
        <w:rPr>
          <w:szCs w:val="28"/>
        </w:rPr>
        <w:t>He begins by refusing equivocation. If “fate” means the positions of the stars at conception or birth, Christianity rejects it. If the word merely names the causal order governed by God's will, the reality may be affirmed but the term is better avoided because common usage suggests astral compulsion. Providence is not a second name for the horoscope.</w:t>
      </w:r>
      <w:r w:rsidRPr="00DA7928">
        <w:rPr>
          <w:szCs w:val="28"/>
          <w:vertAlign w:val="superscript"/>
        </w:rPr>
        <w:t>19</w:t>
      </w:r>
    </w:p>
    <w:p w14:paraId="49CE3B6F" w14:textId="77777777" w:rsidR="00DA7928" w:rsidRPr="00DA7928" w:rsidRDefault="00DA7928" w:rsidP="00DA7928">
      <w:pPr>
        <w:pStyle w:val="BookBody"/>
      </w:pPr>
      <w:r w:rsidRPr="00DA7928">
        <w:rPr>
          <w:szCs w:val="28"/>
        </w:rPr>
        <w:t>Augustine uses biblical and observed twins to expose the difficulty. Esau and Jacob share conception and are born in immediate succession, yet their characters, actions, relations, and destinies differ. Astrologers answer that the sky moves so rapidly that a tiny interval produces a large celestial difference. Augustine replies that the explanation is used selectively. Twins can share illnesses and bodily features despite a difference in birth time, while unrelated persons born simultaneously can live different lives.</w:t>
      </w:r>
    </w:p>
    <w:p w14:paraId="07CAE46C" w14:textId="77777777" w:rsidR="00DA7928" w:rsidRPr="00DA7928" w:rsidRDefault="00DA7928" w:rsidP="00DA7928">
      <w:pPr>
        <w:pStyle w:val="BookBody"/>
      </w:pPr>
      <w:r w:rsidRPr="00DA7928">
        <w:rPr>
          <w:szCs w:val="28"/>
        </w:rPr>
        <w:t>The argument is not technically decisive against every ancient astrologer. A sophisticated practitioner could insist that no two births share precisely the same location, time, family, or distribution of lots, and that a chart must be judged within those particulars. Hegedus notes that Augustine sometimes treats astrology as more rigid and observationally crude than its best exponents did.</w:t>
      </w:r>
      <w:r w:rsidRPr="00DA7928">
        <w:rPr>
          <w:szCs w:val="28"/>
          <w:vertAlign w:val="superscript"/>
        </w:rPr>
        <w:t>20</w:t>
      </w:r>
      <w:r w:rsidRPr="00DA7928">
        <w:rPr>
          <w:szCs w:val="28"/>
        </w:rPr>
        <w:t xml:space="preserve"> That limitation should be admitted. Augustine's target is less the full mathematical art than the claim that celestial necessity explains moral and political difference.</w:t>
      </w:r>
    </w:p>
    <w:p w14:paraId="0DA9C793" w14:textId="77777777" w:rsidR="00DA7928" w:rsidRPr="00DA7928" w:rsidRDefault="00DA7928" w:rsidP="00DA7928">
      <w:pPr>
        <w:pStyle w:val="BookBody"/>
      </w:pPr>
      <w:r w:rsidRPr="00DA7928">
        <w:rPr>
          <w:szCs w:val="28"/>
        </w:rPr>
        <w:t>The move from stars to Rome sharpens the stakes. If fate granted empire, Rome's rule becomes a cosmic fact beyond moral judgment. Augustine instead attributes historical outcomes to a complex providential order that can use virtues, vices, ambitions, punishments, and goods without identifying success with righteousness. The city built by love of domination cannot sanctify itself by projecting its victory into heaven.</w:t>
      </w:r>
    </w:p>
    <w:p w14:paraId="4559F8B1" w14:textId="77777777" w:rsidR="00DA7928" w:rsidRPr="00DA7928" w:rsidRDefault="00DA7928" w:rsidP="00DA7928">
      <w:pPr>
        <w:pStyle w:val="BookBody"/>
      </w:pPr>
      <w:r w:rsidRPr="00DA7928">
        <w:rPr>
          <w:szCs w:val="28"/>
        </w:rPr>
        <w:t>Providence thus preserves history's intelligibility while denying its closure. God can order causes, but created wills remain genuine causes. Empires act, citizens choose, bodies inherit tendencies, and circumstances constrain. The highest cause does not compete with these secondary causes on their own level. It gives them being, limits their reach, and orders even consequences they did not intend.</w:t>
      </w:r>
    </w:p>
    <w:p w14:paraId="27A6712C" w14:textId="77777777" w:rsidR="00DA7928" w:rsidRPr="00DA7928" w:rsidRDefault="00DA7928" w:rsidP="00DA7928">
      <w:pPr>
        <w:pStyle w:val="SectionHeading"/>
      </w:pPr>
      <w:r w:rsidRPr="00DA7928">
        <w:rPr>
          <w:bCs/>
          <w:szCs w:val="28"/>
        </w:rPr>
        <w:t>Foreknowledge without Fatalism</w:t>
      </w:r>
    </w:p>
    <w:p w14:paraId="37507AC7" w14:textId="77777777" w:rsidR="00DA7928" w:rsidRPr="00DA7928" w:rsidRDefault="00DA7928" w:rsidP="00DA7928">
      <w:pPr>
        <w:pStyle w:val="BookBody"/>
      </w:pPr>
      <w:r w:rsidRPr="00DA7928">
        <w:rPr>
          <w:szCs w:val="28"/>
        </w:rPr>
        <w:t>Augustine's defense of providence places him in a difficult debate with Cicero. Cicero had feared that divine foreknowledge would entail a fixed chain of events and destroy deliberation. One response was to deny that the gods know future contingents. Augustine refuses the price. Divine knowledge cannot be made ignorant in order to protect human agency.</w:t>
      </w:r>
    </w:p>
    <w:p w14:paraId="2582FD4F" w14:textId="77777777" w:rsidR="00DA7928" w:rsidRPr="00DA7928" w:rsidRDefault="00DA7928" w:rsidP="00DA7928">
      <w:pPr>
        <w:pStyle w:val="BookBody"/>
      </w:pPr>
      <w:r w:rsidRPr="00DA7928">
        <w:rPr>
          <w:szCs w:val="28"/>
        </w:rPr>
        <w:t>His solution parallels Origen's central distinction while becoming more systematic. Knowledge of an event does not impose necessity on the agent. God knows voluntary acts as voluntary. If I know that someone is presently willing, my knowledge does not cause the willing; divine eternity knows temporal acts with incomparably greater immediacy without turning them into compulsions.</w:t>
      </w:r>
    </w:p>
    <w:p w14:paraId="2D3C9173" w14:textId="77777777" w:rsidR="00DA7928" w:rsidRPr="00DA7928" w:rsidRDefault="00DA7928" w:rsidP="00DA7928">
      <w:pPr>
        <w:pStyle w:val="BookBody"/>
      </w:pPr>
      <w:r w:rsidRPr="00DA7928">
        <w:rPr>
          <w:szCs w:val="28"/>
        </w:rPr>
        <w:t>The order of causes includes wills. A will is not outside causality, but it is a kind of cause appropriate to a rational creature. It can be influenced, habituated, tempted, commanded, healed, and aided. It remains the agent's will. Augustine can therefore affirm both that nothing escapes providence and that wrongdoing is not authored by the stars or excused by divine knowledge.</w:t>
      </w:r>
    </w:p>
    <w:p w14:paraId="07A4A2C7" w14:textId="77777777" w:rsidR="00DA7928" w:rsidRPr="00DA7928" w:rsidRDefault="00DA7928" w:rsidP="00DA7928">
      <w:pPr>
        <w:pStyle w:val="BookBody"/>
      </w:pPr>
      <w:r w:rsidRPr="00DA7928">
        <w:rPr>
          <w:szCs w:val="28"/>
        </w:rPr>
        <w:t>This distinction must not be mistaken for a complete reconciliation of every Augustinian doctrine. His later arguments about grace, predestination, and the unequal destinies of infants raise problems that opponents could describe as another kind of fatalism. Hegedus observes the irony: the twins argument used against astrology could be redeployed within controversies over predestination.</w:t>
      </w:r>
      <w:r w:rsidRPr="00DA7928">
        <w:rPr>
          <w:szCs w:val="28"/>
          <w:vertAlign w:val="superscript"/>
        </w:rPr>
        <w:t>21</w:t>
      </w:r>
      <w:r w:rsidRPr="00DA7928">
        <w:rPr>
          <w:szCs w:val="28"/>
        </w:rPr>
        <w:t xml:space="preserve"> The present chapter need not resolve that later history. Its narrower point is that Augustine denies impersonal celestial necessity the right to explain salvation.</w:t>
      </w:r>
    </w:p>
    <w:p w14:paraId="52055008" w14:textId="77777777" w:rsidR="00DA7928" w:rsidRPr="00DA7928" w:rsidRDefault="00DA7928" w:rsidP="00DA7928">
      <w:pPr>
        <w:pStyle w:val="BookBody"/>
      </w:pPr>
      <w:r w:rsidRPr="00DA7928">
        <w:rPr>
          <w:szCs w:val="28"/>
        </w:rPr>
        <w:t>The difference between providence and fate lies partly in the kind of relation each imagines. Fate, as Augustine attacks it, is a chain that binds events through created configurations. Providence is the wisdom of the creator who knows and orders creatures according to their kinds, including the voluntary mode of rational action. The first closes the future from within the cosmos. The second holds the future open to judgment, grace, and ends no creature can secure alone.</w:t>
      </w:r>
    </w:p>
    <w:p w14:paraId="30DC3566" w14:textId="77777777" w:rsidR="00DA7928" w:rsidRPr="00DA7928" w:rsidRDefault="00DA7928" w:rsidP="00DA7928">
      <w:pPr>
        <w:pStyle w:val="SectionHeading"/>
      </w:pPr>
      <w:r w:rsidRPr="00DA7928">
        <w:rPr>
          <w:bCs/>
          <w:szCs w:val="28"/>
        </w:rPr>
        <w:t>Five Relations to Heaven</w:t>
      </w:r>
    </w:p>
    <w:p w14:paraId="0AF95284" w14:textId="77777777" w:rsidR="00DA7928" w:rsidRPr="00DA7928" w:rsidRDefault="00DA7928" w:rsidP="00DA7928">
      <w:pPr>
        <w:pStyle w:val="BookBody"/>
      </w:pPr>
      <w:r w:rsidRPr="00DA7928">
        <w:rPr>
          <w:szCs w:val="28"/>
        </w:rPr>
        <w:t>The controversy becomes clearer if five kinds of cosmic relation are distinguished. Early Christian writers sometimes blur them, but the argument of the chapter depends on keeping them apart.</w:t>
      </w:r>
    </w:p>
    <w:p w14:paraId="19DF37DF" w14:textId="77777777" w:rsidR="00DA7928" w:rsidRPr="00DA7928" w:rsidRDefault="00DA7928" w:rsidP="00DA7928">
      <w:pPr>
        <w:pStyle w:val="BookBody"/>
      </w:pPr>
      <w:r w:rsidRPr="00DA7928">
        <w:rPr>
          <w:szCs w:val="28"/>
        </w:rPr>
        <w:t xml:space="preserve">The first is </w:t>
      </w:r>
      <w:r w:rsidRPr="00DA7928">
        <w:rPr>
          <w:b/>
          <w:szCs w:val="28"/>
        </w:rPr>
        <w:t>sign</w:t>
      </w:r>
      <w:r w:rsidRPr="00DA7928">
        <w:rPr>
          <w:szCs w:val="28"/>
        </w:rPr>
        <w:t>. A celestial appearance can indicate an event without producing it. Genesis appoints lights for signs and seasons. The Bethlehem star announces a birth. Origen's sky can bear providential writing. Signification requires an order of correspondence, but not coercion.</w:t>
      </w:r>
    </w:p>
    <w:p w14:paraId="236F160B" w14:textId="77777777" w:rsidR="00DA7928" w:rsidRPr="00DA7928" w:rsidRDefault="00DA7928" w:rsidP="00DA7928">
      <w:pPr>
        <w:pStyle w:val="BookBody"/>
      </w:pPr>
      <w:r w:rsidRPr="00DA7928">
        <w:rPr>
          <w:szCs w:val="28"/>
        </w:rPr>
        <w:t xml:space="preserve">The second is </w:t>
      </w:r>
      <w:r w:rsidRPr="00DA7928">
        <w:rPr>
          <w:b/>
          <w:szCs w:val="28"/>
        </w:rPr>
        <w:t>providence</w:t>
      </w:r>
      <w:r w:rsidRPr="00DA7928">
        <w:rPr>
          <w:szCs w:val="28"/>
        </w:rPr>
        <w:t>. The whole creation exists within divine knowledge, care, judgment, and purpose. Providence can operate through regular causes, extraordinary events, human decisions, and spiritual agents. It is not one influence alongside Mars and Saturn. It names the creator's relation to the total field.</w:t>
      </w:r>
    </w:p>
    <w:p w14:paraId="77AD6807" w14:textId="77777777" w:rsidR="00DA7928" w:rsidRPr="00DA7928" w:rsidRDefault="00DA7928" w:rsidP="00DA7928">
      <w:pPr>
        <w:pStyle w:val="BookBody"/>
      </w:pPr>
      <w:r w:rsidRPr="00DA7928">
        <w:rPr>
          <w:szCs w:val="28"/>
        </w:rPr>
        <w:t xml:space="preserve">The third is </w:t>
      </w:r>
      <w:r w:rsidRPr="00DA7928">
        <w:rPr>
          <w:b/>
          <w:szCs w:val="28"/>
        </w:rPr>
        <w:t>angelic mediation</w:t>
      </w:r>
      <w:r w:rsidRPr="00DA7928">
        <w:rPr>
          <w:szCs w:val="28"/>
        </w:rPr>
        <w:t>. Scripture and patristic thought often imagine rational powers administering, announcing, protecting, opposing, or interpreting. Such beings are creatures. Their mediation can be faithful or rebellious, but never ultimate. An angel can carry a message; a demon can deceive; neither can determine salvation against God.</w:t>
      </w:r>
    </w:p>
    <w:p w14:paraId="527CD20C" w14:textId="77777777" w:rsidR="00DA7928" w:rsidRPr="00DA7928" w:rsidRDefault="00DA7928" w:rsidP="00DA7928">
      <w:pPr>
        <w:pStyle w:val="BookBody"/>
      </w:pPr>
      <w:r w:rsidRPr="00DA7928">
        <w:rPr>
          <w:szCs w:val="28"/>
        </w:rPr>
        <w:t xml:space="preserve">The fourth is </w:t>
      </w:r>
      <w:r w:rsidRPr="00DA7928">
        <w:rPr>
          <w:b/>
          <w:szCs w:val="28"/>
        </w:rPr>
        <w:t>natural order</w:t>
      </w:r>
      <w:r w:rsidRPr="00DA7928">
        <w:rPr>
          <w:szCs w:val="28"/>
        </w:rPr>
        <w:t>. Sunlight warms, seasons alter agriculture, climates affect bodies, and celestial cycles make calendars possible. Ancient theories of such effects were often scientifically mistaken, but the category is not identical with astrology. To deny natal fatalism does not require a world without secondary causes.</w:t>
      </w:r>
    </w:p>
    <w:p w14:paraId="1992F9CB" w14:textId="77777777" w:rsidR="00DA7928" w:rsidRPr="00DA7928" w:rsidRDefault="00DA7928" w:rsidP="00DA7928">
      <w:pPr>
        <w:pStyle w:val="BookBody"/>
      </w:pPr>
      <w:r w:rsidRPr="00DA7928">
        <w:rPr>
          <w:szCs w:val="28"/>
        </w:rPr>
        <w:t xml:space="preserve">The fifth is </w:t>
      </w:r>
      <w:r w:rsidRPr="00DA7928">
        <w:rPr>
          <w:b/>
          <w:szCs w:val="28"/>
        </w:rPr>
        <w:t>coercive astral causation</w:t>
      </w:r>
      <w:r w:rsidRPr="00DA7928">
        <w:rPr>
          <w:szCs w:val="28"/>
        </w:rPr>
        <w:t>. Here a configuration of celestial bodies fixes moral acts, religious destiny, or the final course of a life. This is the relation Christian anti-fatalism consistently refuses. It converts created order into a rival sovereignty, weakens responsibility, and makes grace an episode already dictated by the sky.</w:t>
      </w:r>
    </w:p>
    <w:p w14:paraId="368595A5" w14:textId="77777777" w:rsidR="00DA7928" w:rsidRPr="00DA7928" w:rsidRDefault="00DA7928" w:rsidP="00DA7928">
      <w:pPr>
        <w:pStyle w:val="BookBody"/>
      </w:pPr>
      <w:r w:rsidRPr="00DA7928">
        <w:rPr>
          <w:szCs w:val="28"/>
        </w:rPr>
        <w:t>These distinctions explain how the same author can praise the stars, interpret them, and attack astrology. The heavens may be creatures, signs, causes of material effects, and fields of angelic service without becoming moral masters. The difficulty is not inconsistency alone. Ancient cosmologies did not divide physical, symbolic, and spiritual causation according to modern disciplinary boundaries. A single celestial event could be observable body, divine sign, political omen, and living power.</w:t>
      </w:r>
    </w:p>
    <w:p w14:paraId="3DCABDEC" w14:textId="77777777" w:rsidR="00DA7928" w:rsidRPr="00DA7928" w:rsidRDefault="00DA7928" w:rsidP="00DA7928">
      <w:pPr>
        <w:pStyle w:val="BookBody"/>
      </w:pPr>
      <w:r w:rsidRPr="00DA7928">
        <w:rPr>
          <w:szCs w:val="28"/>
        </w:rPr>
        <w:t>Christianity's achievement was therefore not to separate astronomy cleanly from astrology. That institutional division lay far in the future and would never be absolute. It was to create a hierarchy of causal claims. Every mediation had to remain creaturely, and no creaturely mediation could cancel the freedom of God's call or the accountability of the response.</w:t>
      </w:r>
    </w:p>
    <w:p w14:paraId="25E4DE8D" w14:textId="77777777" w:rsidR="00DA7928" w:rsidRPr="00DA7928" w:rsidRDefault="00DA7928" w:rsidP="00DA7928">
      <w:pPr>
        <w:pStyle w:val="SectionHeading"/>
      </w:pPr>
      <w:r w:rsidRPr="00DA7928">
        <w:rPr>
          <w:bCs/>
          <w:szCs w:val="28"/>
        </w:rPr>
        <w:t>Renunciation as Cosmic Politics</w:t>
      </w:r>
    </w:p>
    <w:p w14:paraId="583A9C91" w14:textId="77777777" w:rsidR="00DA7928" w:rsidRPr="00DA7928" w:rsidRDefault="00DA7928" w:rsidP="00DA7928">
      <w:pPr>
        <w:pStyle w:val="BookBody"/>
      </w:pPr>
      <w:r w:rsidRPr="00DA7928">
        <w:rPr>
          <w:szCs w:val="28"/>
        </w:rPr>
        <w:t>The baptismal renunciation embodies this hierarchy before most candidates could articulate it. “I renounce you, Satan, and all your service and all your works”: the formula treats evil as a regime soliciting allegiance. The candidate's body is an occupied and contested place, but not a passive object. Renunciation is itself an act.</w:t>
      </w:r>
      <w:r w:rsidRPr="00DA7928">
        <w:rPr>
          <w:szCs w:val="28"/>
          <w:vertAlign w:val="superscript"/>
        </w:rPr>
        <w:t>22</w:t>
      </w:r>
    </w:p>
    <w:p w14:paraId="5B953C3E" w14:textId="77777777" w:rsidR="00DA7928" w:rsidRPr="00DA7928" w:rsidRDefault="00DA7928" w:rsidP="00DA7928">
      <w:pPr>
        <w:pStyle w:val="BookBody"/>
      </w:pPr>
      <w:r w:rsidRPr="00DA7928">
        <w:rPr>
          <w:szCs w:val="28"/>
        </w:rPr>
        <w:t>Oil of exorcism and the command that evil spirits depart make the conflict material without making matter evil. The same body is anointed again with thanksgiving. The same water that can signify death becomes a medium of rebirth. The mouth that renounces answers “I believe.” The rite does not rescue a spiritual essence from elements; it reorganizes relations among body, element, speech, community, and power.</w:t>
      </w:r>
    </w:p>
    <w:p w14:paraId="07350100" w14:textId="77777777" w:rsidR="00DA7928" w:rsidRPr="00DA7928" w:rsidRDefault="00DA7928" w:rsidP="00DA7928">
      <w:pPr>
        <w:pStyle w:val="BookBody"/>
      </w:pPr>
      <w:r w:rsidRPr="00DA7928">
        <w:rPr>
          <w:szCs w:val="28"/>
        </w:rPr>
        <w:t>Direction intensifies the reorganization. Later baptismal rites explicitly tell the candidate to face west for renunciation and east for profession. The cosmic symbolism is not astronomy in disguise. The candidate does not worship the rising Sun. East becomes a created orientation through which resurrection, illumination, Eden, and Christ's advent can be remembered. Visible light serves confession because it is not the object of confession.</w:t>
      </w:r>
    </w:p>
    <w:p w14:paraId="177414C0" w14:textId="77777777" w:rsidR="00DA7928" w:rsidRPr="00DA7928" w:rsidRDefault="00DA7928" w:rsidP="00DA7928">
      <w:pPr>
        <w:pStyle w:val="BookBody"/>
      </w:pPr>
      <w:r w:rsidRPr="00DA7928">
        <w:rPr>
          <w:szCs w:val="28"/>
        </w:rPr>
        <w:t>The rite also relocates agency socially. The candidate does not escape fate alone through superior knowledge. Ministers question, exorcise, anoint, immerse, and receive. Sponsors may answer for children. The Church becomes a community in which freedom is enacted through dependence. This is the opposite of both astral individualism and autonomous self-salvation.</w:t>
      </w:r>
    </w:p>
    <w:p w14:paraId="5B4CC29F" w14:textId="77777777" w:rsidR="00DA7928" w:rsidRPr="00DA7928" w:rsidRDefault="00DA7928" w:rsidP="00DA7928">
      <w:pPr>
        <w:pStyle w:val="BookBody"/>
      </w:pPr>
      <w:r w:rsidRPr="00DA7928">
        <w:rPr>
          <w:szCs w:val="28"/>
        </w:rPr>
        <w:t>For that reason, baptism could be interpreted as release from cosmic rulers. The person passes through water under the name of Christ and emerges inside a body that claims another citizenship. Hegedus documents texts in which baptism breaks astral bonds or renders hostile powers unable to seize the ascending soul.</w:t>
      </w:r>
      <w:r w:rsidRPr="00DA7928">
        <w:rPr>
          <w:szCs w:val="28"/>
          <w:vertAlign w:val="superscript"/>
        </w:rPr>
        <w:t>23</w:t>
      </w:r>
      <w:r w:rsidRPr="00DA7928">
        <w:rPr>
          <w:szCs w:val="28"/>
        </w:rPr>
        <w:t xml:space="preserve"> Such language could remain close to the cosmologies Irenaeus opposed. Normative Christianity did not eliminate the drama; it relocated assurance from secret passwords to public confession and sacramental belonging.</w:t>
      </w:r>
    </w:p>
    <w:p w14:paraId="2AD3226F" w14:textId="77777777" w:rsidR="00DA7928" w:rsidRPr="00DA7928" w:rsidRDefault="00DA7928" w:rsidP="00DA7928">
      <w:pPr>
        <w:pStyle w:val="SectionHeading"/>
      </w:pPr>
      <w:r w:rsidRPr="00DA7928">
        <w:rPr>
          <w:bCs/>
          <w:szCs w:val="28"/>
        </w:rPr>
        <w:t>The Week Christians Inherited</w:t>
      </w:r>
    </w:p>
    <w:p w14:paraId="00DCB98B" w14:textId="77777777" w:rsidR="00DA7928" w:rsidRPr="00DA7928" w:rsidRDefault="00DA7928" w:rsidP="00DA7928">
      <w:pPr>
        <w:pStyle w:val="BookBody"/>
      </w:pPr>
      <w:r w:rsidRPr="00DA7928">
        <w:rPr>
          <w:szCs w:val="28"/>
        </w:rPr>
        <w:t>The second material witness is a sequence of seven names. The planetary week assigned each day to one of the seven classical planets: Saturn, Sun, Moon, Mars, Mercury, Jupiter, and Venus. The order derived from a relation between planetary spheres and the succession of planetary hours. By late antiquity it had become an ordinary way of organizing time across the Roman world.</w:t>
      </w:r>
    </w:p>
    <w:p w14:paraId="2EC6CC55" w14:textId="77777777" w:rsidR="00DA7928" w:rsidRPr="00DA7928" w:rsidRDefault="00DA7928" w:rsidP="00DA7928">
      <w:pPr>
        <w:pStyle w:val="BookBody"/>
      </w:pPr>
      <w:r w:rsidRPr="00DA7928">
        <w:rPr>
          <w:szCs w:val="28"/>
        </w:rPr>
        <w:t xml:space="preserve">Christians did not invent the seven-day week. They inherited Jewish Sabbath time, participated in Roman civic calendars, and lived amid the planetary sequence. Their earliest weekly practices developed unevenly. New Testament references suggest significance attached to the first day, but they do not by themselves prove one universal pattern. By the end of the first century, some communities marked the day of resurrection; the </w:t>
      </w:r>
      <w:r w:rsidRPr="00DA7928">
        <w:rPr>
          <w:i/>
          <w:szCs w:val="28"/>
        </w:rPr>
        <w:t>Epistle of Barnabas</w:t>
      </w:r>
      <w:r w:rsidRPr="00DA7928">
        <w:rPr>
          <w:szCs w:val="28"/>
        </w:rPr>
        <w:t xml:space="preserve"> calls it an “eighth day,” a new beginning beyond the completed seven.</w:t>
      </w:r>
      <w:r w:rsidRPr="00DA7928">
        <w:rPr>
          <w:szCs w:val="28"/>
          <w:vertAlign w:val="superscript"/>
        </w:rPr>
        <w:t>24</w:t>
      </w:r>
    </w:p>
    <w:p w14:paraId="1B99B39F" w14:textId="77777777" w:rsidR="00DA7928" w:rsidRPr="00DA7928" w:rsidRDefault="00DA7928" w:rsidP="00DA7928">
      <w:pPr>
        <w:pStyle w:val="BookBody"/>
      </w:pPr>
      <w:r w:rsidRPr="00DA7928">
        <w:rPr>
          <w:szCs w:val="28"/>
        </w:rPr>
        <w:t>Sunday did not simply replace Sabbath everywhere and at once. Jewish Christians could maintain Sabbath practices. Communities gathered at different hours. Weekly fasts on Wednesday and Friday helped distinguish Christian rhythms from other Jewish patterns. Annual Pascha, local martyr commemorations, and later festal cycles developed through disagreement as well as consensus. The Christian calendar was an accretion of practices, not a plan issued complete.</w:t>
      </w:r>
    </w:p>
    <w:p w14:paraId="728C9876" w14:textId="77777777" w:rsidR="00DA7928" w:rsidRPr="00DA7928" w:rsidRDefault="00DA7928" w:rsidP="00DA7928">
      <w:pPr>
        <w:pStyle w:val="BookBody"/>
      </w:pPr>
      <w:r w:rsidRPr="00DA7928">
        <w:rPr>
          <w:szCs w:val="28"/>
        </w:rPr>
        <w:t>Yet the first day acquired a powerful theological density. It was the day of resurrection, the Lord's Day, and the eighth day of new creation. Time once labeled by the Sun could be used without the Sun remaining its lord. The transformation resembled the use of eastward orientation: a cosmic pattern was neither worshiped nor discarded but made to signify through Christ.</w:t>
      </w:r>
    </w:p>
    <w:p w14:paraId="16C1EA2F" w14:textId="77777777" w:rsidR="00DA7928" w:rsidRPr="00DA7928" w:rsidRDefault="00DA7928" w:rsidP="00DA7928">
      <w:pPr>
        <w:pStyle w:val="BookBody"/>
      </w:pPr>
      <w:r w:rsidRPr="00DA7928">
        <w:rPr>
          <w:szCs w:val="28"/>
        </w:rPr>
        <w:t>This appropriation helps explain the persistence of planetary day names. Christian speech did not erase the linguistic archive of the gods. In Latin and its descendants, in Germanic names, and in popular custom, the week carried planetary and divine associations long after official worship changed. A converted calendar was not a blank calendar.</w:t>
      </w:r>
    </w:p>
    <w:p w14:paraId="2841B9F5" w14:textId="77777777" w:rsidR="00DA7928" w:rsidRPr="00DA7928" w:rsidRDefault="00DA7928" w:rsidP="00DA7928">
      <w:pPr>
        <w:pStyle w:val="SectionHeading"/>
      </w:pPr>
      <w:r w:rsidRPr="00DA7928">
        <w:rPr>
          <w:bCs/>
          <w:szCs w:val="28"/>
        </w:rPr>
        <w:t>The Codex-Calendar of 354</w:t>
      </w:r>
    </w:p>
    <w:p w14:paraId="7C87BE46" w14:textId="77777777" w:rsidR="00DA7928" w:rsidRPr="00DA7928" w:rsidRDefault="00DA7928" w:rsidP="00DA7928">
      <w:pPr>
        <w:pStyle w:val="BookBody"/>
      </w:pPr>
      <w:r w:rsidRPr="00DA7928">
        <w:rPr>
          <w:szCs w:val="28"/>
        </w:rPr>
        <w:t xml:space="preserve">The </w:t>
      </w:r>
      <w:r w:rsidRPr="00DA7928">
        <w:rPr>
          <w:i/>
          <w:szCs w:val="28"/>
        </w:rPr>
        <w:t>Codex-Calendar of 354</w:t>
      </w:r>
      <w:r w:rsidRPr="00DA7928">
        <w:rPr>
          <w:szCs w:val="28"/>
        </w:rPr>
        <w:t xml:space="preserve"> makes coexistence visible. Created for an elite Roman recipient in a Christianizing empire, it gathered imperial anniversaries, consular lists, civic information, pagan festivals, planetary images, zodiacal material, lunar calculation, a seven-day cycle, an Easter table, lists of Roman bishops, and commemorations of martyrs. It did not arrange these materials into the clean opposition a later historian might expect.</w:t>
      </w:r>
    </w:p>
    <w:p w14:paraId="7E9B6E33" w14:textId="77777777" w:rsidR="00DA7928" w:rsidRPr="00DA7928" w:rsidRDefault="00DA7928" w:rsidP="00DA7928">
      <w:pPr>
        <w:pStyle w:val="BookBody"/>
      </w:pPr>
      <w:r w:rsidRPr="00DA7928">
        <w:rPr>
          <w:szCs w:val="28"/>
        </w:rPr>
        <w:t>Michele Salzman shows that the calendar's seven-day column belonged to an astrological tradition rather than being intrinsically Christian. Its planetary section began with Saturn and included the planets governing days and hours. The same codex contained Christian chronological materials. Astral, civic, imperial, pagan, and Christian times occupied one book.</w:t>
      </w:r>
      <w:r w:rsidRPr="00DA7928">
        <w:rPr>
          <w:szCs w:val="28"/>
          <w:vertAlign w:val="superscript"/>
        </w:rPr>
        <w:t>25</w:t>
      </w:r>
    </w:p>
    <w:p w14:paraId="2BDF9496" w14:textId="77777777" w:rsidR="00DA7928" w:rsidRPr="00DA7928" w:rsidRDefault="00DA7928" w:rsidP="00DA7928">
      <w:pPr>
        <w:pStyle w:val="BookBody"/>
      </w:pPr>
      <w:r w:rsidRPr="00DA7928">
        <w:rPr>
          <w:szCs w:val="28"/>
        </w:rPr>
        <w:t>The calendar therefore corrects two fantasies. The first imagines conversion as an instantaneous cultural replacement. A Christian owner did not cease to need consular dates, market cycles, months, imperial anniversaries, or knowledge of public festivals. The second imagines pagan survivals as empty decoration. Some rites and festivals remained religiously serious to participants, while others changed meaning, became civic entertainment, or were gradually suppressed.</w:t>
      </w:r>
    </w:p>
    <w:p w14:paraId="3B541449" w14:textId="77777777" w:rsidR="00DA7928" w:rsidRPr="00DA7928" w:rsidRDefault="00DA7928" w:rsidP="00DA7928">
      <w:pPr>
        <w:pStyle w:val="BookBody"/>
      </w:pPr>
      <w:r w:rsidRPr="00DA7928">
        <w:rPr>
          <w:szCs w:val="28"/>
        </w:rPr>
        <w:t xml:space="preserve">Christianization worked through selection, renaming, prohibition, reuse, and new commemoration. Martyrs entered dates once dominated by civic and divine </w:t>
      </w:r>
      <w:r w:rsidRPr="00DA7928">
        <w:rPr>
          <w:i/>
          <w:szCs w:val="28"/>
        </w:rPr>
        <w:t>natales</w:t>
      </w:r>
      <w:r w:rsidRPr="00DA7928">
        <w:rPr>
          <w:szCs w:val="28"/>
        </w:rPr>
        <w:t>. Easter required lunar and solar calculation. Sunday acquired legal and liturgical privilege. The calendar did not become less cosmic; it became a contested map of which cosmic and historical recurrences deserved obedience.</w:t>
      </w:r>
    </w:p>
    <w:p w14:paraId="239B0D89" w14:textId="77777777" w:rsidR="00DA7928" w:rsidRPr="00DA7928" w:rsidRDefault="00DA7928" w:rsidP="00DA7928">
      <w:pPr>
        <w:pStyle w:val="BookBody"/>
      </w:pPr>
      <w:r w:rsidRPr="00DA7928">
        <w:rPr>
          <w:szCs w:val="28"/>
        </w:rPr>
        <w:t>The continued use of an astrological week is especially revealing. Christians could reject a horoscope's moral necessity while using the same planetary sequence to arrange appointments. A name can survive the causal world that once sustained it. Conversely, a Christian feast can inhabit a date without purifying every association at once. Time becomes a field of negotiated memory.</w:t>
      </w:r>
    </w:p>
    <w:p w14:paraId="0E631285" w14:textId="77777777" w:rsidR="00DA7928" w:rsidRPr="00DA7928" w:rsidRDefault="00DA7928" w:rsidP="00DA7928">
      <w:pPr>
        <w:pStyle w:val="SectionHeading"/>
      </w:pPr>
      <w:r w:rsidRPr="00DA7928">
        <w:rPr>
          <w:bCs/>
          <w:szCs w:val="28"/>
        </w:rPr>
        <w:t>A Calendar Recentered</w:t>
      </w:r>
    </w:p>
    <w:p w14:paraId="09CA3251" w14:textId="77777777" w:rsidR="00DA7928" w:rsidRPr="00DA7928" w:rsidRDefault="00DA7928" w:rsidP="00DA7928">
      <w:pPr>
        <w:pStyle w:val="BookBody"/>
      </w:pPr>
      <w:r w:rsidRPr="00DA7928">
        <w:rPr>
          <w:szCs w:val="28"/>
        </w:rPr>
        <w:t>The Christian week and year did not merely remove pagan festivals. They accumulated a narrative of Christ. Sunday returned to resurrection. Pascha joined death, descent, liberation, baptism, and new creation. The fifty days extended festal time. Nativity and Epiphany traditions placed incarnation into the solar year. Saints and martyrs localized memory across regions.</w:t>
      </w:r>
    </w:p>
    <w:p w14:paraId="2CF8F12B" w14:textId="77777777" w:rsidR="00DA7928" w:rsidRPr="00DA7928" w:rsidRDefault="00DA7928" w:rsidP="00DA7928">
      <w:pPr>
        <w:pStyle w:val="BookBody"/>
      </w:pPr>
      <w:r w:rsidRPr="00DA7928">
        <w:rPr>
          <w:szCs w:val="28"/>
        </w:rPr>
        <w:t>These recurrences performed Christological recapitulation. The believer did not remember incarnation and resurrection only as past propositions. Bodies fasted, feasted, watched at night, entered water, processed, heard texts, and returned annually to the events. Cosmic cycles became the temporal material of an economy centered in Christ.</w:t>
      </w:r>
    </w:p>
    <w:p w14:paraId="6548CABF" w14:textId="77777777" w:rsidR="00DA7928" w:rsidRPr="00DA7928" w:rsidRDefault="00DA7928" w:rsidP="00DA7928">
      <w:pPr>
        <w:pStyle w:val="BookBody"/>
      </w:pPr>
      <w:r w:rsidRPr="00DA7928">
        <w:rPr>
          <w:szCs w:val="28"/>
        </w:rPr>
        <w:t>The process did not make time controllable. Easter calculation repeatedly divided communities. Lunar cycles did not yield one self-evident Christian date. Local calendars resisted uniformity. Bradshaw and Johnson emphasize how uncertain and multiple the origins of major observances were, warning against projecting later universal customs into the apostolic period.</w:t>
      </w:r>
      <w:r w:rsidRPr="00DA7928">
        <w:rPr>
          <w:szCs w:val="28"/>
          <w:vertAlign w:val="superscript"/>
        </w:rPr>
        <w:t>26</w:t>
      </w:r>
      <w:r w:rsidRPr="00DA7928">
        <w:rPr>
          <w:szCs w:val="28"/>
        </w:rPr>
        <w:t xml:space="preserve"> The Christianized calendar remained a historical construction carried by institutions and arguments.</w:t>
      </w:r>
    </w:p>
    <w:p w14:paraId="3496F035" w14:textId="77777777" w:rsidR="00DA7928" w:rsidRPr="00DA7928" w:rsidRDefault="00DA7928" w:rsidP="00DA7928">
      <w:pPr>
        <w:pStyle w:val="BookBody"/>
      </w:pPr>
      <w:r w:rsidRPr="00DA7928">
        <w:rPr>
          <w:szCs w:val="28"/>
        </w:rPr>
        <w:t>That historical character matters for the book's larger thesis. A living cosmos is not preserved only by declaring celestial bodies alive. It can be enacted by making time responsive to divine and human memory. The week answers resurrection; the year answers incarnation; the vigil answers expectation. Cosmic recurrence becomes liturgical address.</w:t>
      </w:r>
    </w:p>
    <w:p w14:paraId="1D89ED89" w14:textId="77777777" w:rsidR="00DA7928" w:rsidRPr="00DA7928" w:rsidRDefault="00DA7928" w:rsidP="00DA7928">
      <w:pPr>
        <w:pStyle w:val="BookBody"/>
      </w:pPr>
      <w:r w:rsidRPr="00DA7928">
        <w:rPr>
          <w:szCs w:val="28"/>
        </w:rPr>
        <w:t>At the same time, recentering begins a diminution. The day of the Sun can become the Lord's Day precisely because the Sun no longer possesses the day. Planetary names survive, but their intrinsic governance weakens. Celestial cycles remain necessary for calculation while the theological drama moves toward Christ, Church, saint, sacrament, and moral agent. The heavens become signs and instruments of a story whose decisive actions occur elsewhere.</w:t>
      </w:r>
    </w:p>
    <w:p w14:paraId="4F6A50CC" w14:textId="77777777" w:rsidR="00DA7928" w:rsidRPr="00DA7928" w:rsidRDefault="00DA7928" w:rsidP="00DA7928">
      <w:pPr>
        <w:pStyle w:val="SectionHeading"/>
      </w:pPr>
      <w:r w:rsidRPr="00DA7928">
        <w:rPr>
          <w:bCs/>
          <w:szCs w:val="28"/>
        </w:rPr>
        <w:t>The Astrology Christians Kept</w:t>
      </w:r>
    </w:p>
    <w:p w14:paraId="3CAA8C82" w14:textId="77777777" w:rsidR="00DA7928" w:rsidRPr="00DA7928" w:rsidRDefault="00DA7928" w:rsidP="00DA7928">
      <w:pPr>
        <w:pStyle w:val="BookBody"/>
      </w:pPr>
      <w:r w:rsidRPr="00DA7928">
        <w:rPr>
          <w:szCs w:val="28"/>
        </w:rPr>
        <w:t>Official condemnation never produced universal abandonment. Church leaders repeatedly prohibited astrological consultation because Christians continued to seek it. Penalties for clergy and laity, sermons against choosing auspicious days, and attacks on Christian astrologers are evidence of demand as much as control. A dead practice would not require centuries of polemic.</w:t>
      </w:r>
    </w:p>
    <w:p w14:paraId="75DD2E5D" w14:textId="77777777" w:rsidR="00DA7928" w:rsidRPr="00DA7928" w:rsidRDefault="00DA7928" w:rsidP="00DA7928">
      <w:pPr>
        <w:pStyle w:val="BookBody"/>
      </w:pPr>
      <w:r w:rsidRPr="00DA7928">
        <w:rPr>
          <w:szCs w:val="28"/>
        </w:rPr>
        <w:t>Hegedus documents a spectrum of Christian accommodation. Biblical narratives were read through astral motifs. The Magi could become wise astrologers led toward Christ. Revelation's woman clothed with the Sun, crowned with twelve stars, could invite zodiacal interpretation. Christian groups allegorized constellations. Some writers treated celestial bodies as instruments of providence or preserved a softened astrology compatible with a measure of freedom.</w:t>
      </w:r>
      <w:r w:rsidRPr="00DA7928">
        <w:rPr>
          <w:szCs w:val="28"/>
          <w:vertAlign w:val="superscript"/>
        </w:rPr>
        <w:t>27</w:t>
      </w:r>
    </w:p>
    <w:p w14:paraId="4148AF81" w14:textId="77777777" w:rsidR="00DA7928" w:rsidRPr="00DA7928" w:rsidRDefault="00DA7928" w:rsidP="00DA7928">
      <w:pPr>
        <w:pStyle w:val="BookBody"/>
      </w:pPr>
      <w:r w:rsidRPr="00DA7928">
        <w:rPr>
          <w:szCs w:val="28"/>
        </w:rPr>
        <w:t>Material culture also complicated doctrinal boundaries. Zodiacal images appeared in late antique and later Christian settings, sometimes as symbols of cosmic order, months, seasons, or Christ's dominion rather than as invitations to cast nativities. The same image could carry astrological, calendrical, artistic, and theological functions. Iconography did not disclose one fixed belief.</w:t>
      </w:r>
    </w:p>
    <w:p w14:paraId="1C81BC4F" w14:textId="77777777" w:rsidR="00DA7928" w:rsidRPr="00DA7928" w:rsidRDefault="00DA7928" w:rsidP="00DA7928">
      <w:pPr>
        <w:pStyle w:val="BookBody"/>
      </w:pPr>
      <w:r w:rsidRPr="00DA7928">
        <w:rPr>
          <w:szCs w:val="28"/>
        </w:rPr>
        <w:t>Even the critics could retain assumptions close to astrology. Origen's celestial writing, rational stars, and cosmic sympathy preserve more than a bare astronomy. Augustine accepts that stars may be signs in some learned theories, though he dismisses the distinction as unrepresentative of ordinary astrologers. Christian polemic often attacked “hard” determinism while leaving room for influences, correspondences, and providential signs.</w:t>
      </w:r>
    </w:p>
    <w:p w14:paraId="3821F160" w14:textId="77777777" w:rsidR="00DA7928" w:rsidRPr="00DA7928" w:rsidRDefault="00DA7928" w:rsidP="00DA7928">
      <w:pPr>
        <w:pStyle w:val="BookBody"/>
      </w:pPr>
      <w:r w:rsidRPr="00DA7928">
        <w:rPr>
          <w:szCs w:val="28"/>
        </w:rPr>
        <w:t>The boundary of orthodoxy was therefore drawn most firmly around coercive fate and illicit divination, not around every claim that heaven and earth correspond. Practices became suspect when they solicited demons, encouraged idolatry, commercialized foreknowledge, nullified prayer, or made moral conduct necessary. The line was unstable because the same technique could be redescribed as medicine, natural philosophy, calendar, omen, or providential reading.</w:t>
      </w:r>
    </w:p>
    <w:p w14:paraId="0935BF14" w14:textId="77777777" w:rsidR="00DA7928" w:rsidRPr="00DA7928" w:rsidRDefault="00DA7928" w:rsidP="00DA7928">
      <w:pPr>
        <w:pStyle w:val="BookBody"/>
      </w:pPr>
      <w:r w:rsidRPr="00DA7928">
        <w:rPr>
          <w:szCs w:val="28"/>
        </w:rPr>
        <w:t>Christianity did not kill astrology. It subordinated, pastoralized, prohibited, absorbed, and sometimes practiced it. Hegedus's conclusion is exact: early Christian attitudes ranged from condemnation to exploitation, and continued polemic witnesses to continuing Christian interest.</w:t>
      </w:r>
      <w:r w:rsidRPr="00DA7928">
        <w:rPr>
          <w:szCs w:val="28"/>
          <w:vertAlign w:val="superscript"/>
        </w:rPr>
        <w:t>28</w:t>
      </w:r>
      <w:r w:rsidRPr="00DA7928">
        <w:rPr>
          <w:szCs w:val="28"/>
        </w:rPr>
        <w:t xml:space="preserve"> The contested heavens survived because conversion changed the terms of their interpretation more quickly than it changed everyday habits.</w:t>
      </w:r>
    </w:p>
    <w:p w14:paraId="6DF01584" w14:textId="77777777" w:rsidR="00DA7928" w:rsidRPr="00DA7928" w:rsidRDefault="00DA7928" w:rsidP="00DA7928">
      <w:pPr>
        <w:pStyle w:val="SectionHeading"/>
      </w:pPr>
      <w:r w:rsidRPr="00DA7928">
        <w:rPr>
          <w:bCs/>
          <w:szCs w:val="28"/>
        </w:rPr>
        <w:t>Agency Enlarged</w:t>
      </w:r>
    </w:p>
    <w:p w14:paraId="2E764C16" w14:textId="77777777" w:rsidR="00DA7928" w:rsidRPr="00DA7928" w:rsidRDefault="00DA7928" w:rsidP="00DA7928">
      <w:pPr>
        <w:pStyle w:val="BookBody"/>
      </w:pPr>
      <w:r w:rsidRPr="00DA7928">
        <w:rPr>
          <w:szCs w:val="28"/>
        </w:rPr>
        <w:t>The rejection of astral determinism enlarged moral agency. A person was not reducible to a natal configuration. Repentance could interrupt habit. Baptism could relocate allegiance. Prayer could be an effective participation in providence. The poor, enslaved, foreign, or socially marginal person could not be assigned a lesser capacity for salvation by the hour of birth.</w:t>
      </w:r>
    </w:p>
    <w:p w14:paraId="0B51A776" w14:textId="77777777" w:rsidR="00DA7928" w:rsidRPr="00DA7928" w:rsidRDefault="00DA7928" w:rsidP="00DA7928">
      <w:pPr>
        <w:pStyle w:val="BookBody"/>
      </w:pPr>
      <w:r w:rsidRPr="00DA7928">
        <w:rPr>
          <w:szCs w:val="28"/>
        </w:rPr>
        <w:t>This enlargement had political implications even when Christian institutions failed to realize them. If stars did not authorize rank, imperial success and inherited status lost one form of cosmic legitimation. Firminus's story exposed the difference between a prosperous child and an enslaved child as historical rather than astronomical. Bardaisan's Christians could cross national customs. Paul's baptismal formula announced that ethnic, legal, and sexual distinctions could not determine belonging in Christ (Gal. 3:27-28).</w:t>
      </w:r>
    </w:p>
    <w:p w14:paraId="56920793" w14:textId="77777777" w:rsidR="00DA7928" w:rsidRPr="00DA7928" w:rsidRDefault="00DA7928" w:rsidP="00DA7928">
      <w:pPr>
        <w:pStyle w:val="BookBody"/>
      </w:pPr>
      <w:r w:rsidRPr="00DA7928">
        <w:rPr>
          <w:szCs w:val="28"/>
        </w:rPr>
        <w:t>But agency was not evenly distributed or simply liberated. Churches disciplined bodies, defined legitimate belief, and classified rival practices as demonic. Augustine's defense of freedom coexisted with severe doctrines of grace and a Christian empire. Baptism transferred allegiance into an institution as well as into Christ. The denial of astral fate could strengthen clerical authority over which signs and mediations were licit.</w:t>
      </w:r>
    </w:p>
    <w:p w14:paraId="3B396499" w14:textId="77777777" w:rsidR="00DA7928" w:rsidRPr="00DA7928" w:rsidRDefault="00DA7928" w:rsidP="00DA7928">
      <w:pPr>
        <w:pStyle w:val="BookBody"/>
      </w:pPr>
      <w:r w:rsidRPr="00DA7928">
        <w:rPr>
          <w:szCs w:val="28"/>
        </w:rPr>
        <w:t>Nor did anti-fatalism produce the modern self. The person remained constituted by creator, body, family, Church, Scripture, sacrament, angels, demons, habits, and providence. Freedom was the capacity to answer within relations, not to stand outside them. Christianity enlarged agency by denying one totalizing cosmic cause, not by declaring the individual causally self-sufficient.</w:t>
      </w:r>
    </w:p>
    <w:p w14:paraId="23D52563" w14:textId="77777777" w:rsidR="00DA7928" w:rsidRPr="00DA7928" w:rsidRDefault="00DA7928" w:rsidP="00DA7928">
      <w:pPr>
        <w:pStyle w:val="BookBody"/>
      </w:pPr>
      <w:r w:rsidRPr="00DA7928">
        <w:rPr>
          <w:szCs w:val="28"/>
        </w:rPr>
        <w:t>That difference protects the analysis from triumphalism. The contest with fate was a genuine liberation from naturalized destiny. It was also a redistribution of power. Authority moved from horoscope toward conscience, sacrament, pastoral judgment, Scripture, and providence. Some of those authorities could themselves become coercive.</w:t>
      </w:r>
    </w:p>
    <w:p w14:paraId="43081EB5" w14:textId="77777777" w:rsidR="00DA7928" w:rsidRPr="00DA7928" w:rsidRDefault="00DA7928" w:rsidP="00DA7928">
      <w:pPr>
        <w:pStyle w:val="SectionHeading"/>
      </w:pPr>
      <w:r w:rsidRPr="00DA7928">
        <w:rPr>
          <w:bCs/>
          <w:szCs w:val="28"/>
        </w:rPr>
        <w:t>The Heavens Diminished</w:t>
      </w:r>
    </w:p>
    <w:p w14:paraId="298ED421" w14:textId="77777777" w:rsidR="00DA7928" w:rsidRPr="00DA7928" w:rsidRDefault="00DA7928" w:rsidP="00DA7928">
      <w:pPr>
        <w:pStyle w:val="BookBody"/>
      </w:pPr>
      <w:r w:rsidRPr="00DA7928">
        <w:rPr>
          <w:szCs w:val="28"/>
        </w:rPr>
        <w:t>Every reorganization has a cost. By concentrating cosmic unity in Christ and denying intrinsic astral rule, Christianity began a long diminution of the heavens as agents of fate. The stars remained glorious creatures, signs, clocks, and possible instruments. They increasingly ceased to be persons or gods whose intentions explained human history.</w:t>
      </w:r>
    </w:p>
    <w:p w14:paraId="676CCFAD" w14:textId="77777777" w:rsidR="00DA7928" w:rsidRPr="00DA7928" w:rsidRDefault="00DA7928" w:rsidP="00DA7928">
      <w:pPr>
        <w:pStyle w:val="BookBody"/>
      </w:pPr>
      <w:r w:rsidRPr="00DA7928">
        <w:rPr>
          <w:szCs w:val="28"/>
        </w:rPr>
        <w:t>This was not yet the death of the living cosmos. Origen could imagine rational stars. Angels could administer cosmic regions. Liturgies addressed creation as a choir. Relics, water, oil, bread, wine, direction, and time bore spiritual force. Providence saturated events. A medieval Christian cosmos would become more hierarchical and symbolically alive, not less.</w:t>
      </w:r>
    </w:p>
    <w:p w14:paraId="546809F2" w14:textId="77777777" w:rsidR="00DA7928" w:rsidRPr="00DA7928" w:rsidRDefault="00DA7928" w:rsidP="00DA7928">
      <w:pPr>
        <w:pStyle w:val="BookBody"/>
      </w:pPr>
      <w:r w:rsidRPr="00DA7928">
        <w:rPr>
          <w:szCs w:val="28"/>
        </w:rPr>
        <w:t>The diminution was narrower and more consequential. The heavens lost the right to narrate the person from birth to death. Their motions could no longer provide a complete moral biography. Salvation entered from beyond the astral order through incarnation and grace. The most decisive event in the cosmos occurred not in a repeating conjunction but in the unrepeatable history of Jesus.</w:t>
      </w:r>
    </w:p>
    <w:p w14:paraId="36526A8C" w14:textId="77777777" w:rsidR="00DA7928" w:rsidRPr="00DA7928" w:rsidRDefault="00DA7928" w:rsidP="00DA7928">
      <w:pPr>
        <w:pStyle w:val="BookBody"/>
      </w:pPr>
      <w:r w:rsidRPr="00DA7928">
        <w:rPr>
          <w:szCs w:val="28"/>
        </w:rPr>
        <w:t>Historical uniqueness now pressed against cosmic recurrence. Planetary cycles return; Christ dies and rises “once.” The liturgical year repeats that event without making it a natural cycle. Christian time therefore combines recurrence and interruption. The cosmos supplies the rhythm, but revelation supplies the center.</w:t>
      </w:r>
    </w:p>
    <w:p w14:paraId="12CE4A57" w14:textId="77777777" w:rsidR="00DA7928" w:rsidRPr="00DA7928" w:rsidRDefault="00DA7928" w:rsidP="00DA7928">
      <w:pPr>
        <w:pStyle w:val="BookBody"/>
      </w:pPr>
      <w:r w:rsidRPr="00DA7928">
        <w:rPr>
          <w:szCs w:val="28"/>
        </w:rPr>
        <w:t>Over centuries, this asymmetry could make celestial meaning more derivative. If stars signify only because God appoints them, and if their deepest message is already disclosed in Christ, then interpretive attention may shift from heaven toward text, institution, history, and inward assent. The world remains meaningful, but its meaning increasingly arrives from a transcendent source rather than arising as the intrinsic speech of celestial powers.</w:t>
      </w:r>
    </w:p>
    <w:p w14:paraId="0F06980B" w14:textId="77777777" w:rsidR="00DA7928" w:rsidRPr="00DA7928" w:rsidRDefault="00DA7928" w:rsidP="00DA7928">
      <w:pPr>
        <w:pStyle w:val="BookBody"/>
      </w:pPr>
      <w:r w:rsidRPr="00DA7928">
        <w:rPr>
          <w:szCs w:val="28"/>
        </w:rPr>
        <w:t>The path from that shift to modern mechanism is neither straight nor inevitable. Medieval astrology flourished in Christian, Jewish, and Islamic societies. Theological distinctions enabled sophisticated theories of celestial causation. Yet the conceptual limit was durable: stars may incline, signify, or act on bodies; they may not necessitate the rational will or confer grace. The heavens live under permission.</w:t>
      </w:r>
    </w:p>
    <w:p w14:paraId="0B038676" w14:textId="77777777" w:rsidR="00DA7928" w:rsidRPr="00DA7928" w:rsidRDefault="00DA7928" w:rsidP="00DA7928">
      <w:pPr>
        <w:pStyle w:val="SectionHeading"/>
      </w:pPr>
      <w:r w:rsidRPr="00DA7928">
        <w:rPr>
          <w:bCs/>
          <w:szCs w:val="28"/>
        </w:rPr>
        <w:t>What Christianity Preserved</w:t>
      </w:r>
    </w:p>
    <w:p w14:paraId="214A13A4" w14:textId="77777777" w:rsidR="00DA7928" w:rsidRPr="00DA7928" w:rsidRDefault="00DA7928" w:rsidP="00DA7928">
      <w:pPr>
        <w:pStyle w:val="BookBody"/>
      </w:pPr>
      <w:r w:rsidRPr="00DA7928">
        <w:rPr>
          <w:szCs w:val="28"/>
        </w:rPr>
        <w:t xml:space="preserve">The Christian contest with fate preserved four features of the living cosmos. It preserved </w:t>
      </w:r>
      <w:r w:rsidRPr="00DA7928">
        <w:rPr>
          <w:b/>
          <w:szCs w:val="28"/>
        </w:rPr>
        <w:t>mediation</w:t>
      </w:r>
      <w:r w:rsidRPr="00DA7928">
        <w:rPr>
          <w:szCs w:val="28"/>
        </w:rPr>
        <w:t xml:space="preserve">: God acts through Word, Spirit, angels, sacraments, communities, and created causes. It preserved </w:t>
      </w:r>
      <w:r w:rsidRPr="00DA7928">
        <w:rPr>
          <w:b/>
          <w:szCs w:val="28"/>
        </w:rPr>
        <w:t>signification</w:t>
      </w:r>
      <w:r w:rsidRPr="00DA7928">
        <w:rPr>
          <w:szCs w:val="28"/>
        </w:rPr>
        <w:t xml:space="preserve">: stars, water, light, oil, bread, wine, direction, and time can point beyond themselves. It preserved </w:t>
      </w:r>
      <w:r w:rsidRPr="00DA7928">
        <w:rPr>
          <w:b/>
          <w:szCs w:val="28"/>
        </w:rPr>
        <w:t>cosmic participation</w:t>
      </w:r>
      <w:r w:rsidRPr="00DA7928">
        <w:rPr>
          <w:szCs w:val="28"/>
        </w:rPr>
        <w:t xml:space="preserve">: creation groans, praises, waits, and is reconciled. It preserved </w:t>
      </w:r>
      <w:r w:rsidRPr="00DA7928">
        <w:rPr>
          <w:b/>
          <w:szCs w:val="28"/>
        </w:rPr>
        <w:t>hierarchy</w:t>
      </w:r>
      <w:r w:rsidRPr="00DA7928">
        <w:rPr>
          <w:szCs w:val="28"/>
        </w:rPr>
        <w:t>: visible and invisible beings possess different powers and vocations within one order.</w:t>
      </w:r>
    </w:p>
    <w:p w14:paraId="31E04BF4" w14:textId="77777777" w:rsidR="00DA7928" w:rsidRPr="00DA7928" w:rsidRDefault="00DA7928" w:rsidP="00DA7928">
      <w:pPr>
        <w:pStyle w:val="BookBody"/>
      </w:pPr>
      <w:r w:rsidRPr="00DA7928">
        <w:rPr>
          <w:szCs w:val="28"/>
        </w:rPr>
        <w:t>It transformed each feature by denying ultimacy to the mediator. Christ is not one intermediary among others but the incarnate Logos through whom the others exist. A sign does not control what it signifies. Participation does not erase the creator-creature difference. Hierarchy does not grant any creature the authority to determine salvation.</w:t>
      </w:r>
    </w:p>
    <w:p w14:paraId="04CE8D29" w14:textId="77777777" w:rsidR="00DA7928" w:rsidRPr="00DA7928" w:rsidRDefault="00DA7928" w:rsidP="00DA7928">
      <w:pPr>
        <w:pStyle w:val="BookBody"/>
      </w:pPr>
      <w:r w:rsidRPr="00DA7928">
        <w:rPr>
          <w:szCs w:val="28"/>
        </w:rPr>
        <w:t>Christianity also placed mediation under an eschatological limit. Paul contrasts present knowledge “in part” and sight through a mirror with the promised “face to face,” when faith and hope yield to love (1 Cor. 13:8-13). Sign, sacrament, calendar, angel, text, and institution remain necessary within history and public life, but none is the fullness it bears. Their truth lies partly in becoming transparent to communion rather than making themselves permanently indispensable. The possible fulfillment of mediation does not abolish its public necessity; it denies that any historical mediator may identify itself with the end.</w:t>
      </w:r>
    </w:p>
    <w:p w14:paraId="030A163F" w14:textId="77777777" w:rsidR="00DA7928" w:rsidRPr="00DA7928" w:rsidRDefault="00DA7928" w:rsidP="00DA7928">
      <w:pPr>
        <w:pStyle w:val="BookBody"/>
      </w:pPr>
      <w:r w:rsidRPr="00DA7928">
        <w:rPr>
          <w:szCs w:val="28"/>
        </w:rPr>
        <w:t>Providence names the transformed unity. It is not the hidden machinery behind appearances or a celestial bureaucracy that renders prayer absurd. It is the creator's wise relation to a world of genuine secondary causes and vulnerable freedoms. Because providence is personal without being arbitrary, creation can be ordered without being closed.</w:t>
      </w:r>
    </w:p>
    <w:p w14:paraId="350412C7" w14:textId="77777777" w:rsidR="00DA7928" w:rsidRPr="00DA7928" w:rsidRDefault="00DA7928" w:rsidP="00DA7928">
      <w:pPr>
        <w:pStyle w:val="BookBody"/>
      </w:pPr>
      <w:r w:rsidRPr="00DA7928">
        <w:rPr>
          <w:szCs w:val="28"/>
        </w:rPr>
        <w:t>Recapitulation names the transformed history. Christ gathers the visible and invisible, bodily and spiritual, past and future without dissolving their difference. Incarnation validates creaturely mediation; cross and resurrection judge every claim that existing power is destiny. The cosmos becomes one not by obeying a chain of fate but by being reconciled under a head.</w:t>
      </w:r>
    </w:p>
    <w:p w14:paraId="7851365B" w14:textId="77777777" w:rsidR="00DA7928" w:rsidRPr="00DA7928" w:rsidRDefault="00DA7928" w:rsidP="00DA7928">
      <w:pPr>
        <w:pStyle w:val="BookBody"/>
      </w:pPr>
      <w:r w:rsidRPr="00DA7928">
        <w:rPr>
          <w:szCs w:val="28"/>
        </w:rPr>
        <w:t>Baptism names the transformed allegiance. A body turns, renounces, believes, enters water, and joins a people. The act refuses hostile powers while entrusting freedom to grace. The calendar names the transformed recurrence. Planetary and seasonal cycles remain, but they are crossed by resurrection and trained to remember.</w:t>
      </w:r>
    </w:p>
    <w:p w14:paraId="5E9F3EA3" w14:textId="77777777" w:rsidR="00DA7928" w:rsidRPr="00DA7928" w:rsidRDefault="00DA7928" w:rsidP="00DA7928">
      <w:pPr>
        <w:pStyle w:val="BookBody"/>
      </w:pPr>
      <w:r w:rsidRPr="00DA7928">
        <w:rPr>
          <w:szCs w:val="28"/>
        </w:rPr>
        <w:t>The result is neither the ancient divine cosmos nor the modern operational world. It is a contested creation: alive with powers, signs, and sacraments; governed by providence; open to agency; and centered on a historical incarnation. Its tensions will generate centuries of argument.</w:t>
      </w:r>
    </w:p>
    <w:p w14:paraId="1E32DD8A" w14:textId="77777777" w:rsidR="00DA7928" w:rsidRPr="00DA7928" w:rsidRDefault="00DA7928" w:rsidP="00DA7928">
      <w:pPr>
        <w:pStyle w:val="SectionHeading"/>
      </w:pPr>
      <w:r w:rsidRPr="00DA7928">
        <w:rPr>
          <w:bCs/>
          <w:szCs w:val="28"/>
        </w:rPr>
        <w:t>The Contested Heavens Move East</w:t>
      </w:r>
    </w:p>
    <w:p w14:paraId="2069C74F" w14:textId="77777777" w:rsidR="00DA7928" w:rsidRPr="00DA7928" w:rsidRDefault="00DA7928" w:rsidP="00DA7928">
      <w:pPr>
        <w:pStyle w:val="BookBody"/>
      </w:pPr>
      <w:r w:rsidRPr="00DA7928">
        <w:rPr>
          <w:szCs w:val="28"/>
        </w:rPr>
        <w:t>The next phase cannot be told as the internal development of Latin Christianity. Astral sciences moved through Syriac, Persian, Indian, Arabic, Greek, Hebrew, and Latin worlds. Christian, Muslim, Jewish, and other scholars translated texts, built tables, criticized techniques, and refined distinctions among mathematics, natural causation, divination, and providence.</w:t>
      </w:r>
    </w:p>
    <w:p w14:paraId="150FE2D1" w14:textId="77777777" w:rsidR="00DA7928" w:rsidRPr="00DA7928" w:rsidRDefault="00DA7928" w:rsidP="00DA7928">
      <w:pPr>
        <w:pStyle w:val="BookBody"/>
      </w:pPr>
      <w:r w:rsidRPr="00DA7928">
        <w:rPr>
          <w:szCs w:val="28"/>
        </w:rPr>
        <w:t>The Christian hinge nevertheless prepared several questions that would travel. Can celestial bodies act as secondary causes without compromising divine freedom? Does foreknowledge cause the event known? Are stars signs, instruments, rational beings, or bodies? Where does natural influence end and coercion begin? Can an astrologer predict bodily disposition while leaving the rational soul free? Which forms of astral knowledge are science, and which are illicit claims to the future?</w:t>
      </w:r>
    </w:p>
    <w:p w14:paraId="1D7D197C" w14:textId="77777777" w:rsidR="00DA7928" w:rsidRPr="00DA7928" w:rsidRDefault="00DA7928" w:rsidP="00DA7928">
      <w:pPr>
        <w:pStyle w:val="BookBody"/>
      </w:pPr>
      <w:r w:rsidRPr="00DA7928">
        <w:rPr>
          <w:szCs w:val="28"/>
        </w:rPr>
        <w:t>Islamic thinkers would not merely inherit Christian answers. They would work within Qur'anic creation, prophetic traditions, philosophical translations, imperial patronage, observational programs, and debates internal to Islam. Indian and Persian materials would alter the Greek archive. Astronomy and astrology would develop together even as critics tried to separate valid calculation from divinatory excess.</w:t>
      </w:r>
    </w:p>
    <w:p w14:paraId="63476E4E" w14:textId="77777777" w:rsidR="00DA7928" w:rsidRPr="00DA7928" w:rsidRDefault="00DA7928" w:rsidP="00DA7928">
      <w:pPr>
        <w:pStyle w:val="BookBody"/>
      </w:pPr>
      <w:r w:rsidRPr="00DA7928">
        <w:rPr>
          <w:szCs w:val="28"/>
        </w:rPr>
        <w:t>The heavens that pass into that world are neither pagan gods nor dead matter. They are created, mathematically ordered, religiously disputed, and practically useful. Christianity's contest with fate has removed their absolute sovereignty without ending their authority. The living cosmos survives as a problem: how can the sky be meaningful, causal, and legible without becoming the master of human freedom?</w:t>
      </w:r>
    </w:p>
    <w:p w14:paraId="465F9262" w14:textId="77777777" w:rsidR="00DA7928" w:rsidRPr="00DA7928" w:rsidRDefault="00DA7928" w:rsidP="00DA7928">
      <w:pPr>
        <w:pStyle w:val="NotesHeading"/>
      </w:pPr>
      <w:r w:rsidRPr="00DA7928">
        <w:rPr>
          <w:bCs/>
          <w:szCs w:val="28"/>
        </w:rPr>
        <w:t>Notes</w:t>
      </w:r>
    </w:p>
    <w:p w14:paraId="5B7F9098" w14:textId="77777777" w:rsidR="00DA7928" w:rsidRPr="00DA7928" w:rsidRDefault="00DA7928" w:rsidP="00DA7928">
      <w:pPr>
        <w:pStyle w:val="NoteEntry"/>
      </w:pPr>
      <w:r w:rsidRPr="00DA7928">
        <w:rPr>
          <w:szCs w:val="28"/>
        </w:rPr>
        <w:t xml:space="preserve">1. Gregory Dix, ed. and trans., </w:t>
      </w:r>
      <w:r w:rsidRPr="00DA7928">
        <w:rPr>
          <w:i/>
          <w:szCs w:val="28"/>
        </w:rPr>
        <w:t>The Treatise on the Apostolic Tradition of St Hippolytus of Rome</w:t>
      </w:r>
      <w:r w:rsidRPr="00DA7928">
        <w:rPr>
          <w:szCs w:val="28"/>
        </w:rPr>
        <w:t xml:space="preserve"> (London: SPCK, 1937), xxi.7-15, pp. 33-36. The explicit west-east movement appears in some textual strands and later rites; the core renunciation formula is secure in the tradition represented here.</w:t>
      </w:r>
    </w:p>
    <w:p w14:paraId="47DAECA3" w14:textId="77777777" w:rsidR="00DA7928" w:rsidRPr="00DA7928" w:rsidRDefault="00DA7928" w:rsidP="00DA7928">
      <w:pPr>
        <w:pStyle w:val="NoteEntry"/>
      </w:pPr>
      <w:r w:rsidRPr="00DA7928">
        <w:rPr>
          <w:szCs w:val="28"/>
        </w:rPr>
        <w:t xml:space="preserve">2. Tim Hegedus, </w:t>
      </w:r>
      <w:r w:rsidRPr="00DA7928">
        <w:rPr>
          <w:i/>
          <w:szCs w:val="28"/>
        </w:rPr>
        <w:t>Early Christianity and Ancient Astrology</w:t>
      </w:r>
      <w:r w:rsidRPr="00DA7928">
        <w:rPr>
          <w:szCs w:val="28"/>
        </w:rPr>
        <w:t>, Patristic Studies 6 (New York: Peter Lang, 2007), 1-23.</w:t>
      </w:r>
    </w:p>
    <w:p w14:paraId="34B505C1" w14:textId="77777777" w:rsidR="00DA7928" w:rsidRPr="00DA7928" w:rsidRDefault="00DA7928" w:rsidP="00DA7928">
      <w:pPr>
        <w:pStyle w:val="NoteEntry"/>
      </w:pPr>
      <w:r w:rsidRPr="00DA7928">
        <w:rPr>
          <w:szCs w:val="28"/>
        </w:rPr>
        <w:t xml:space="preserve">3. Colossians 1:15-20. Biblical quotations and references follow the </w:t>
      </w:r>
      <w:r w:rsidRPr="00DA7928">
        <w:rPr>
          <w:i/>
          <w:szCs w:val="28"/>
        </w:rPr>
        <w:t>New Revised Standard Version Bible with the Apocrypha</w:t>
      </w:r>
      <w:r w:rsidRPr="00DA7928">
        <w:rPr>
          <w:szCs w:val="28"/>
        </w:rPr>
        <w:t xml:space="preserve"> unless otherwise noted.</w:t>
      </w:r>
    </w:p>
    <w:p w14:paraId="1FAA7D1B" w14:textId="77777777" w:rsidR="00DA7928" w:rsidRPr="00DA7928" w:rsidRDefault="00DA7928" w:rsidP="00DA7928">
      <w:pPr>
        <w:pStyle w:val="NoteEntry"/>
      </w:pPr>
      <w:r w:rsidRPr="00DA7928">
        <w:rPr>
          <w:szCs w:val="28"/>
        </w:rPr>
        <w:t xml:space="preserve">4. George H. van Kooten, </w:t>
      </w:r>
      <w:r w:rsidRPr="00DA7928">
        <w:rPr>
          <w:i/>
          <w:szCs w:val="28"/>
        </w:rPr>
        <w:t>Cosmic Christology in Paul and the Pauline School: Colossians and Ephesians in the Context of Graeco-Roman Cosmology</w:t>
      </w:r>
      <w:r w:rsidRPr="00DA7928">
        <w:rPr>
          <w:szCs w:val="28"/>
        </w:rPr>
        <w:t xml:space="preserve"> (Tübingen: Mohr Siebeck, 2003), 1-30, 129-49, 205-9.</w:t>
      </w:r>
    </w:p>
    <w:p w14:paraId="6A8E2CED" w14:textId="77777777" w:rsidR="00DA7928" w:rsidRPr="00DA7928" w:rsidRDefault="00DA7928" w:rsidP="00DA7928">
      <w:pPr>
        <w:pStyle w:val="NoteEntry"/>
      </w:pPr>
      <w:r w:rsidRPr="00DA7928">
        <w:rPr>
          <w:szCs w:val="28"/>
        </w:rPr>
        <w:t xml:space="preserve">5. Romans 8:18-39; van Kooten, </w:t>
      </w:r>
      <w:r w:rsidRPr="00DA7928">
        <w:rPr>
          <w:i/>
          <w:szCs w:val="28"/>
        </w:rPr>
        <w:t>Cosmic Christology</w:t>
      </w:r>
      <w:r w:rsidRPr="00DA7928">
        <w:rPr>
          <w:szCs w:val="28"/>
        </w:rPr>
        <w:t>, 85-102, 181-92.</w:t>
      </w:r>
    </w:p>
    <w:p w14:paraId="6B5E822C" w14:textId="77777777" w:rsidR="00DA7928" w:rsidRPr="00DA7928" w:rsidRDefault="00DA7928" w:rsidP="00DA7928">
      <w:pPr>
        <w:pStyle w:val="NoteEntry"/>
      </w:pPr>
      <w:r w:rsidRPr="00DA7928">
        <w:rPr>
          <w:szCs w:val="28"/>
        </w:rPr>
        <w:t>6. John 1:1-18.</w:t>
      </w:r>
    </w:p>
    <w:p w14:paraId="23B4B86A" w14:textId="77777777" w:rsidR="00DA7928" w:rsidRPr="00DA7928" w:rsidRDefault="00DA7928" w:rsidP="00DA7928">
      <w:pPr>
        <w:pStyle w:val="NoteEntry"/>
      </w:pPr>
      <w:r w:rsidRPr="00DA7928">
        <w:rPr>
          <w:szCs w:val="28"/>
        </w:rPr>
        <w:t xml:space="preserve">7. Irenaeus, </w:t>
      </w:r>
      <w:r w:rsidRPr="00DA7928">
        <w:rPr>
          <w:i/>
          <w:szCs w:val="28"/>
        </w:rPr>
        <w:t>Against Heresies</w:t>
      </w:r>
      <w:r w:rsidRPr="00DA7928">
        <w:rPr>
          <w:szCs w:val="28"/>
        </w:rPr>
        <w:t xml:space="preserve"> III.16.6-9; V.20.1-2.</w:t>
      </w:r>
    </w:p>
    <w:p w14:paraId="671379AC" w14:textId="77777777" w:rsidR="00DA7928" w:rsidRPr="00DA7928" w:rsidRDefault="00DA7928" w:rsidP="00DA7928">
      <w:pPr>
        <w:pStyle w:val="NoteEntry"/>
      </w:pPr>
      <w:r w:rsidRPr="00DA7928">
        <w:rPr>
          <w:szCs w:val="28"/>
        </w:rPr>
        <w:t xml:space="preserve">8. Irenaeus, </w:t>
      </w:r>
      <w:r w:rsidRPr="00DA7928">
        <w:rPr>
          <w:i/>
          <w:szCs w:val="28"/>
        </w:rPr>
        <w:t>Against Heresies</w:t>
      </w:r>
      <w:r w:rsidRPr="00DA7928">
        <w:rPr>
          <w:szCs w:val="28"/>
        </w:rPr>
        <w:t xml:space="preserve"> III.16.6; III.18.1, 7; III.21.10; V.20.2.</w:t>
      </w:r>
    </w:p>
    <w:p w14:paraId="712F9A0B" w14:textId="77777777" w:rsidR="00DA7928" w:rsidRPr="00DA7928" w:rsidRDefault="00DA7928" w:rsidP="00DA7928">
      <w:pPr>
        <w:pStyle w:val="NoteEntry"/>
      </w:pPr>
      <w:r w:rsidRPr="00DA7928">
        <w:rPr>
          <w:szCs w:val="28"/>
        </w:rPr>
        <w:t xml:space="preserve">9. Hegedus, </w:t>
      </w:r>
      <w:r w:rsidRPr="00DA7928">
        <w:rPr>
          <w:i/>
          <w:szCs w:val="28"/>
        </w:rPr>
        <w:t>Early Christianity and Ancient Astrology</w:t>
      </w:r>
      <w:r w:rsidRPr="00DA7928">
        <w:rPr>
          <w:szCs w:val="28"/>
        </w:rPr>
        <w:t>, 23-124.</w:t>
      </w:r>
    </w:p>
    <w:p w14:paraId="4A357AAD" w14:textId="77777777" w:rsidR="00DA7928" w:rsidRPr="00DA7928" w:rsidRDefault="00DA7928" w:rsidP="00DA7928">
      <w:pPr>
        <w:pStyle w:val="NoteEntry"/>
      </w:pPr>
      <w:r w:rsidRPr="00DA7928">
        <w:rPr>
          <w:szCs w:val="28"/>
        </w:rPr>
        <w:t xml:space="preserve">10. Hegedus, </w:t>
      </w:r>
      <w:r w:rsidRPr="00DA7928">
        <w:rPr>
          <w:i/>
          <w:szCs w:val="28"/>
        </w:rPr>
        <w:t>Early Christianity and Ancient Astrology</w:t>
      </w:r>
      <w:r w:rsidRPr="00DA7928">
        <w:rPr>
          <w:szCs w:val="28"/>
        </w:rPr>
        <w:t>, 29-41, 371-73.</w:t>
      </w:r>
    </w:p>
    <w:p w14:paraId="00B0213C" w14:textId="77777777" w:rsidR="00DA7928" w:rsidRPr="00DA7928" w:rsidRDefault="00DA7928" w:rsidP="00DA7928">
      <w:pPr>
        <w:pStyle w:val="NoteEntry"/>
      </w:pPr>
      <w:r w:rsidRPr="00DA7928">
        <w:rPr>
          <w:szCs w:val="28"/>
        </w:rPr>
        <w:t xml:space="preserve">11. Tertullian, </w:t>
      </w:r>
      <w:r w:rsidRPr="00DA7928">
        <w:rPr>
          <w:i/>
          <w:szCs w:val="28"/>
        </w:rPr>
        <w:t>On Idolatry</w:t>
      </w:r>
      <w:r w:rsidRPr="00DA7928">
        <w:rPr>
          <w:szCs w:val="28"/>
        </w:rPr>
        <w:t xml:space="preserve"> 9; Tatian, </w:t>
      </w:r>
      <w:r w:rsidRPr="00DA7928">
        <w:rPr>
          <w:i/>
          <w:szCs w:val="28"/>
        </w:rPr>
        <w:t>Address to the Greeks</w:t>
      </w:r>
      <w:r w:rsidRPr="00DA7928">
        <w:rPr>
          <w:szCs w:val="28"/>
        </w:rPr>
        <w:t xml:space="preserve"> 8-11; Hegedus, </w:t>
      </w:r>
      <w:r w:rsidRPr="00DA7928">
        <w:rPr>
          <w:i/>
          <w:szCs w:val="28"/>
        </w:rPr>
        <w:t>Early Christianity and Ancient Astrology</w:t>
      </w:r>
      <w:r w:rsidRPr="00DA7928">
        <w:rPr>
          <w:szCs w:val="28"/>
        </w:rPr>
        <w:t>, 125-37, 165-71.</w:t>
      </w:r>
    </w:p>
    <w:p w14:paraId="7FF79ADD" w14:textId="77777777" w:rsidR="00DA7928" w:rsidRPr="00DA7928" w:rsidRDefault="00DA7928" w:rsidP="00DA7928">
      <w:pPr>
        <w:pStyle w:val="NoteEntry"/>
      </w:pPr>
      <w:r w:rsidRPr="00DA7928">
        <w:rPr>
          <w:szCs w:val="28"/>
        </w:rPr>
        <w:t xml:space="preserve">12. Bardaisan, </w:t>
      </w:r>
      <w:r w:rsidRPr="00DA7928">
        <w:rPr>
          <w:i/>
          <w:szCs w:val="28"/>
        </w:rPr>
        <w:t>Book of the Laws of Countries</w:t>
      </w:r>
      <w:r w:rsidRPr="00DA7928">
        <w:rPr>
          <w:szCs w:val="28"/>
        </w:rPr>
        <w:t xml:space="preserve">, in Hegedus, </w:t>
      </w:r>
      <w:r w:rsidRPr="00DA7928">
        <w:rPr>
          <w:i/>
          <w:szCs w:val="28"/>
        </w:rPr>
        <w:t>Early Christianity and Ancient Astrology</w:t>
      </w:r>
      <w:r w:rsidRPr="00DA7928">
        <w:rPr>
          <w:szCs w:val="28"/>
        </w:rPr>
        <w:t>, 85, 91-99, 261-73.</w:t>
      </w:r>
    </w:p>
    <w:p w14:paraId="58FD0699" w14:textId="77777777" w:rsidR="00DA7928" w:rsidRPr="00DA7928" w:rsidRDefault="00DA7928" w:rsidP="00DA7928">
      <w:pPr>
        <w:pStyle w:val="NoteEntry"/>
      </w:pPr>
      <w:r w:rsidRPr="00DA7928">
        <w:rPr>
          <w:szCs w:val="28"/>
        </w:rPr>
        <w:t xml:space="preserve">13. Origen, </w:t>
      </w:r>
      <w:r w:rsidRPr="00DA7928">
        <w:rPr>
          <w:i/>
          <w:szCs w:val="28"/>
        </w:rPr>
        <w:t>On Prayer</w:t>
      </w:r>
      <w:r w:rsidRPr="00DA7928">
        <w:rPr>
          <w:szCs w:val="28"/>
        </w:rPr>
        <w:t xml:space="preserve"> 4-7, especially 4, in </w:t>
      </w:r>
      <w:r w:rsidRPr="00DA7928">
        <w:rPr>
          <w:i/>
          <w:szCs w:val="28"/>
        </w:rPr>
        <w:t>Origen Collection: On Prayer and the Philocalia</w:t>
      </w:r>
      <w:r w:rsidRPr="00DA7928">
        <w:rPr>
          <w:szCs w:val="28"/>
        </w:rPr>
        <w:t xml:space="preserve"> (Aeterna Press, 2016).</w:t>
      </w:r>
    </w:p>
    <w:p w14:paraId="7DF2F9C3" w14:textId="77777777" w:rsidR="00DA7928" w:rsidRPr="00DA7928" w:rsidRDefault="00DA7928" w:rsidP="00DA7928">
      <w:pPr>
        <w:pStyle w:val="NoteEntry"/>
      </w:pPr>
      <w:r w:rsidRPr="00DA7928">
        <w:rPr>
          <w:szCs w:val="28"/>
        </w:rPr>
        <w:t xml:space="preserve">14. Origen, </w:t>
      </w:r>
      <w:r w:rsidRPr="00DA7928">
        <w:rPr>
          <w:i/>
          <w:szCs w:val="28"/>
        </w:rPr>
        <w:t>Philocalia</w:t>
      </w:r>
      <w:r w:rsidRPr="00DA7928">
        <w:rPr>
          <w:szCs w:val="28"/>
        </w:rPr>
        <w:t xml:space="preserve"> 23.3-13.</w:t>
      </w:r>
    </w:p>
    <w:p w14:paraId="6D64BA67" w14:textId="77777777" w:rsidR="00DA7928" w:rsidRPr="00DA7928" w:rsidRDefault="00DA7928" w:rsidP="00DA7928">
      <w:pPr>
        <w:pStyle w:val="NoteEntry"/>
      </w:pPr>
      <w:r w:rsidRPr="00DA7928">
        <w:rPr>
          <w:szCs w:val="28"/>
        </w:rPr>
        <w:t xml:space="preserve">15. Origen, </w:t>
      </w:r>
      <w:r w:rsidRPr="00DA7928">
        <w:rPr>
          <w:i/>
          <w:szCs w:val="28"/>
        </w:rPr>
        <w:t>Philocalia</w:t>
      </w:r>
      <w:r w:rsidRPr="00DA7928">
        <w:rPr>
          <w:szCs w:val="28"/>
        </w:rPr>
        <w:t xml:space="preserve"> 23.1-19.</w:t>
      </w:r>
    </w:p>
    <w:p w14:paraId="4C4FF854" w14:textId="77777777" w:rsidR="00DA7928" w:rsidRPr="00DA7928" w:rsidRDefault="00DA7928" w:rsidP="00DA7928">
      <w:pPr>
        <w:pStyle w:val="NoteEntry"/>
      </w:pPr>
      <w:r w:rsidRPr="00DA7928">
        <w:rPr>
          <w:szCs w:val="28"/>
        </w:rPr>
        <w:t xml:space="preserve">16. Hegedus, </w:t>
      </w:r>
      <w:r w:rsidRPr="00DA7928">
        <w:rPr>
          <w:i/>
          <w:szCs w:val="28"/>
        </w:rPr>
        <w:t>Early Christianity and Ancient Astrology</w:t>
      </w:r>
      <w:r w:rsidRPr="00DA7928">
        <w:rPr>
          <w:szCs w:val="28"/>
        </w:rPr>
        <w:t>, 329-37.</w:t>
      </w:r>
    </w:p>
    <w:p w14:paraId="32F6928C" w14:textId="77777777" w:rsidR="00DA7928" w:rsidRPr="00DA7928" w:rsidRDefault="00DA7928" w:rsidP="00DA7928">
      <w:pPr>
        <w:pStyle w:val="NoteEntry"/>
      </w:pPr>
      <w:r w:rsidRPr="00DA7928">
        <w:rPr>
          <w:szCs w:val="28"/>
        </w:rPr>
        <w:t xml:space="preserve">17. Origen, </w:t>
      </w:r>
      <w:r w:rsidRPr="00DA7928">
        <w:rPr>
          <w:i/>
          <w:szCs w:val="28"/>
        </w:rPr>
        <w:t>Against Celsus</w:t>
      </w:r>
      <w:r w:rsidRPr="00DA7928">
        <w:rPr>
          <w:szCs w:val="28"/>
        </w:rPr>
        <w:t xml:space="preserve"> I.58-60.</w:t>
      </w:r>
    </w:p>
    <w:p w14:paraId="3860CB25" w14:textId="77777777" w:rsidR="00DA7928" w:rsidRPr="00DA7928" w:rsidRDefault="00DA7928" w:rsidP="00DA7928">
      <w:pPr>
        <w:pStyle w:val="NoteEntry"/>
      </w:pPr>
      <w:r w:rsidRPr="00DA7928">
        <w:rPr>
          <w:szCs w:val="28"/>
        </w:rPr>
        <w:t xml:space="preserve">18. Augustine, </w:t>
      </w:r>
      <w:r w:rsidRPr="00DA7928">
        <w:rPr>
          <w:i/>
          <w:szCs w:val="28"/>
        </w:rPr>
        <w:t>Confessions</w:t>
      </w:r>
      <w:r w:rsidRPr="00DA7928">
        <w:rPr>
          <w:szCs w:val="28"/>
        </w:rPr>
        <w:t xml:space="preserve"> VII.6.8-10; Hegedus, </w:t>
      </w:r>
      <w:r w:rsidRPr="00DA7928">
        <w:rPr>
          <w:i/>
          <w:szCs w:val="28"/>
        </w:rPr>
        <w:t>Early Christianity and Ancient Astrology</w:t>
      </w:r>
      <w:r w:rsidRPr="00DA7928">
        <w:rPr>
          <w:szCs w:val="28"/>
        </w:rPr>
        <w:t>, 45-52.</w:t>
      </w:r>
    </w:p>
    <w:p w14:paraId="745E0C73" w14:textId="77777777" w:rsidR="00DA7928" w:rsidRPr="00DA7928" w:rsidRDefault="00DA7928" w:rsidP="00DA7928">
      <w:pPr>
        <w:pStyle w:val="NoteEntry"/>
      </w:pPr>
      <w:r w:rsidRPr="00DA7928">
        <w:rPr>
          <w:szCs w:val="28"/>
        </w:rPr>
        <w:t xml:space="preserve">19. Augustine, </w:t>
      </w:r>
      <w:r w:rsidRPr="00DA7928">
        <w:rPr>
          <w:i/>
          <w:szCs w:val="28"/>
        </w:rPr>
        <w:t>City of God</w:t>
      </w:r>
      <w:r w:rsidRPr="00DA7928">
        <w:rPr>
          <w:szCs w:val="28"/>
        </w:rPr>
        <w:t xml:space="preserve"> V.1-11, especially V.1-7.</w:t>
      </w:r>
    </w:p>
    <w:p w14:paraId="571098F4" w14:textId="77777777" w:rsidR="00DA7928" w:rsidRPr="00DA7928" w:rsidRDefault="00DA7928" w:rsidP="00DA7928">
      <w:pPr>
        <w:pStyle w:val="NoteEntry"/>
      </w:pPr>
      <w:r w:rsidRPr="00DA7928">
        <w:rPr>
          <w:szCs w:val="28"/>
        </w:rPr>
        <w:t xml:space="preserve">20. Hegedus, </w:t>
      </w:r>
      <w:r w:rsidRPr="00DA7928">
        <w:rPr>
          <w:i/>
          <w:szCs w:val="28"/>
        </w:rPr>
        <w:t>Early Christianity and Ancient Astrology</w:t>
      </w:r>
      <w:r w:rsidRPr="00DA7928">
        <w:rPr>
          <w:szCs w:val="28"/>
        </w:rPr>
        <w:t>, 52-59, 69-74.</w:t>
      </w:r>
    </w:p>
    <w:p w14:paraId="32C8A82D" w14:textId="77777777" w:rsidR="00DA7928" w:rsidRPr="00DA7928" w:rsidRDefault="00DA7928" w:rsidP="00DA7928">
      <w:pPr>
        <w:pStyle w:val="NoteEntry"/>
      </w:pPr>
      <w:r w:rsidRPr="00DA7928">
        <w:rPr>
          <w:szCs w:val="28"/>
        </w:rPr>
        <w:t xml:space="preserve">21. Hegedus, </w:t>
      </w:r>
      <w:r w:rsidRPr="00DA7928">
        <w:rPr>
          <w:i/>
          <w:szCs w:val="28"/>
        </w:rPr>
        <w:t>Early Christianity and Ancient Astrology</w:t>
      </w:r>
      <w:r w:rsidRPr="00DA7928">
        <w:rPr>
          <w:szCs w:val="28"/>
        </w:rPr>
        <w:t>, 160-65.</w:t>
      </w:r>
    </w:p>
    <w:p w14:paraId="56E89087" w14:textId="77777777" w:rsidR="00DA7928" w:rsidRPr="00DA7928" w:rsidRDefault="00DA7928" w:rsidP="00DA7928">
      <w:pPr>
        <w:pStyle w:val="NoteEntry"/>
      </w:pPr>
      <w:r w:rsidRPr="00DA7928">
        <w:rPr>
          <w:szCs w:val="28"/>
        </w:rPr>
        <w:t xml:space="preserve">22. </w:t>
      </w:r>
      <w:r w:rsidRPr="00DA7928">
        <w:rPr>
          <w:i/>
          <w:szCs w:val="28"/>
        </w:rPr>
        <w:t>Apostolic Tradition</w:t>
      </w:r>
      <w:r w:rsidRPr="00DA7928">
        <w:rPr>
          <w:szCs w:val="28"/>
        </w:rPr>
        <w:t xml:space="preserve"> xxi.7-15, pp. 33-36.</w:t>
      </w:r>
    </w:p>
    <w:p w14:paraId="32FD5E24" w14:textId="77777777" w:rsidR="00DA7928" w:rsidRPr="00DA7928" w:rsidRDefault="00DA7928" w:rsidP="00DA7928">
      <w:pPr>
        <w:pStyle w:val="NoteEntry"/>
      </w:pPr>
      <w:r w:rsidRPr="00DA7928">
        <w:rPr>
          <w:szCs w:val="28"/>
        </w:rPr>
        <w:t xml:space="preserve">23. Hegedus, </w:t>
      </w:r>
      <w:r w:rsidRPr="00DA7928">
        <w:rPr>
          <w:i/>
          <w:szCs w:val="28"/>
        </w:rPr>
        <w:t>Early Christianity and Ancient Astrology</w:t>
      </w:r>
      <w:r w:rsidRPr="00DA7928">
        <w:rPr>
          <w:szCs w:val="28"/>
        </w:rPr>
        <w:t>, 165-71, 183-93, 319-24.</w:t>
      </w:r>
    </w:p>
    <w:p w14:paraId="3D114F6A" w14:textId="77777777" w:rsidR="00DA7928" w:rsidRPr="00DA7928" w:rsidRDefault="00DA7928" w:rsidP="00DA7928">
      <w:pPr>
        <w:pStyle w:val="NoteEntry"/>
      </w:pPr>
      <w:r w:rsidRPr="00DA7928">
        <w:rPr>
          <w:szCs w:val="28"/>
        </w:rPr>
        <w:t xml:space="preserve">24. Paul F. Bradshaw and Maxwell E. Johnson, </w:t>
      </w:r>
      <w:r w:rsidRPr="00DA7928">
        <w:rPr>
          <w:i/>
          <w:szCs w:val="28"/>
        </w:rPr>
        <w:t>The Origins of Feasts, Fasts and Seasons in Early Christianity</w:t>
      </w:r>
      <w:r w:rsidRPr="00DA7928">
        <w:rPr>
          <w:szCs w:val="28"/>
        </w:rPr>
        <w:t xml:space="preserve"> (London: SPCK; Collegeville, MN: Liturgical Press, 2011), 1-18.</w:t>
      </w:r>
    </w:p>
    <w:p w14:paraId="5C206228" w14:textId="77777777" w:rsidR="00DA7928" w:rsidRPr="00DA7928" w:rsidRDefault="00DA7928" w:rsidP="00DA7928">
      <w:pPr>
        <w:pStyle w:val="NoteEntry"/>
      </w:pPr>
      <w:r w:rsidRPr="00DA7928">
        <w:rPr>
          <w:szCs w:val="28"/>
        </w:rPr>
        <w:t xml:space="preserve">25. Michele Renee Salzman, </w:t>
      </w:r>
      <w:r w:rsidRPr="00DA7928">
        <w:rPr>
          <w:i/>
          <w:szCs w:val="28"/>
        </w:rPr>
        <w:t>On Roman Time: The Codex-Calendar of 354 and the Rhythms of Urban Life in Late Antiquity</w:t>
      </w:r>
      <w:r w:rsidRPr="00DA7928">
        <w:rPr>
          <w:szCs w:val="28"/>
        </w:rPr>
        <w:t xml:space="preserve"> (Berkeley: University of California Press, 1990), 9-14, 30-40.</w:t>
      </w:r>
    </w:p>
    <w:p w14:paraId="616291C3" w14:textId="77777777" w:rsidR="00DA7928" w:rsidRPr="00DA7928" w:rsidRDefault="00DA7928" w:rsidP="00DA7928">
      <w:pPr>
        <w:pStyle w:val="NoteEntry"/>
      </w:pPr>
      <w:r w:rsidRPr="00DA7928">
        <w:rPr>
          <w:szCs w:val="28"/>
        </w:rPr>
        <w:t xml:space="preserve">26. Bradshaw and Johnson, </w:t>
      </w:r>
      <w:r w:rsidRPr="00DA7928">
        <w:rPr>
          <w:i/>
          <w:szCs w:val="28"/>
        </w:rPr>
        <w:t>Origins of Feasts, Fasts and Seasons</w:t>
      </w:r>
      <w:r w:rsidRPr="00DA7928">
        <w:rPr>
          <w:szCs w:val="28"/>
        </w:rPr>
        <w:t>, 15-40, 49-80, 82-116.</w:t>
      </w:r>
    </w:p>
    <w:p w14:paraId="1D7EE200" w14:textId="77777777" w:rsidR="00DA7928" w:rsidRPr="00DA7928" w:rsidRDefault="00DA7928" w:rsidP="00DA7928">
      <w:pPr>
        <w:pStyle w:val="NoteEntry"/>
      </w:pPr>
      <w:r w:rsidRPr="00DA7928">
        <w:rPr>
          <w:szCs w:val="28"/>
        </w:rPr>
        <w:t xml:space="preserve">27. Hegedus, </w:t>
      </w:r>
      <w:r w:rsidRPr="00DA7928">
        <w:rPr>
          <w:i/>
          <w:szCs w:val="28"/>
        </w:rPr>
        <w:t>Early Christianity and Ancient Astrology</w:t>
      </w:r>
      <w:r w:rsidRPr="00DA7928">
        <w:rPr>
          <w:szCs w:val="28"/>
        </w:rPr>
        <w:t>, 197-365.</w:t>
      </w:r>
    </w:p>
    <w:p w14:paraId="27B0CCA7" w14:textId="77777777" w:rsidR="00DA7928" w:rsidRPr="00DA7928" w:rsidRDefault="00DA7928" w:rsidP="00DA7928">
      <w:pPr>
        <w:pStyle w:val="NoteEntry"/>
      </w:pPr>
      <w:r w:rsidRPr="00DA7928">
        <w:rPr>
          <w:szCs w:val="28"/>
        </w:rPr>
        <w:t xml:space="preserve">28. Hegedus, </w:t>
      </w:r>
      <w:r w:rsidRPr="00DA7928">
        <w:rPr>
          <w:i/>
          <w:szCs w:val="28"/>
        </w:rPr>
        <w:t>Early Christianity and Ancient Astrology</w:t>
      </w:r>
      <w:r w:rsidRPr="00DA7928">
        <w:rPr>
          <w:szCs w:val="28"/>
        </w:rPr>
        <w:t>, 371-73.</w:t>
      </w:r>
    </w:p>
    <w:p w14:paraId="44A7F46A" w14:textId="77777777" w:rsidR="002E411F" w:rsidRPr="002E411F" w:rsidRDefault="002E411F" w:rsidP="002E411F">
      <w:pPr>
        <w:pStyle w:val="ChapterHeading"/>
      </w:pPr>
      <w:bookmarkStart w:id="9" w:name="toc_chapter_7"/>
      <w:r>
        <w:rPr>
          <w:sz w:val="28"/>
        </w:rPr>
        <w:t>Chapter 7</w:t>
      </w:r>
      <w:r>
        <w:rPr>
          <w:sz w:val="28"/>
        </w:rPr>
        <w:br/>
      </w:r>
      <w:r>
        <w:t>Astral Sciences Between Worlds</w:t>
      </w:r>
      <w:bookmarkEnd w:id="9"/>
    </w:p>
    <w:p w14:paraId="7A5866DD" w14:textId="77777777" w:rsidR="002E411F" w:rsidRPr="002E411F" w:rsidRDefault="002E411F" w:rsidP="002E411F">
      <w:pPr>
        <w:pStyle w:val="SectionHeading"/>
      </w:pPr>
      <w:r w:rsidRPr="002E411F">
        <w:rPr>
          <w:bCs/>
          <w:szCs w:val="28"/>
        </w:rPr>
        <w:t>The Astrolabe in the Hand</w:t>
      </w:r>
    </w:p>
    <w:p w14:paraId="2C6F1CC1" w14:textId="77777777" w:rsidR="002E411F" w:rsidRPr="002E411F" w:rsidRDefault="002E411F" w:rsidP="002E411F">
      <w:pPr>
        <w:pStyle w:val="BookBody"/>
      </w:pPr>
      <w:r w:rsidRPr="002E411F">
        <w:rPr>
          <w:szCs w:val="28"/>
        </w:rPr>
        <w:t>The first material witness of this chapter is a brass disk held upright toward the sky.</w:t>
      </w:r>
    </w:p>
    <w:p w14:paraId="3DAEE451" w14:textId="77777777" w:rsidR="002E411F" w:rsidRPr="002E411F" w:rsidRDefault="002E411F" w:rsidP="002E411F">
      <w:pPr>
        <w:pStyle w:val="BookBody"/>
      </w:pPr>
      <w:r w:rsidRPr="002E411F">
        <w:rPr>
          <w:szCs w:val="28"/>
        </w:rPr>
        <w:t>An astrolabe is small enough to pass from one hand to another, but it gathers an immense order into its layered surfaces. Its rete carries a skeletal map of selected stars. Beneath it, interchangeable plates project the circles of the celestial sphere for particular terrestrial latitudes. A sighting rule turns across the back. Scales, shadow squares, calendars, and zodiacal divisions convert an observed altitude into time, direction, season, or celestial position. The instrument does not contain the heavens as a picture contains a landscape. It makes relations among heaven, earth, number, and the observer operational.</w:t>
      </w:r>
    </w:p>
    <w:p w14:paraId="7979C6D9" w14:textId="77777777" w:rsidR="002E411F" w:rsidRPr="002E411F" w:rsidRDefault="002E411F" w:rsidP="002E411F">
      <w:pPr>
        <w:pStyle w:val="BookBody"/>
      </w:pPr>
      <w:r w:rsidRPr="002E411F">
        <w:rPr>
          <w:szCs w:val="28"/>
        </w:rPr>
        <w:t>To use it, a person must be trained. The instrument must be made for, or adjusted to, a latitude. A star must be identified, the disk kept vertical, the alidade aligned, the reading transferred from one surface to another, and the result interpreted for the problem at hand. The same object can help determine an hour of prayer, the direction of Mecca, the length of daylight, the rising of a zodiacal degree, or a datum required for a horoscope. Its unity does not abolish differences among these purposes. It places them in a common field of measured celestial relations.</w:t>
      </w:r>
      <w:r w:rsidRPr="002E411F">
        <w:rPr>
          <w:szCs w:val="28"/>
          <w:vertAlign w:val="superscript"/>
        </w:rPr>
        <w:t>1</w:t>
      </w:r>
    </w:p>
    <w:p w14:paraId="4FCE615A" w14:textId="77777777" w:rsidR="002E411F" w:rsidRPr="002E411F" w:rsidRDefault="002E411F" w:rsidP="002E411F">
      <w:pPr>
        <w:pStyle w:val="BookBody"/>
      </w:pPr>
      <w:r w:rsidRPr="002E411F">
        <w:rPr>
          <w:szCs w:val="28"/>
        </w:rPr>
        <w:t xml:space="preserve">In al-Bīrūnī’s </w:t>
      </w:r>
      <w:r w:rsidRPr="002E411F">
        <w:rPr>
          <w:i/>
          <w:szCs w:val="28"/>
        </w:rPr>
        <w:t>Book of Instruction in the Elements of the Art of Astrology</w:t>
      </w:r>
      <w:r w:rsidRPr="002E411F">
        <w:rPr>
          <w:szCs w:val="28"/>
        </w:rPr>
        <w:t>, geometry and arithmetic come first, then the form and motion of the heavens, calendars, the astrolabe, and finally astrological judgments. The sequence is an argument. No judgment about a celestial configuration deserves confidence unless the configuration has first been established by disciplines less vulnerable to wish, fear, and improvisation. Geometry moves astronomy from opinion toward demonstration; the instrument brings mathematical relations into the trained hand; only then may the student approach the contested art of decrees.</w:t>
      </w:r>
      <w:r w:rsidRPr="002E411F">
        <w:rPr>
          <w:szCs w:val="28"/>
          <w:vertAlign w:val="superscript"/>
        </w:rPr>
        <w:t>2</w:t>
      </w:r>
    </w:p>
    <w:p w14:paraId="3B79908A" w14:textId="77777777" w:rsidR="002E411F" w:rsidRPr="002E411F" w:rsidRDefault="002E411F" w:rsidP="002E411F">
      <w:pPr>
        <w:pStyle w:val="BookBody"/>
      </w:pPr>
      <w:r w:rsidRPr="002E411F">
        <w:rPr>
          <w:szCs w:val="28"/>
        </w:rPr>
        <w:t>The astrolabe therefore gives material form to the problem inherited from the previous chapter. A created heaven can mediate without being divine. It can be intelligible without being omnipotent. It can bear signs, measure sacred time, and participate in natural causation without closing human freedom. But every movement from sign to meaning requires a judge, and every judge can exceed what the sign warrants. The living cosmos survives here not as an undivided worldview but as a disciplined and disputed practice of mediation.</w:t>
      </w:r>
    </w:p>
    <w:p w14:paraId="41AAC59D" w14:textId="77777777" w:rsidR="002E411F" w:rsidRPr="002E411F" w:rsidRDefault="002E411F" w:rsidP="002E411F">
      <w:pPr>
        <w:pStyle w:val="SectionHeading"/>
      </w:pPr>
      <w:r w:rsidRPr="002E411F">
        <w:rPr>
          <w:bCs/>
          <w:szCs w:val="28"/>
        </w:rPr>
        <w:t>Neither Preservation nor Passage</w:t>
      </w:r>
    </w:p>
    <w:p w14:paraId="4F6BFCD0" w14:textId="77777777" w:rsidR="002E411F" w:rsidRPr="002E411F" w:rsidRDefault="002E411F" w:rsidP="002E411F">
      <w:pPr>
        <w:pStyle w:val="BookBody"/>
      </w:pPr>
      <w:r w:rsidRPr="002E411F">
        <w:rPr>
          <w:szCs w:val="28"/>
        </w:rPr>
        <w:t>The familiar story says that Islamic civilization preserved Greek science during Europe’s dark centuries and later returned it to its rightful western home. The compliment conceals a diminishment. A storehouse does not argue with what it contains. A bridge has no destination of its own. If Arabic scholarship is assigned either role, centuries of selection, translation, correction, observation, invention, patronage, teaching, and controversy become a waiting room in someone else’s history.</w:t>
      </w:r>
    </w:p>
    <w:p w14:paraId="7CCE9D29" w14:textId="77777777" w:rsidR="002E411F" w:rsidRPr="002E411F" w:rsidRDefault="002E411F" w:rsidP="002E411F">
      <w:pPr>
        <w:pStyle w:val="BookBody"/>
      </w:pPr>
      <w:r w:rsidRPr="002E411F">
        <w:rPr>
          <w:szCs w:val="28"/>
        </w:rPr>
        <w:t>The history was more creative and less linear. Between the eighth and tenth centuries, an extraordinary translation movement brought much of the accessible Greek inheritance in philosophy, medicine, mathematics, astronomy, and astrology into Arabic. It was sustained by caliphs, courtiers, administrators, physicians, scholars, and private patrons; carried out by Muslims and by Christians of several communities; and built upon generations of Syriac scholarship. Translators compared manuscripts, revised predecessors, coined technical vocabularies, and argued over the conceptual consequences of their choices. Arabic did not merely receive sciences. It became a language in which their objects, methods, and limits could be reconstructed.</w:t>
      </w:r>
      <w:r w:rsidRPr="002E411F">
        <w:rPr>
          <w:szCs w:val="28"/>
          <w:vertAlign w:val="superscript"/>
        </w:rPr>
        <w:t>3</w:t>
      </w:r>
    </w:p>
    <w:p w14:paraId="1D7039CA" w14:textId="77777777" w:rsidR="002E411F" w:rsidRPr="002E411F" w:rsidRDefault="002E411F" w:rsidP="002E411F">
      <w:pPr>
        <w:pStyle w:val="BookBody"/>
      </w:pPr>
      <w:r w:rsidRPr="002E411F">
        <w:rPr>
          <w:szCs w:val="28"/>
        </w:rPr>
        <w:t>Nor was Greek the only direction from which the heavens arrived. Astronomical and astrological materials associated with India entered early Abbasid intellectual life, often through Persian mediation. Sasanian memories, zīj traditions, regnal chronologies, and doctrines of great conjunctions met Ptolemaic geometry and Aristotelian natural philosophy. The resulting sciences were composite without being incoherent. Scholars could prefer one set of parameters to another, combine an Indian procedure with a Persian table and a Greek model, or criticize all three by observation and calculation.</w:t>
      </w:r>
      <w:r w:rsidRPr="002E411F">
        <w:rPr>
          <w:szCs w:val="28"/>
          <w:vertAlign w:val="superscript"/>
        </w:rPr>
        <w:t>4</w:t>
      </w:r>
    </w:p>
    <w:p w14:paraId="7565B2A7" w14:textId="77777777" w:rsidR="002E411F" w:rsidRPr="002E411F" w:rsidRDefault="002E411F" w:rsidP="002E411F">
      <w:pPr>
        <w:pStyle w:val="BookBody"/>
      </w:pPr>
      <w:r w:rsidRPr="002E411F">
        <w:rPr>
          <w:szCs w:val="28"/>
        </w:rPr>
        <w:t xml:space="preserve">“Islamic astronomy” can therefore mislead if it implies a doctrine mandated by Islam, and “Arabic science” can mislead if it makes a language into an ethnicity. </w:t>
      </w:r>
      <w:r w:rsidRPr="002E411F">
        <w:rPr>
          <w:i/>
          <w:szCs w:val="28"/>
        </w:rPr>
        <w:t>Islamicate</w:t>
      </w:r>
      <w:r w:rsidRPr="002E411F">
        <w:rPr>
          <w:szCs w:val="28"/>
        </w:rPr>
        <w:t xml:space="preserve"> is useful because it names societies formed under Muslim rule and within Islamic institutions while leaving room for Christians, Jews, Zoroastrians, converts, translators, artisans, and scholars whose relations to religious authority varied. Yet even that word must not flatten Baghdad, Khurasan, Cairo, al-Andalus, the Maghrib, Persia, and Central Asia into one intellectual place. The chapter follows connected arguments, not a single civilizational mind.</w:t>
      </w:r>
    </w:p>
    <w:p w14:paraId="59839A51" w14:textId="77777777" w:rsidR="002E411F" w:rsidRPr="002E411F" w:rsidRDefault="002E411F" w:rsidP="002E411F">
      <w:pPr>
        <w:pStyle w:val="BookBody"/>
      </w:pPr>
      <w:r w:rsidRPr="002E411F">
        <w:rPr>
          <w:szCs w:val="28"/>
        </w:rPr>
        <w:t>What traveled across these worlds was never only information about stars. It was a question about mediation. Can the regular motions of heaven become secondary causes without rivaling the creator? Does foreknowledge entail necessity? How much of an effect belongs to a celestial configuration, how much to matter, place, climate, parentage, habit, accident, prayer, providence, or choice? Can an instrument discipline judgment, or does it merely lend precision to an unjustified claim? These questions made the astral sciences a field in which cosmology, theology, politics, and ordinary need could not be cleanly separated.</w:t>
      </w:r>
    </w:p>
    <w:p w14:paraId="28C3F3C3" w14:textId="77777777" w:rsidR="002E411F" w:rsidRPr="002E411F" w:rsidRDefault="002E411F" w:rsidP="002E411F">
      <w:pPr>
        <w:pStyle w:val="SectionHeading"/>
      </w:pPr>
      <w:r w:rsidRPr="002E411F">
        <w:rPr>
          <w:bCs/>
          <w:szCs w:val="28"/>
        </w:rPr>
        <w:t>A Translation Workshop</w:t>
      </w:r>
    </w:p>
    <w:p w14:paraId="006B4D9F" w14:textId="77777777" w:rsidR="002E411F" w:rsidRPr="002E411F" w:rsidRDefault="002E411F" w:rsidP="002E411F">
      <w:pPr>
        <w:pStyle w:val="BookBody"/>
      </w:pPr>
      <w:r w:rsidRPr="002E411F">
        <w:rPr>
          <w:szCs w:val="28"/>
        </w:rPr>
        <w:t>Imagine the material scene before naming it a movement. A Greek or Syriac manuscript lies open beside sheets of Arabic paper. One scholar construes the source; another tests an Arabic formulation; a patron expects a usable book; a copyist must stabilize unfamiliar terms; a later reader adds a correction in the margin. The work may take place near a court, in a physician’s house, within a circle of students, or through letters exchanged across long distances. Translation is not the frictionless movement of a text from one language to another. It is a workshop in which intellectual objects are remade.</w:t>
      </w:r>
    </w:p>
    <w:p w14:paraId="2F8D6EB5" w14:textId="77777777" w:rsidR="002E411F" w:rsidRPr="002E411F" w:rsidRDefault="002E411F" w:rsidP="002E411F">
      <w:pPr>
        <w:pStyle w:val="BookBody"/>
      </w:pPr>
      <w:r w:rsidRPr="002E411F">
        <w:rPr>
          <w:szCs w:val="28"/>
        </w:rPr>
        <w:t>The scale of the Abbasid project matters. Over more than two centuries, nearly the whole available range of secular Greek learning was sought and translated. The participation of different religious and ethnic communities was not incidental to the result. Syriac Christian scholars brought linguistic expertise and established traditions of philosophical and medical study. Muslim patrons supplied political demand and resources. Families of translators developed practices of revision. Texts could be translated more than once because the first Arabic version did not end the work; it created a new basis for comparison, commentary, and correction.</w:t>
      </w:r>
      <w:r w:rsidRPr="002E411F">
        <w:rPr>
          <w:szCs w:val="28"/>
          <w:vertAlign w:val="superscript"/>
        </w:rPr>
        <w:t>5</w:t>
      </w:r>
    </w:p>
    <w:p w14:paraId="5FDCD418" w14:textId="77777777" w:rsidR="002E411F" w:rsidRPr="002E411F" w:rsidRDefault="002E411F" w:rsidP="002E411F">
      <w:pPr>
        <w:pStyle w:val="BookBody"/>
      </w:pPr>
      <w:r w:rsidRPr="002E411F">
        <w:rPr>
          <w:szCs w:val="28"/>
        </w:rPr>
        <w:t>The demand for astral knowledge was unusually strong because it joined intellectual prestige to practical and political use. Rulers wanted calendars, tables, geographical coordinates, auspicious elections, dynastic histories, weather prognostications, and claims about the duration of regimes. Physicians considered celestial timing. Administrators required chronological conversion. Religious communities needed to order days and seasons. Philosophers found in the regular heavens a privileged case of causation. The same demand that supported serious calculation also rewarded overconfident prediction.</w:t>
      </w:r>
    </w:p>
    <w:p w14:paraId="35C186DB" w14:textId="77777777" w:rsidR="002E411F" w:rsidRPr="002E411F" w:rsidRDefault="002E411F" w:rsidP="002E411F">
      <w:pPr>
        <w:pStyle w:val="BookBody"/>
      </w:pPr>
      <w:r w:rsidRPr="002E411F">
        <w:rPr>
          <w:szCs w:val="28"/>
        </w:rPr>
        <w:t>The founding of Baghdad later acquired an exemplary astral memory. Accounts placed astrologers, including Māshāʾallāh and al-Nawbakht, among those consulted for the city’s foundation in 762. Whatever precision can be assigned to the retrospective narrative, its symbolic force is unmistakable: the new Abbasid capital was imagined as a city whose political beginning could be coordinated with the sky. The horoscope did not replace engineering, finance, labor, military power, or caliphal decision. It supplied a cosmic registration of the act.</w:t>
      </w:r>
      <w:r w:rsidRPr="002E411F">
        <w:rPr>
          <w:szCs w:val="28"/>
          <w:vertAlign w:val="superscript"/>
        </w:rPr>
        <w:t>6</w:t>
      </w:r>
    </w:p>
    <w:p w14:paraId="5C5F5187" w14:textId="77777777" w:rsidR="002E411F" w:rsidRPr="002E411F" w:rsidRDefault="002E411F" w:rsidP="002E411F">
      <w:pPr>
        <w:pStyle w:val="BookBody"/>
      </w:pPr>
      <w:r w:rsidRPr="002E411F">
        <w:rPr>
          <w:szCs w:val="28"/>
        </w:rPr>
        <w:t>That scene already exceeds a contrast between rational astronomy and superstitious astrology. Casting an election requires calculated positions. Building tables requires models, observations, and numerical procedures. Interpreting the configuration requires a causal or symbolic doctrine that the calculation alone cannot prove. The workshop binds these activities together while also making their differences available for criticism. Precision can expose a bad table; it cannot by itself establish that a correctly calculated conjunction signifies a dynasty.</w:t>
      </w:r>
    </w:p>
    <w:p w14:paraId="4FC79D4E" w14:textId="77777777" w:rsidR="002E411F" w:rsidRPr="002E411F" w:rsidRDefault="002E411F" w:rsidP="002E411F">
      <w:pPr>
        <w:pStyle w:val="SectionHeading"/>
      </w:pPr>
      <w:r w:rsidRPr="002E411F">
        <w:rPr>
          <w:bCs/>
          <w:szCs w:val="28"/>
        </w:rPr>
        <w:t>One Science of the Stars, More Than One Discipline</w:t>
      </w:r>
    </w:p>
    <w:p w14:paraId="37EA9D71" w14:textId="77777777" w:rsidR="002E411F" w:rsidRPr="002E411F" w:rsidRDefault="002E411F" w:rsidP="002E411F">
      <w:pPr>
        <w:pStyle w:val="BookBody"/>
      </w:pPr>
      <w:r w:rsidRPr="002E411F">
        <w:rPr>
          <w:szCs w:val="28"/>
        </w:rPr>
        <w:t xml:space="preserve">The Arabic expression </w:t>
      </w:r>
      <w:r w:rsidRPr="002E411F">
        <w:rPr>
          <w:i/>
          <w:szCs w:val="28"/>
        </w:rPr>
        <w:t>ʿilm al-nujūm</w:t>
      </w:r>
      <w:r w:rsidRPr="002E411F">
        <w:rPr>
          <w:szCs w:val="28"/>
        </w:rPr>
        <w:t>, the science of the stars, could refer to domains that modern institutions sharply divide. This does not mean medieval scholars were incapable of distinguishing mathematical astronomy from astrological judgment. It means their distinctions were drawn within a shared celestial field rather than by placing one activity inside science and expelling the other into its opposite.</w:t>
      </w:r>
    </w:p>
    <w:p w14:paraId="3EA6C54D" w14:textId="77777777" w:rsidR="002E411F" w:rsidRPr="002E411F" w:rsidRDefault="002E411F" w:rsidP="002E411F">
      <w:pPr>
        <w:pStyle w:val="BookBody"/>
      </w:pPr>
      <w:r w:rsidRPr="002E411F">
        <w:rPr>
          <w:szCs w:val="28"/>
        </w:rPr>
        <w:t xml:space="preserve">Abū Maʿshar opens the second chapter of the </w:t>
      </w:r>
      <w:r w:rsidRPr="002E411F">
        <w:rPr>
          <w:i/>
          <w:szCs w:val="28"/>
        </w:rPr>
        <w:t>Great Introduction</w:t>
      </w:r>
      <w:r w:rsidRPr="002E411F">
        <w:rPr>
          <w:szCs w:val="28"/>
        </w:rPr>
        <w:t xml:space="preserve"> by distinguishing two sciences. One concerns the universe: the forms, motions, distances, and relations of the heavenly bodies. The other concerns judgments from those bodies about generation and corruption below. The second depends upon the first, but it adds premises the first does not contain. To know where Saturn is does not yet establish what Saturn does, much less what its position means for a particular child or kingdom.</w:t>
      </w:r>
      <w:r w:rsidRPr="002E411F">
        <w:rPr>
          <w:szCs w:val="28"/>
          <w:vertAlign w:val="superscript"/>
        </w:rPr>
        <w:t>7</w:t>
      </w:r>
    </w:p>
    <w:p w14:paraId="1EEBFF3B" w14:textId="77777777" w:rsidR="002E411F" w:rsidRPr="002E411F" w:rsidRDefault="002E411F" w:rsidP="002E411F">
      <w:pPr>
        <w:pStyle w:val="BookBody"/>
      </w:pPr>
      <w:r w:rsidRPr="002E411F">
        <w:rPr>
          <w:szCs w:val="28"/>
        </w:rPr>
        <w:t>Al-Bīrūnī’s curriculum makes a comparable distinction through sequence. Geometry, arithmetic, and astronomy can compel assent with a rigor not available to every astrological decree. Yet he did not therefore compose a modern polemic against “pseudoscience.” He wrote an introduction to the art, defined its terms with extraordinary care, and preserved its techniques. At the threshold of the judgments, however, he registered a distance between popular confidence and his own. The art’s social authority exceeded the certainty its conclusions deserved.</w:t>
      </w:r>
      <w:r w:rsidRPr="002E411F">
        <w:rPr>
          <w:szCs w:val="28"/>
          <w:vertAlign w:val="superscript"/>
        </w:rPr>
        <w:t>8</w:t>
      </w:r>
    </w:p>
    <w:p w14:paraId="5EAB2F42" w14:textId="77777777" w:rsidR="002E411F" w:rsidRPr="002E411F" w:rsidRDefault="002E411F" w:rsidP="002E411F">
      <w:pPr>
        <w:pStyle w:val="BookBody"/>
      </w:pPr>
      <w:r w:rsidRPr="002E411F">
        <w:rPr>
          <w:szCs w:val="28"/>
        </w:rPr>
        <w:t xml:space="preserve">Later classifications could give </w:t>
      </w:r>
      <w:r w:rsidRPr="002E411F">
        <w:rPr>
          <w:i/>
          <w:szCs w:val="28"/>
        </w:rPr>
        <w:t>ʿilm al-hayʾa</w:t>
      </w:r>
      <w:r w:rsidRPr="002E411F">
        <w:rPr>
          <w:szCs w:val="28"/>
        </w:rPr>
        <w:t>—the science of the configuration of the heavenly bodies—a broad astronomical scope. It could include theoretical models, zījes, instruments, observations, geographical problems, and tables for prayer times while excluding astrology as a branch of natural philosophy or divination. Such classifications were themselves historical achievements. They show disciplines differentiating from within a connected intellectual world, not an ancient confusion waiting for modernity to correct it.</w:t>
      </w:r>
      <w:r w:rsidRPr="002E411F">
        <w:rPr>
          <w:szCs w:val="28"/>
          <w:vertAlign w:val="superscript"/>
        </w:rPr>
        <w:t>9</w:t>
      </w:r>
    </w:p>
    <w:p w14:paraId="6840D2FD" w14:textId="77777777" w:rsidR="002E411F" w:rsidRPr="002E411F" w:rsidRDefault="002E411F" w:rsidP="002E411F">
      <w:pPr>
        <w:pStyle w:val="BookBody"/>
      </w:pPr>
      <w:r w:rsidRPr="002E411F">
        <w:rPr>
          <w:szCs w:val="28"/>
        </w:rPr>
        <w:t>The best account therefore neither collapses astronomy into astrology nor pretends they occupied sealed rooms. They shared observations, parameters, tables, instruments, patrons, teachers, and celestial physics. They differed in the inferences they drew and in the confidence those inferences could bear. The border was a site of work. Every serious criticism of astrology had to decide how far celestial causation extended; every serious defense had to explain why mathematical regularity licensed judgments about contingent terrestrial particulars.</w:t>
      </w:r>
    </w:p>
    <w:p w14:paraId="19EB0FDA" w14:textId="77777777" w:rsidR="002E411F" w:rsidRPr="002E411F" w:rsidRDefault="002E411F" w:rsidP="002E411F">
      <w:pPr>
        <w:pStyle w:val="SectionHeading"/>
      </w:pPr>
      <w:r w:rsidRPr="002E411F">
        <w:rPr>
          <w:bCs/>
          <w:szCs w:val="28"/>
        </w:rPr>
        <w:t>Al-Kindī and the Instrument of Providence</w:t>
      </w:r>
    </w:p>
    <w:p w14:paraId="69CBCCCC" w14:textId="77777777" w:rsidR="002E411F" w:rsidRPr="002E411F" w:rsidRDefault="002E411F" w:rsidP="002E411F">
      <w:pPr>
        <w:pStyle w:val="BookBody"/>
      </w:pPr>
      <w:r w:rsidRPr="002E411F">
        <w:rPr>
          <w:szCs w:val="28"/>
        </w:rPr>
        <w:t>Al-Kindī, active in ninth-century Baghdad, stands close to the translation workshop and refuses any simple opposition between Greek philosophy and Islamic creation. His circle helped sponsor or shape Arabic versions of philosophical works. Christian translators and Muslim intellectuals collaborated around him. The Arabic materials attributed to Aristotle, Plotinus, and Proclus did not remain separate archives; they entered a project for a first philosophy adequate to divine unity, created order, intellect, and the sciences.</w:t>
      </w:r>
      <w:r w:rsidRPr="002E411F">
        <w:rPr>
          <w:szCs w:val="28"/>
          <w:vertAlign w:val="superscript"/>
        </w:rPr>
        <w:t>10</w:t>
      </w:r>
    </w:p>
    <w:p w14:paraId="4A7CAD90" w14:textId="77777777" w:rsidR="002E411F" w:rsidRPr="002E411F" w:rsidRDefault="002E411F" w:rsidP="002E411F">
      <w:pPr>
        <w:pStyle w:val="BookBody"/>
      </w:pPr>
      <w:r w:rsidRPr="002E411F">
        <w:rPr>
          <w:szCs w:val="28"/>
        </w:rPr>
        <w:t>His heavens are Aristotelian and altered. Celestial bodies possess a kind of material and motion different from the changing elements below. Their circular regularity makes them fit to serve as causes of generation and corruption. Yet their endurance is not independent. They last as long as God wills them to last. What appears physically indestructible remains metaphysically dependent. Creation is not merely a first event behind the present cosmos; it is the denial that any celestial nature can account fully for its own existence.</w:t>
      </w:r>
      <w:r w:rsidRPr="002E411F">
        <w:rPr>
          <w:szCs w:val="28"/>
          <w:vertAlign w:val="superscript"/>
        </w:rPr>
        <w:t>11</w:t>
      </w:r>
    </w:p>
    <w:p w14:paraId="2C1B4607" w14:textId="77777777" w:rsidR="002E411F" w:rsidRPr="002E411F" w:rsidRDefault="002E411F" w:rsidP="002E411F">
      <w:pPr>
        <w:pStyle w:val="BookBody"/>
      </w:pPr>
      <w:r w:rsidRPr="002E411F">
        <w:rPr>
          <w:szCs w:val="28"/>
        </w:rPr>
        <w:t>Al-Kindī calls the heavens a proximate cause of what occurs in the elemental world. Their motions stir and combine earth, water, air, and fire, preparing the births and dissolutions of complex bodies. God acts through this order rather than competing with it as one cause beside another. The heavenly motion can therefore be described as an instrument of providence. Secondary causation does not remove God from the world; it names the ordered means by which divine government reaches it.</w:t>
      </w:r>
      <w:r w:rsidRPr="002E411F">
        <w:rPr>
          <w:szCs w:val="28"/>
          <w:vertAlign w:val="superscript"/>
        </w:rPr>
        <w:t>12</w:t>
      </w:r>
    </w:p>
    <w:p w14:paraId="2D5A56C8" w14:textId="77777777" w:rsidR="002E411F" w:rsidRPr="002E411F" w:rsidRDefault="002E411F" w:rsidP="002E411F">
      <w:pPr>
        <w:pStyle w:val="BookBody"/>
      </w:pPr>
      <w:r w:rsidRPr="002E411F">
        <w:rPr>
          <w:szCs w:val="28"/>
        </w:rPr>
        <w:t>This is an ancient mediation restated within monotheistic creation. The sky is neither an independent god nor inert matter. Its created motions bear causal efficacy. To read them is, in principle, to read something of providential order. Astrology becomes plausible because the causes above and effects below belong to one intelligible system. The astrologer does not need to claim that a planet chooses an individual fate. The claim can be that a celestial configuration is a knowable part of the created causal network.</w:t>
      </w:r>
    </w:p>
    <w:p w14:paraId="7DC00122" w14:textId="77777777" w:rsidR="002E411F" w:rsidRPr="002E411F" w:rsidRDefault="002E411F" w:rsidP="002E411F">
      <w:pPr>
        <w:pStyle w:val="BookBody"/>
      </w:pPr>
      <w:r w:rsidRPr="002E411F">
        <w:rPr>
          <w:szCs w:val="28"/>
        </w:rPr>
        <w:t xml:space="preserve">But the formulation contains a danger. Calling the heavens an instrument of providence can protect divine sovereignty, yet it can also give every successful forecast the aura of theological ratification. If the instrument is regular and the interpreter technically skilled, contingency may begin to look like ignorance rather than a feature of reality. Human action can be absorbed into physical temperament; providence can be reduced to the causal order the astrologer thinks he has decoded. The term </w:t>
      </w:r>
      <w:r w:rsidRPr="002E411F">
        <w:rPr>
          <w:i/>
          <w:szCs w:val="28"/>
        </w:rPr>
        <w:t>instrument</w:t>
      </w:r>
      <w:r w:rsidRPr="002E411F">
        <w:rPr>
          <w:szCs w:val="28"/>
        </w:rPr>
        <w:t xml:space="preserve"> therefore establishes dependence without settling the limits of prediction.</w:t>
      </w:r>
    </w:p>
    <w:p w14:paraId="49F86452" w14:textId="77777777" w:rsidR="002E411F" w:rsidRPr="002E411F" w:rsidRDefault="002E411F" w:rsidP="002E411F">
      <w:pPr>
        <w:pStyle w:val="SectionHeading"/>
      </w:pPr>
      <w:r w:rsidRPr="002E411F">
        <w:rPr>
          <w:bCs/>
          <w:szCs w:val="28"/>
        </w:rPr>
        <w:t>Abū Maʿshar’s Composite Heaven</w:t>
      </w:r>
    </w:p>
    <w:p w14:paraId="592D7814" w14:textId="77777777" w:rsidR="002E411F" w:rsidRPr="002E411F" w:rsidRDefault="002E411F" w:rsidP="002E411F">
      <w:pPr>
        <w:pStyle w:val="BookBody"/>
      </w:pPr>
      <w:r w:rsidRPr="002E411F">
        <w:rPr>
          <w:szCs w:val="28"/>
        </w:rPr>
        <w:t xml:space="preserve">Abū Maʿshar, born in Balkh and active in Baghdad in the ninth century, became the most influential astrologer of the Arabic tradition in Latin Europe. His </w:t>
      </w:r>
      <w:r w:rsidRPr="002E411F">
        <w:rPr>
          <w:i/>
          <w:szCs w:val="28"/>
        </w:rPr>
        <w:t>Great Introduction to Astrology</w:t>
      </w:r>
      <w:r w:rsidRPr="002E411F">
        <w:rPr>
          <w:szCs w:val="28"/>
        </w:rPr>
        <w:t xml:space="preserve"> is not merely a manual of signs. Its opening books defend the existence, causation, and usefulness of the art against opponents. The defense matters because astrology was already contested. It could not live on inherited prestige alone; it needed a philosophical account of how stars act and an epistemological account of how their effects become knowable.</w:t>
      </w:r>
    </w:p>
    <w:p w14:paraId="40646C62" w14:textId="77777777" w:rsidR="002E411F" w:rsidRPr="002E411F" w:rsidRDefault="002E411F" w:rsidP="002E411F">
      <w:pPr>
        <w:pStyle w:val="BookBody"/>
      </w:pPr>
      <w:r w:rsidRPr="002E411F">
        <w:rPr>
          <w:szCs w:val="28"/>
        </w:rPr>
        <w:t>The work also makes visible the composite formation of the Islamicate astral sciences. Abū Maʿshar draws upon Greek, Persian, and Indian authorities and procedures. Ptolemaic models could coexist with Indian mean motions and Persian zīj materials. Doctrines of world history and planetary conjunctions entered an arrangement that was neither a pure recovery of Ptolemy nor an indiscriminate collection. Sources were coordinated in order to make a comprehensive science of celestial effects.</w:t>
      </w:r>
      <w:r w:rsidRPr="002E411F">
        <w:rPr>
          <w:szCs w:val="28"/>
          <w:vertAlign w:val="superscript"/>
        </w:rPr>
        <w:t>13</w:t>
      </w:r>
    </w:p>
    <w:p w14:paraId="679ED2A0" w14:textId="77777777" w:rsidR="002E411F" w:rsidRPr="002E411F" w:rsidRDefault="002E411F" w:rsidP="002E411F">
      <w:pPr>
        <w:pStyle w:val="BookBody"/>
      </w:pPr>
      <w:r w:rsidRPr="002E411F">
        <w:rPr>
          <w:szCs w:val="28"/>
        </w:rPr>
        <w:t>Abū Maʿshar does not rely on one causal mechanism. The Sun’s heat offers an obvious model: a celestial body produces sensible change in the elements. Heavenly motion can actualize terrestrial potencies. The magnet offers action at a distance that remains natural even when its path is invisible. Music shows one motion affecting soul and body without mechanical contact. Light and rays supply another grammar of transmission. Celestial action becomes credible through a family of analogies whose members do not reduce to a single physics.</w:t>
      </w:r>
      <w:r w:rsidRPr="002E411F">
        <w:rPr>
          <w:szCs w:val="28"/>
          <w:vertAlign w:val="superscript"/>
        </w:rPr>
        <w:t>14</w:t>
      </w:r>
    </w:p>
    <w:p w14:paraId="53033AF6" w14:textId="77777777" w:rsidR="002E411F" w:rsidRPr="002E411F" w:rsidRDefault="002E411F" w:rsidP="002E411F">
      <w:pPr>
        <w:pStyle w:val="BookBody"/>
      </w:pPr>
      <w:r w:rsidRPr="002E411F">
        <w:rPr>
          <w:szCs w:val="28"/>
        </w:rPr>
        <w:t>The plurality is a strength and a weakness. It answers the objection that no bodily contact links a planet to a newborn by showing that nature contains subtler forms of efficacy. But an analogy demonstrates possibility more readily than actuality. A magnet’s action does not prove that Mars signifies conflict in a particular nativity. Music’s power over emotion does not establish a table of planetary rulerships. The defense moves from an ordered, sympathetic cosmos to determinate judgments, and that movement remains the vulnerable joint.</w:t>
      </w:r>
    </w:p>
    <w:p w14:paraId="3DF9CC5B" w14:textId="77777777" w:rsidR="002E411F" w:rsidRPr="002E411F" w:rsidRDefault="002E411F" w:rsidP="002E411F">
      <w:pPr>
        <w:pStyle w:val="BookBody"/>
      </w:pPr>
      <w:r w:rsidRPr="002E411F">
        <w:rPr>
          <w:szCs w:val="28"/>
        </w:rPr>
        <w:t>God remains the First Cause in Abū Maʿshar’s account. Celestial bodies and souls occupy a created hierarchy beneath divine causality. The heavens can be rational, animate, and effective without becoming rivals to God. Yet this hierarchy does not remove the ethical difficulty. If the celestial configuration causes bodily temperament, and temperament inclines action, what remains of counsel, law, repentance, and responsibility? Abū Maʿshar must keep the rational soul from becoming only the most complex terrestrial effect.</w:t>
      </w:r>
    </w:p>
    <w:p w14:paraId="3321827F" w14:textId="77777777" w:rsidR="002E411F" w:rsidRPr="002E411F" w:rsidRDefault="002E411F" w:rsidP="002E411F">
      <w:pPr>
        <w:pStyle w:val="SectionHeading"/>
      </w:pPr>
      <w:r w:rsidRPr="002E411F">
        <w:rPr>
          <w:bCs/>
          <w:szCs w:val="28"/>
        </w:rPr>
        <w:t>Necessity, Contingency, and the Rational Soul</w:t>
      </w:r>
    </w:p>
    <w:p w14:paraId="279807E6" w14:textId="77777777" w:rsidR="002E411F" w:rsidRPr="002E411F" w:rsidRDefault="002E411F" w:rsidP="002E411F">
      <w:pPr>
        <w:pStyle w:val="BookBody"/>
      </w:pPr>
      <w:r w:rsidRPr="002E411F">
        <w:rPr>
          <w:szCs w:val="28"/>
        </w:rPr>
        <w:t xml:space="preserve">The </w:t>
      </w:r>
      <w:r w:rsidRPr="002E411F">
        <w:rPr>
          <w:i/>
          <w:szCs w:val="28"/>
        </w:rPr>
        <w:t>Great Introduction</w:t>
      </w:r>
      <w:r w:rsidRPr="002E411F">
        <w:rPr>
          <w:szCs w:val="28"/>
        </w:rPr>
        <w:t xml:space="preserve"> distinguishes the necessary, the impossible, and the possible or contingent. Astrology would be useless if everything were equally indeterminate; it would be morally catastrophic if every human act followed by necessity from the stars. The art therefore occupies the middle region in which causes incline, dispose, facilitate, or impede without always compelling.</w:t>
      </w:r>
    </w:p>
    <w:p w14:paraId="0E73BA28" w14:textId="77777777" w:rsidR="002E411F" w:rsidRPr="002E411F" w:rsidRDefault="002E411F" w:rsidP="002E411F">
      <w:pPr>
        <w:pStyle w:val="BookBody"/>
      </w:pPr>
      <w:r w:rsidRPr="002E411F">
        <w:rPr>
          <w:szCs w:val="28"/>
        </w:rPr>
        <w:t>The body provides the principal opening for celestial influence. Climate, season, food, parentage, and the mixture of qualities shape temperament. Because human beings are embodied, the condition of the body affects imagination, appetite, mood, and readiness to act. A natal configuration can thus be interpreted as part of the causal history of an embodied life. The claim is not yet that the stars author a person’s decisions. It is that freedom awakens within conditions it did not choose.</w:t>
      </w:r>
    </w:p>
    <w:p w14:paraId="08B93B78" w14:textId="77777777" w:rsidR="002E411F" w:rsidRPr="002E411F" w:rsidRDefault="002E411F" w:rsidP="002E411F">
      <w:pPr>
        <w:pStyle w:val="BookBody"/>
      </w:pPr>
      <w:r w:rsidRPr="002E411F">
        <w:rPr>
          <w:szCs w:val="28"/>
        </w:rPr>
        <w:t>This is more subtle than fatalism, and more troubling than an empty symbolism. An inclination can become powerful enough to be practically predictive across populations or repeated circumstances. The astrologer may insist that the rational soul can resist, while constructing a practice whose authority depends on most people behaving according to type. Freedom survives as an exception that protects doctrine, whereas the market for prediction depends on its rarity.</w:t>
      </w:r>
    </w:p>
    <w:p w14:paraId="452B2124" w14:textId="77777777" w:rsidR="002E411F" w:rsidRPr="002E411F" w:rsidRDefault="002E411F" w:rsidP="002E411F">
      <w:pPr>
        <w:pStyle w:val="BookBody"/>
      </w:pPr>
      <w:r w:rsidRPr="002E411F">
        <w:rPr>
          <w:szCs w:val="28"/>
        </w:rPr>
        <w:t>The problem belongs to any account of providence through secondary causes. If freedom means absence of condition, then embodied freedom is impossible. If condition becomes sufficient cause, responsibility disappears. The ancient mediation works only if the causal order is real but incomplete at the level of rational action. The person receives a nature, a place, a time, a body, and a history; none is self-created. Yet the meaning of the gift is not exhausted by the conditions of its reception.</w:t>
      </w:r>
    </w:p>
    <w:p w14:paraId="22A344E9" w14:textId="77777777" w:rsidR="002E411F" w:rsidRPr="002E411F" w:rsidRDefault="002E411F" w:rsidP="002E411F">
      <w:pPr>
        <w:pStyle w:val="BookBody"/>
      </w:pPr>
      <w:r w:rsidRPr="002E411F">
        <w:rPr>
          <w:szCs w:val="28"/>
        </w:rPr>
        <w:t>Here the contrast with grace from the previous chapter becomes illuminating. Astrological influence is often imagined as a distribution according to cosmic position: one receives this temperament or fortune because one was born under this configuration. Grace is given without proportion to celestial rank, social merit, or causal desert. It does not make the recipient unconditioned. It creates within conditions a capacity to answer gift with gift. The distinction cannot simply be imported into Islamic philosophy, but it clarifies why the contest with fate is never only a contest about mechanism. It concerns whether the future is closed by what has already been given.</w:t>
      </w:r>
    </w:p>
    <w:p w14:paraId="6C976885" w14:textId="77777777" w:rsidR="002E411F" w:rsidRPr="002E411F" w:rsidRDefault="002E411F" w:rsidP="002E411F">
      <w:pPr>
        <w:pStyle w:val="SectionHeading"/>
      </w:pPr>
      <w:r w:rsidRPr="002E411F">
        <w:rPr>
          <w:bCs/>
          <w:szCs w:val="28"/>
        </w:rPr>
        <w:t>Al-Bīrūnī’s Discipline of Judgment</w:t>
      </w:r>
    </w:p>
    <w:p w14:paraId="0791BA45" w14:textId="77777777" w:rsidR="002E411F" w:rsidRPr="002E411F" w:rsidRDefault="002E411F" w:rsidP="002E411F">
      <w:pPr>
        <w:pStyle w:val="BookBody"/>
      </w:pPr>
      <w:r w:rsidRPr="002E411F">
        <w:rPr>
          <w:szCs w:val="28"/>
        </w:rPr>
        <w:t>Al-Bīrūnī, writing in the eleventh century across the eastern Islamicate world, embodies a different relation to the inheritance. He was a mathematician, astronomer, geographer, chronologist, observer, and student of Indian knowledge as well as an author on astrology. His breadth does not represent the survival of a pre-specialized mind. It reflects the connected problems that calculation, place, calendar, and celestial position posed. To compare eras, measure the earth, determine a direction, or cast a figure required movements across fields modern readers often separate.</w:t>
      </w:r>
    </w:p>
    <w:p w14:paraId="7CA39798" w14:textId="77777777" w:rsidR="002E411F" w:rsidRPr="002E411F" w:rsidRDefault="002E411F" w:rsidP="002E411F">
      <w:pPr>
        <w:pStyle w:val="BookBody"/>
      </w:pPr>
      <w:r w:rsidRPr="002E411F">
        <w:rPr>
          <w:szCs w:val="28"/>
        </w:rPr>
        <w:t xml:space="preserve">The </w:t>
      </w:r>
      <w:r w:rsidRPr="002E411F">
        <w:rPr>
          <w:i/>
          <w:szCs w:val="28"/>
        </w:rPr>
        <w:t>Book of Instruction</w:t>
      </w:r>
      <w:r w:rsidRPr="002E411F">
        <w:rPr>
          <w:szCs w:val="28"/>
        </w:rPr>
        <w:t xml:space="preserve"> begins with definitions and elementary demonstrations because al-Bīrūnī refuses to let the prestige of judgment outrun the labor of learning. Geometry comes before the cosmos, and the cosmos before the decree. The sequence also resists initiation by mystery. The student is not asked to trust an astrologer’s charisma. Terms are defined, procedures displayed, diagrams supplied, and relations made inspectable. Mediation becomes teachable.</w:t>
      </w:r>
    </w:p>
    <w:p w14:paraId="2AFB9AB4" w14:textId="77777777" w:rsidR="002E411F" w:rsidRPr="002E411F" w:rsidRDefault="002E411F" w:rsidP="002E411F">
      <w:pPr>
        <w:pStyle w:val="BookBody"/>
      </w:pPr>
      <w:r w:rsidRPr="002E411F">
        <w:rPr>
          <w:szCs w:val="28"/>
        </w:rPr>
        <w:t>His treatment of the astrolabe is exemplary. The instrument is a “star-finder,” but it does not reveal a secret message by itself. It allows the trained observer to determine time by day or night and to solve a range of astronomical problems with speed and accuracy. Its value lies in compressed relations: circles of a three-dimensional sphere have been projected onto a plane without losing the mathematical structure needed for use. The artisan’s plate, the geometer’s projection, the observer’s sighting, and the calculator’s inference meet in one object.</w:t>
      </w:r>
      <w:r w:rsidRPr="002E411F">
        <w:rPr>
          <w:szCs w:val="28"/>
          <w:vertAlign w:val="superscript"/>
        </w:rPr>
        <w:t>15</w:t>
      </w:r>
    </w:p>
    <w:p w14:paraId="116AC83B" w14:textId="77777777" w:rsidR="002E411F" w:rsidRPr="002E411F" w:rsidRDefault="002E411F" w:rsidP="002E411F">
      <w:pPr>
        <w:pStyle w:val="BookBody"/>
      </w:pPr>
      <w:r w:rsidRPr="002E411F">
        <w:rPr>
          <w:szCs w:val="28"/>
        </w:rPr>
        <w:t>At the transition to judicial astrology, al-Bīrūnī’s tone changes. He acknowledges that the public commonly regards the art as the fruit of the mathematical sciences, the reason for learning the rest. He also signals that his own confidence is lower than that of its enthusiasts. This is not a theatrical disclaimer before business proceeds unchanged. It locates degrees of warrant inside the book. A correct calculation of an ascendant and a confident prediction from it are not the same intellectual act.</w:t>
      </w:r>
      <w:r w:rsidRPr="002E411F">
        <w:rPr>
          <w:szCs w:val="28"/>
          <w:vertAlign w:val="superscript"/>
        </w:rPr>
        <w:t>16</w:t>
      </w:r>
    </w:p>
    <w:p w14:paraId="489034EF" w14:textId="77777777" w:rsidR="002E411F" w:rsidRPr="002E411F" w:rsidRDefault="002E411F" w:rsidP="002E411F">
      <w:pPr>
        <w:pStyle w:val="BookBody"/>
      </w:pPr>
      <w:r w:rsidRPr="002E411F">
        <w:rPr>
          <w:szCs w:val="28"/>
        </w:rPr>
        <w:t>Al-Bīrūnī’s mediation is therefore neither public credulity nor private escape from the world. It is judgment disciplined from within by proportion between claim and evidence. The cosmos remains legible, but legibility comes in degrees. A table may be exact within its parameters; an observation may correct the table; an instrument may introduce error; a causal rule may be general; a particular event may depend on conditions the interpreter does not know. Intellectual maturity consists partly in refusing to give every layer the certainty of the strongest.</w:t>
      </w:r>
    </w:p>
    <w:p w14:paraId="5F4B82D3" w14:textId="77777777" w:rsidR="002E411F" w:rsidRPr="002E411F" w:rsidRDefault="002E411F" w:rsidP="002E411F">
      <w:pPr>
        <w:pStyle w:val="SectionHeading"/>
      </w:pPr>
      <w:r w:rsidRPr="002E411F">
        <w:rPr>
          <w:bCs/>
          <w:szCs w:val="28"/>
        </w:rPr>
        <w:t>Time, Prayer, and Direction</w:t>
      </w:r>
    </w:p>
    <w:p w14:paraId="6EE6B5DC" w14:textId="77777777" w:rsidR="002E411F" w:rsidRPr="002E411F" w:rsidRDefault="002E411F" w:rsidP="002E411F">
      <w:pPr>
        <w:pStyle w:val="BookBody"/>
      </w:pPr>
      <w:r w:rsidRPr="002E411F">
        <w:rPr>
          <w:szCs w:val="28"/>
        </w:rPr>
        <w:t>The astral sciences were not sustained only by courts seeking predictions. Islamic worship gave recurring celestial problems to ordinary communal life. The five daily prayers are related to changing solar phenomena rather than to identical hours on a mechanical clock. The lunar calendar requires attention to months and crescent visibility. The direction of prayer must be determined from places spread across a growing world. These needs did not dictate one mathematical method, but they created durable occasions for astronomy.</w:t>
      </w:r>
      <w:r w:rsidRPr="002E411F">
        <w:rPr>
          <w:szCs w:val="28"/>
          <w:vertAlign w:val="superscript"/>
        </w:rPr>
        <w:t>17</w:t>
      </w:r>
    </w:p>
    <w:p w14:paraId="23DBB7A1" w14:textId="77777777" w:rsidR="002E411F" w:rsidRPr="002E411F" w:rsidRDefault="002E411F" w:rsidP="002E411F">
      <w:pPr>
        <w:pStyle w:val="BookBody"/>
      </w:pPr>
      <w:r w:rsidRPr="002E411F">
        <w:rPr>
          <w:szCs w:val="28"/>
        </w:rPr>
        <w:t>Scholars, legal authorities, muezzins, and specialists in timekeeping did not always approach these problems in the same way. Mathematical astronomers could calculate solar altitude, declination, latitude, and great-circle direction. Legal scholars could reason from visible signs available to a community without instruments. Folk astronomical schemes organized shadows, winds, risings, and horizon phenomena. The coexistence of methods was not simply a contest between knowledge and ignorance. It reflected different standards of accessibility, ritual sufficiency, locality, and precision.</w:t>
      </w:r>
    </w:p>
    <w:p w14:paraId="3F2054F5" w14:textId="77777777" w:rsidR="002E411F" w:rsidRPr="002E411F" w:rsidRDefault="002E411F" w:rsidP="002E411F">
      <w:pPr>
        <w:pStyle w:val="BookBody"/>
      </w:pPr>
      <w:r w:rsidRPr="002E411F">
        <w:rPr>
          <w:szCs w:val="28"/>
        </w:rPr>
        <w:t xml:space="preserve">David King’s studies reveal extensive traditions of tables for timekeeping and prayer, including schemes adapted to particular localities. The profession of the </w:t>
      </w:r>
      <w:r w:rsidRPr="002E411F">
        <w:rPr>
          <w:i/>
          <w:szCs w:val="28"/>
        </w:rPr>
        <w:t>muwaqqit</w:t>
      </w:r>
      <w:r w:rsidRPr="002E411F">
        <w:rPr>
          <w:szCs w:val="28"/>
        </w:rPr>
        <w:t>, associated especially with mosques in later centuries, joined mathematical expertise to the regulation of communal time. Yet much of the work occurred without a single centralized institution. A useful table could be copied, recalculated for a new latitude, incorporated into a handbook, or taught alongside an instrument. The daily return of prayer made celestial knowledge habitual rather than exceptional.</w:t>
      </w:r>
      <w:r w:rsidRPr="002E411F">
        <w:rPr>
          <w:szCs w:val="28"/>
          <w:vertAlign w:val="superscript"/>
        </w:rPr>
        <w:t>18</w:t>
      </w:r>
    </w:p>
    <w:p w14:paraId="5668210E" w14:textId="77777777" w:rsidR="002E411F" w:rsidRPr="002E411F" w:rsidRDefault="002E411F" w:rsidP="002E411F">
      <w:pPr>
        <w:pStyle w:val="BookBody"/>
      </w:pPr>
      <w:r w:rsidRPr="002E411F">
        <w:rPr>
          <w:szCs w:val="28"/>
        </w:rPr>
        <w:t>The qibla intensifies the relation between cosmic order and embodied orientation. A worshiper stands at a point on a spherical earth and turns toward a place that may be beyond the horizon. Determining that direction can require geography, coordinates, spherical geometry, and astronomical observation. But the result is enacted by a body. Number becomes direction; direction becomes communal alignment; the measured world becomes the space of address.</w:t>
      </w:r>
    </w:p>
    <w:p w14:paraId="73C8FF0F" w14:textId="77777777" w:rsidR="002E411F" w:rsidRPr="002E411F" w:rsidRDefault="002E411F" w:rsidP="002E411F">
      <w:pPr>
        <w:pStyle w:val="BookBody"/>
      </w:pPr>
      <w:r w:rsidRPr="002E411F">
        <w:rPr>
          <w:szCs w:val="28"/>
        </w:rPr>
        <w:t>This is mediation without divination. The heavens do not disclose which choice the worshiper should make tomorrow. They help locate the body within a created order so that an already-given act may be performed. The distinction matters. Astral knowledge can serve revelation without deriving revelation from the stars. It can order reception without becoming the source of the gift.</w:t>
      </w:r>
    </w:p>
    <w:p w14:paraId="00EDCEA6" w14:textId="77777777" w:rsidR="002E411F" w:rsidRPr="002E411F" w:rsidRDefault="002E411F" w:rsidP="002E411F">
      <w:pPr>
        <w:pStyle w:val="SectionHeading"/>
      </w:pPr>
      <w:r w:rsidRPr="002E411F">
        <w:rPr>
          <w:bCs/>
          <w:szCs w:val="28"/>
        </w:rPr>
        <w:t>Avicenna’s Necessary and Possible World</w:t>
      </w:r>
    </w:p>
    <w:p w14:paraId="3E1D74DF" w14:textId="77777777" w:rsidR="002E411F" w:rsidRPr="002E411F" w:rsidRDefault="002E411F" w:rsidP="002E411F">
      <w:pPr>
        <w:pStyle w:val="BookBody"/>
      </w:pPr>
      <w:r w:rsidRPr="002E411F">
        <w:rPr>
          <w:szCs w:val="28"/>
        </w:rPr>
        <w:t>Avicenna gives the created cosmos its most powerful philosophical architecture in the medieval Islamic world. His distinction between the Necessary Existent in itself and everything merely possible in itself allows dependence to be described more radically than a temporal beginning. A possible being does not contain within its essence the sufficient reason for its existence. If it exists, its existence comes through a cause. The entire chain of possible beings therefore depends upon the one whose existence is not received.</w:t>
      </w:r>
    </w:p>
    <w:p w14:paraId="0B195C31" w14:textId="77777777" w:rsidR="002E411F" w:rsidRPr="002E411F" w:rsidRDefault="002E411F" w:rsidP="002E411F">
      <w:pPr>
        <w:pStyle w:val="BookBody"/>
      </w:pPr>
      <w:r w:rsidRPr="002E411F">
        <w:rPr>
          <w:szCs w:val="28"/>
        </w:rPr>
        <w:t>This account changes the meaning of creation without making the world less ordered. The Necessary Existent is not the first object in a sequence of similar objects. Divine unity excludes composition, potentiality, and dependence. From the First proceeds an ordered series of intellects, celestial souls, and spheres, culminating in the active intellect associated with the sublunary world. The universe is intelligible because causality and intelligibility belong together. Each level receives and communicates being according to its mode.</w:t>
      </w:r>
      <w:r w:rsidRPr="002E411F">
        <w:rPr>
          <w:szCs w:val="28"/>
          <w:vertAlign w:val="superscript"/>
        </w:rPr>
        <w:t>19</w:t>
      </w:r>
    </w:p>
    <w:p w14:paraId="66F2862F" w14:textId="77777777" w:rsidR="002E411F" w:rsidRPr="002E411F" w:rsidRDefault="002E411F" w:rsidP="002E411F">
      <w:pPr>
        <w:pStyle w:val="BookBody"/>
      </w:pPr>
      <w:r w:rsidRPr="002E411F">
        <w:rPr>
          <w:szCs w:val="28"/>
        </w:rPr>
        <w:t>The celestial spheres are not dead mechanisms. Their motions express cognition and desire: each soul apprehends a good and moves its body in imitation or longing. The plurality and complexity of visible motions correspond to an articulated hierarchy of immaterial and embodied causes. The heavens mediate being, motion, order, and the preparation of matter for forms. Their life is not biological, and their intelligence is not human deliberation. Yet calling the cosmos living is more than metaphor within this scheme.</w:t>
      </w:r>
    </w:p>
    <w:p w14:paraId="0112B6BC" w14:textId="77777777" w:rsidR="002E411F" w:rsidRPr="002E411F" w:rsidRDefault="002E411F" w:rsidP="002E411F">
      <w:pPr>
        <w:pStyle w:val="BookBody"/>
      </w:pPr>
      <w:r w:rsidRPr="002E411F">
        <w:rPr>
          <w:szCs w:val="28"/>
        </w:rPr>
        <w:t>Avicenna’s doctrine of providence follows from divine self-knowledge and the order proceeding from it. God does not deliberate among unrealized alternatives, discover particulars as they happen, or intervene after the system fails. The good order of the whole proceeds from the First’s knowledge of itself as cause. Evil has no independent principle. It arises as privation within finite material conditions, permitted because a world of generation and corruption makes possible goods that would otherwise not exist.</w:t>
      </w:r>
      <w:r w:rsidRPr="002E411F">
        <w:rPr>
          <w:szCs w:val="28"/>
          <w:vertAlign w:val="superscript"/>
        </w:rPr>
        <w:t>20</w:t>
      </w:r>
    </w:p>
    <w:p w14:paraId="45F8EEDD" w14:textId="77777777" w:rsidR="002E411F" w:rsidRPr="002E411F" w:rsidRDefault="002E411F" w:rsidP="002E411F">
      <w:pPr>
        <w:pStyle w:val="BookBody"/>
      </w:pPr>
      <w:r w:rsidRPr="002E411F">
        <w:rPr>
          <w:szCs w:val="28"/>
        </w:rPr>
        <w:t>This is a majestic mediation, but it creates a pressure different from the one felt by al-Kindī. If the order proceeds necessarily from the Necessary, where is divine freedom? If providence concerns the intelligible order of the whole, how is the singular sufferer known? If celestial and terrestrial causes form a continuous hierarchy, how can a human act be genuinely open? Avicenna’s answers depend upon distinctions among kinds of necessity, the immateriality of intellect, and God’s universal manner of knowing particulars. Those answers would become central to later Muslim, Jewish, and Christian debate.</w:t>
      </w:r>
    </w:p>
    <w:p w14:paraId="79F06056" w14:textId="77777777" w:rsidR="002E411F" w:rsidRPr="002E411F" w:rsidRDefault="002E411F" w:rsidP="002E411F">
      <w:pPr>
        <w:pStyle w:val="SectionHeading"/>
      </w:pPr>
      <w:r w:rsidRPr="002E411F">
        <w:rPr>
          <w:bCs/>
          <w:szCs w:val="28"/>
        </w:rPr>
        <w:t>Why the Astrologer Still Cannot Know</w:t>
      </w:r>
    </w:p>
    <w:p w14:paraId="15ACB68F" w14:textId="77777777" w:rsidR="002E411F" w:rsidRPr="002E411F" w:rsidRDefault="002E411F" w:rsidP="002E411F">
      <w:pPr>
        <w:pStyle w:val="BookBody"/>
      </w:pPr>
      <w:r w:rsidRPr="002E411F">
        <w:rPr>
          <w:szCs w:val="28"/>
        </w:rPr>
        <w:t>One might expect Avicenna’s causally ordered heaven to secure astrology. It does not. He wrote a refutation of astrologers, and his philosophical principles explain why rejecting their predictions need not require an inert sky. Celestial bodies may contribute to events below while the human art of determining their particular effects remains radically inadequate.</w:t>
      </w:r>
      <w:r w:rsidRPr="002E411F">
        <w:rPr>
          <w:szCs w:val="28"/>
          <w:vertAlign w:val="superscript"/>
        </w:rPr>
        <w:t>21</w:t>
      </w:r>
    </w:p>
    <w:p w14:paraId="1DE45468" w14:textId="77777777" w:rsidR="002E411F" w:rsidRPr="002E411F" w:rsidRDefault="002E411F" w:rsidP="002E411F">
      <w:pPr>
        <w:pStyle w:val="BookBody"/>
      </w:pPr>
      <w:r w:rsidRPr="002E411F">
        <w:rPr>
          <w:szCs w:val="28"/>
        </w:rPr>
        <w:t>The distance between cause and forecast is decisive. A terrestrial event arises from intersecting conditions: the universal celestial motions, the disposition of matter, geographical place, season, parentage, nutrition, environment, prior actions, and accidental encounters. The astrologer selects a small set of celestial indicators and treats them as though they enclosed the whole causal field. Even if every selected relation is real, the unselected causes can alter or defeat the predicted outcome.</w:t>
      </w:r>
    </w:p>
    <w:p w14:paraId="5B86E60F" w14:textId="77777777" w:rsidR="002E411F" w:rsidRPr="002E411F" w:rsidRDefault="002E411F" w:rsidP="002E411F">
      <w:pPr>
        <w:pStyle w:val="BookBody"/>
      </w:pPr>
      <w:r w:rsidRPr="002E411F">
        <w:rPr>
          <w:szCs w:val="28"/>
        </w:rPr>
        <w:t>Particular matter is especially resistant to total calculation. A celestial cause does not act upon undifferentiated passivity. It acts upon this body, with this mixture, history, location, and set of proximate causes. Medicine offers an analogy. A physician may know that a drug ordinarily cools, yet the effect in a particular patient depends upon dosage, constitution, disease, diet, and competing influences. Knowledge of a general causal power is not knowledge of every event in which it participates.</w:t>
      </w:r>
    </w:p>
    <w:p w14:paraId="6134A3D7" w14:textId="77777777" w:rsidR="002E411F" w:rsidRPr="002E411F" w:rsidRDefault="002E411F" w:rsidP="002E411F">
      <w:pPr>
        <w:pStyle w:val="BookBody"/>
      </w:pPr>
      <w:r w:rsidRPr="002E411F">
        <w:rPr>
          <w:szCs w:val="28"/>
        </w:rPr>
        <w:t>Human rationality deepens the limit. Imagination and appetite are affected by bodily temperament, but intellect is not simply a bodily organ. Deliberation can redirect an inclination, and knowledge of an impending danger can itself become a cause that changes the result. Prediction enters the field it predicts. The astrologer who warns a ruler may contribute to a war, avert a journey, produce fear, or invite a rival’s manipulation. What looked like celestial foresight becomes one terrestrial cause among others.</w:t>
      </w:r>
    </w:p>
    <w:p w14:paraId="3B7E5981" w14:textId="77777777" w:rsidR="002E411F" w:rsidRPr="002E411F" w:rsidRDefault="002E411F" w:rsidP="002E411F">
      <w:pPr>
        <w:pStyle w:val="BookBody"/>
      </w:pPr>
      <w:r w:rsidRPr="002E411F">
        <w:rPr>
          <w:szCs w:val="28"/>
        </w:rPr>
        <w:t>Avicenna thus offers a more exact answer than either acceptance or denial. The heavens can be causally alive without being a publicly readable script of individual destiny. Ontological mediation exceeds epistemic mastery. The order by which an event occurs and the signs by which a finite knower might predict it are not identical. A living cosmos may be fullest precisely where it cannot be possessed as information.</w:t>
      </w:r>
    </w:p>
    <w:p w14:paraId="793C8100" w14:textId="77777777" w:rsidR="002E411F" w:rsidRPr="002E411F" w:rsidRDefault="002E411F" w:rsidP="002E411F">
      <w:pPr>
        <w:pStyle w:val="SectionHeading"/>
      </w:pPr>
      <w:r w:rsidRPr="002E411F">
        <w:rPr>
          <w:bCs/>
          <w:szCs w:val="28"/>
        </w:rPr>
        <w:t>Astronomy Defines Itself Through Criticism</w:t>
      </w:r>
    </w:p>
    <w:p w14:paraId="212DE6B8" w14:textId="77777777" w:rsidR="002E411F" w:rsidRPr="002E411F" w:rsidRDefault="002E411F" w:rsidP="002E411F">
      <w:pPr>
        <w:pStyle w:val="BookBody"/>
      </w:pPr>
      <w:r w:rsidRPr="002E411F">
        <w:rPr>
          <w:szCs w:val="28"/>
        </w:rPr>
        <w:t xml:space="preserve">The difference between a meaningful heaven and a mastered future also appears inside mathematical astronomy. Ptolemy’s </w:t>
      </w:r>
      <w:r w:rsidRPr="002E411F">
        <w:rPr>
          <w:i/>
          <w:szCs w:val="28"/>
        </w:rPr>
        <w:t>Almagest</w:t>
      </w:r>
      <w:r w:rsidRPr="002E411F">
        <w:rPr>
          <w:szCs w:val="28"/>
        </w:rPr>
        <w:t xml:space="preserve"> supplied extraordinarily successful geometrical models for planetary positions. Yet those models raised physical questions. Eccentrics, epicycles, and especially the equant could reproduce observed inequalities, but did their motions correspond to possible celestial bodies? Could a set of calculating devices also be a coherent account of the heavens’ configuration?</w:t>
      </w:r>
    </w:p>
    <w:p w14:paraId="78F8F549" w14:textId="77777777" w:rsidR="002E411F" w:rsidRPr="002E411F" w:rsidRDefault="002E411F" w:rsidP="002E411F">
      <w:pPr>
        <w:pStyle w:val="BookBody"/>
      </w:pPr>
      <w:r w:rsidRPr="002E411F">
        <w:rPr>
          <w:szCs w:val="28"/>
        </w:rPr>
        <w:t xml:space="preserve">Islamicate astronomers did not merely transmit the question. Ibn al-Haytham’s </w:t>
      </w:r>
      <w:r w:rsidRPr="002E411F">
        <w:rPr>
          <w:i/>
          <w:szCs w:val="28"/>
        </w:rPr>
        <w:t>Doubts Concerning Ptolemy</w:t>
      </w:r>
      <w:r w:rsidRPr="002E411F">
        <w:rPr>
          <w:szCs w:val="28"/>
        </w:rPr>
        <w:t xml:space="preserve"> and works on the configuration of the world sharpened a program in which mathematical models should correspond to real, ordered motions of bodies. To replace a circle with a solid orb is not a decorative change. Orbs must fit together, carry one another, and move without impossible tearing or collision. Astronomy becomes answerable at once to observation, geometry, and natural philosophy.</w:t>
      </w:r>
      <w:r w:rsidRPr="002E411F">
        <w:rPr>
          <w:szCs w:val="28"/>
          <w:vertAlign w:val="superscript"/>
        </w:rPr>
        <w:t>22</w:t>
      </w:r>
    </w:p>
    <w:p w14:paraId="01E6E690" w14:textId="77777777" w:rsidR="002E411F" w:rsidRPr="002E411F" w:rsidRDefault="002E411F" w:rsidP="002E411F">
      <w:pPr>
        <w:pStyle w:val="BookBody"/>
      </w:pPr>
      <w:r w:rsidRPr="002E411F">
        <w:rPr>
          <w:szCs w:val="28"/>
        </w:rPr>
        <w:t>George Saliba describes this development as astronomy defining itself through critical innovation. The discipline did not become autonomous by ceasing to converse with philosophy or religion. It acquired clearer problems by discovering conflicts among inherited authorities. Aristotelian principles could be used against a Ptolemaic construction; observations could expose defective parameters; mathematical alternatives could preserve predictive success while changing the physical account. Authority became plural enough to make criticism unavoidable.</w:t>
      </w:r>
      <w:r w:rsidRPr="002E411F">
        <w:rPr>
          <w:szCs w:val="28"/>
          <w:vertAlign w:val="superscript"/>
        </w:rPr>
        <w:t>23</w:t>
      </w:r>
    </w:p>
    <w:p w14:paraId="1227CB4D" w14:textId="77777777" w:rsidR="002E411F" w:rsidRPr="002E411F" w:rsidRDefault="002E411F" w:rsidP="002E411F">
      <w:pPr>
        <w:pStyle w:val="BookBody"/>
      </w:pPr>
      <w:r w:rsidRPr="002E411F">
        <w:rPr>
          <w:szCs w:val="28"/>
        </w:rPr>
        <w:t xml:space="preserve">This history complicates the word </w:t>
      </w:r>
      <w:r w:rsidRPr="002E411F">
        <w:rPr>
          <w:i/>
          <w:szCs w:val="28"/>
        </w:rPr>
        <w:t>science</w:t>
      </w:r>
      <w:r w:rsidRPr="002E411F">
        <w:rPr>
          <w:szCs w:val="28"/>
        </w:rPr>
        <w:t>. There was no simple method applied uniformly to neutral data. Astronomers argued about what counted as an acceptable model, whether a mathematical device had to be physically realizable, how much observational discrepancy justified revision, and whether natural philosophy should legislate for astronomy. The arguments were productive because no single discipline could settle them alone.</w:t>
      </w:r>
    </w:p>
    <w:p w14:paraId="1BAF0A2A" w14:textId="77777777" w:rsidR="002E411F" w:rsidRPr="002E411F" w:rsidRDefault="002E411F" w:rsidP="002E411F">
      <w:pPr>
        <w:pStyle w:val="BookBody"/>
      </w:pPr>
      <w:r w:rsidRPr="002E411F">
        <w:rPr>
          <w:szCs w:val="28"/>
        </w:rPr>
        <w:t>The living cosmos was transformed in the process. A geometrically ordered sky need not be less alive than a mythic one, but its modes of mediation change. Demonstration disciplines imagination. Observation tests inherited parameters. Physical criticism insists that intelligibility belong to bodies rather than only to diagrams. The result is not disenchantment. It is a more demanding account of what it means for the heavens to be real.</w:t>
      </w:r>
    </w:p>
    <w:p w14:paraId="2525B8CA" w14:textId="77777777" w:rsidR="002E411F" w:rsidRPr="002E411F" w:rsidRDefault="002E411F" w:rsidP="002E411F">
      <w:pPr>
        <w:pStyle w:val="SectionHeading"/>
      </w:pPr>
      <w:r w:rsidRPr="002E411F">
        <w:rPr>
          <w:bCs/>
          <w:szCs w:val="28"/>
        </w:rPr>
        <w:t>The Zīj: A Cosmos in Tables</w:t>
      </w:r>
    </w:p>
    <w:p w14:paraId="332ED475" w14:textId="77777777" w:rsidR="002E411F" w:rsidRPr="002E411F" w:rsidRDefault="002E411F" w:rsidP="002E411F">
      <w:pPr>
        <w:pStyle w:val="BookBody"/>
      </w:pPr>
      <w:r w:rsidRPr="002E411F">
        <w:rPr>
          <w:szCs w:val="28"/>
        </w:rPr>
        <w:t xml:space="preserve">If the astrolabe places a projected heaven in the hand, the </w:t>
      </w:r>
      <w:r w:rsidRPr="002E411F">
        <w:rPr>
          <w:i/>
          <w:szCs w:val="28"/>
        </w:rPr>
        <w:t>zīj</w:t>
      </w:r>
      <w:r w:rsidRPr="002E411F">
        <w:rPr>
          <w:szCs w:val="28"/>
        </w:rPr>
        <w:t xml:space="preserve"> places generations of celestial labor in columns. A zīj is not simply a list of observations. It is an astronomical handbook containing tables and rules for computing positions, calendars, time, eclipses, rising times, geographical data, or other problems. Its numerical values embody choices among models, parameters, epochs, meridians, and observational traditions.</w:t>
      </w:r>
    </w:p>
    <w:p w14:paraId="26995363" w14:textId="77777777" w:rsidR="002E411F" w:rsidRPr="002E411F" w:rsidRDefault="002E411F" w:rsidP="002E411F">
      <w:pPr>
        <w:pStyle w:val="BookBody"/>
      </w:pPr>
      <w:r w:rsidRPr="002E411F">
        <w:rPr>
          <w:szCs w:val="28"/>
        </w:rPr>
        <w:t>Tables make the sky portable. A calculator need not repeat the observation or derive every theorem in order to use a prepared relation. The compression multiplies knowledge, but it also hides its history. A value may descend from Ptolemy, an Indian canon, a Sasanian table, an Abbasid observing program, or a later correction. When a zīj is adapted to a new meridian, the cosmos does not change, but its operational coordinates do. Universal order becomes locally usable.</w:t>
      </w:r>
    </w:p>
    <w:p w14:paraId="6320D05C" w14:textId="77777777" w:rsidR="002E411F" w:rsidRPr="002E411F" w:rsidRDefault="002E411F" w:rsidP="002E411F">
      <w:pPr>
        <w:pStyle w:val="BookBody"/>
      </w:pPr>
      <w:r w:rsidRPr="002E411F">
        <w:rPr>
          <w:szCs w:val="28"/>
        </w:rPr>
        <w:t>This portability is one reason the preservation narrative fails. Copying a table can be conservative; using it elsewhere requires interpretation. Epochs must be converted. Calendars must be reconciled. Coordinates may be missing or wrong. Precession alters stellar longitudes. An observer may find systematic disagreement between computed and observed positions. The zīj invites revision because its precision makes deviation visible.</w:t>
      </w:r>
    </w:p>
    <w:p w14:paraId="7CE639A0" w14:textId="77777777" w:rsidR="002E411F" w:rsidRPr="002E411F" w:rsidRDefault="002E411F" w:rsidP="002E411F">
      <w:pPr>
        <w:pStyle w:val="BookBody"/>
      </w:pPr>
      <w:r w:rsidRPr="002E411F">
        <w:rPr>
          <w:szCs w:val="28"/>
        </w:rPr>
        <w:t>Al-Andalus and the Maghrib show these processes across centuries. Maslama al-Majrīṭī and his school worked with inherited astronomical materials while adapting and extending them. Ibn al-Zarqālluh’s Toledan theories and tables moved through later Andalusi and North African recensions. Ibn Isḥāq’s unfinished zīj generated multiple editions by indirect disciples. In the fourteenth and fifteenth centuries, Maghribi astronomers continued observing, recomputing planetary longitudes, and comparing traditions. There is no single westward delivery point at which the work is completed.</w:t>
      </w:r>
      <w:r w:rsidRPr="002E411F">
        <w:rPr>
          <w:szCs w:val="28"/>
          <w:vertAlign w:val="superscript"/>
        </w:rPr>
        <w:t>24</w:t>
      </w:r>
    </w:p>
    <w:p w14:paraId="273DB805" w14:textId="77777777" w:rsidR="002E411F" w:rsidRPr="002E411F" w:rsidRDefault="002E411F" w:rsidP="002E411F">
      <w:pPr>
        <w:pStyle w:val="BookBody"/>
      </w:pPr>
      <w:r w:rsidRPr="002E411F">
        <w:rPr>
          <w:szCs w:val="28"/>
        </w:rPr>
        <w:t>A table is therefore a form of social memory. It preserves the labor of persons absent from the calculation, but it preserves that labor in a form open to correction. Its authority is neither personal revelation nor mechanical certainty. Users trust a chain of observation, text, number, and copying while retaining the ability—at least in principle—to test the result against the sky.</w:t>
      </w:r>
    </w:p>
    <w:p w14:paraId="05C96C44" w14:textId="77777777" w:rsidR="002E411F" w:rsidRPr="002E411F" w:rsidRDefault="002E411F" w:rsidP="002E411F">
      <w:pPr>
        <w:pStyle w:val="SectionHeading"/>
      </w:pPr>
      <w:r w:rsidRPr="002E411F">
        <w:rPr>
          <w:bCs/>
          <w:szCs w:val="28"/>
        </w:rPr>
        <w:t>The Observatory as Political and Intellectual Form</w:t>
      </w:r>
    </w:p>
    <w:p w14:paraId="1B4B1504" w14:textId="77777777" w:rsidR="002E411F" w:rsidRPr="002E411F" w:rsidRDefault="002E411F" w:rsidP="002E411F">
      <w:pPr>
        <w:pStyle w:val="BookBody"/>
      </w:pPr>
      <w:r w:rsidRPr="002E411F">
        <w:rPr>
          <w:szCs w:val="28"/>
        </w:rPr>
        <w:t>Observatories enlarged this social memory. They required instruments, sites, money, skilled observers, calculators, copyists, and time. Patronage was never external to the science, because the duration and coordination needed for systematic observation exceeded what many individuals could sustain privately. Yet patronage did not dictate a single intellectual result. The observatory gathered interests that could include calendars, astrology, imperial prestige, geographical knowledge, and the correction of planetary theory.</w:t>
      </w:r>
    </w:p>
    <w:p w14:paraId="2A7209A7" w14:textId="77777777" w:rsidR="002E411F" w:rsidRPr="002E411F" w:rsidRDefault="002E411F" w:rsidP="002E411F">
      <w:pPr>
        <w:pStyle w:val="BookBody"/>
      </w:pPr>
      <w:r w:rsidRPr="002E411F">
        <w:rPr>
          <w:szCs w:val="28"/>
        </w:rPr>
        <w:t>The Maragha observatory, begun in the thirteenth century under Hülegü and directed by Naṣīr al-Dīn al-Ṭūsī, makes the point vividly. Its founding followed Mongol conquest and the fall of Baghdad, events that cannot be absorbed into a serene story of scientific progress. Al-Ṭūsī’s own passage from the Ismaʿili fortresses into Mongol service remains morally and historically contested. Astronomical creation occurred within political catastrophe, accommodation, and new patronage.</w:t>
      </w:r>
      <w:r w:rsidRPr="002E411F">
        <w:rPr>
          <w:szCs w:val="28"/>
          <w:vertAlign w:val="superscript"/>
        </w:rPr>
        <w:t>25</w:t>
      </w:r>
    </w:p>
    <w:p w14:paraId="73E92548" w14:textId="77777777" w:rsidR="002E411F" w:rsidRPr="002E411F" w:rsidRDefault="002E411F" w:rsidP="002E411F">
      <w:pPr>
        <w:pStyle w:val="BookBody"/>
      </w:pPr>
      <w:r w:rsidRPr="002E411F">
        <w:rPr>
          <w:szCs w:val="28"/>
        </w:rPr>
        <w:t>Maragha assembled distinguished scholars, instrument makers, observers, students, a substantial library, and even Chinese astronomical participation. Al-Ṭūsī used income from religious endowments in financing the institution, an arrangement that complicates any image of science existing outside religious structures. The observatory was at once workshop, school, archive, and political monument. Its international character was not ornamental; different astronomical traditions could meet because persons and texts were materially brought together.</w:t>
      </w:r>
      <w:r w:rsidRPr="002E411F">
        <w:rPr>
          <w:szCs w:val="28"/>
          <w:vertAlign w:val="superscript"/>
        </w:rPr>
        <w:t>26</w:t>
      </w:r>
    </w:p>
    <w:p w14:paraId="52481E49" w14:textId="77777777" w:rsidR="002E411F" w:rsidRPr="002E411F" w:rsidRDefault="002E411F" w:rsidP="002E411F">
      <w:pPr>
        <w:pStyle w:val="BookBody"/>
      </w:pPr>
      <w:r w:rsidRPr="002E411F">
        <w:rPr>
          <w:szCs w:val="28"/>
        </w:rPr>
        <w:t xml:space="preserve">Observation there contributed to the </w:t>
      </w:r>
      <w:r w:rsidRPr="002E411F">
        <w:rPr>
          <w:i/>
          <w:szCs w:val="28"/>
        </w:rPr>
        <w:t>Ilkhanic Tables</w:t>
      </w:r>
      <w:r w:rsidRPr="002E411F">
        <w:rPr>
          <w:szCs w:val="28"/>
        </w:rPr>
        <w:t>, but the observatory’s deeper importance lies in the community of criticism it supported. Models were compared, parameters tested, instruments constructed, and students trained. A building did not discover the heavens. It stabilized relations among people long enough for cumulative work to occur. The material mediation of knowledge became architectural.</w:t>
      </w:r>
    </w:p>
    <w:p w14:paraId="33BEBC59" w14:textId="77777777" w:rsidR="002E411F" w:rsidRPr="002E411F" w:rsidRDefault="002E411F" w:rsidP="002E411F">
      <w:pPr>
        <w:pStyle w:val="BookBody"/>
      </w:pPr>
      <w:r w:rsidRPr="002E411F">
        <w:rPr>
          <w:szCs w:val="28"/>
        </w:rPr>
        <w:t>Such institutions also expose the limits of the isolated-genius narrative. Al-Ṭūsī’s name rightly marks a major achievement, but Maragha astronomy belonged to collaborators, predecessors, instruments, copied manuscripts, endowments, and later readers. Intellectual agency is not diminished by naming these mediations. It becomes more concrete.</w:t>
      </w:r>
    </w:p>
    <w:p w14:paraId="374C7667" w14:textId="77777777" w:rsidR="002E411F" w:rsidRPr="002E411F" w:rsidRDefault="002E411F" w:rsidP="002E411F">
      <w:pPr>
        <w:pStyle w:val="SectionHeading"/>
      </w:pPr>
      <w:r w:rsidRPr="002E411F">
        <w:rPr>
          <w:bCs/>
          <w:szCs w:val="28"/>
        </w:rPr>
        <w:t>Al-Ṭūsī and the Reality of the Orbs</w:t>
      </w:r>
    </w:p>
    <w:p w14:paraId="0B671F9E" w14:textId="77777777" w:rsidR="002E411F" w:rsidRPr="002E411F" w:rsidRDefault="002E411F" w:rsidP="002E411F">
      <w:pPr>
        <w:pStyle w:val="BookBody"/>
      </w:pPr>
      <w:r w:rsidRPr="002E411F">
        <w:rPr>
          <w:szCs w:val="28"/>
        </w:rPr>
        <w:t xml:space="preserve">Al-Ṭūsī’s </w:t>
      </w:r>
      <w:r w:rsidRPr="002E411F">
        <w:rPr>
          <w:i/>
          <w:szCs w:val="28"/>
        </w:rPr>
        <w:t>Memoir on Astronomy</w:t>
      </w:r>
      <w:r w:rsidRPr="002E411F">
        <w:rPr>
          <w:szCs w:val="28"/>
        </w:rPr>
        <w:t xml:space="preserve"> begins from the need to understand the configuration of celestial bodies, not only circles drawn for calculation. He inherited Ptolemaic models and the critical tradition of Ibn al-Haytham. His task was to preserve observed phenomena while giving the motions a more coherent physical and geometrical form.</w:t>
      </w:r>
    </w:p>
    <w:p w14:paraId="0E34ADD8" w14:textId="77777777" w:rsidR="002E411F" w:rsidRPr="002E411F" w:rsidRDefault="002E411F" w:rsidP="002E411F">
      <w:pPr>
        <w:pStyle w:val="BookBody"/>
      </w:pPr>
      <w:r w:rsidRPr="002E411F">
        <w:rPr>
          <w:szCs w:val="28"/>
        </w:rPr>
        <w:t>The famous Ṭūsī couple shows the creativity of the response. By combining two uniform circular motions, one can generate a reciprocating linear motion. In later planetary constructions, this device helped remove or replace motions that offended the demand for uniform circularity around proper centers. The significance is not that al-Ṭūsī secretly anticipated a later European cosmos. It is that a constraint inherited from natural philosophy became a stimulus to mathematical invention.</w:t>
      </w:r>
      <w:r w:rsidRPr="002E411F">
        <w:rPr>
          <w:szCs w:val="28"/>
          <w:vertAlign w:val="superscript"/>
        </w:rPr>
        <w:t>27</w:t>
      </w:r>
    </w:p>
    <w:p w14:paraId="15FDE8D9" w14:textId="77777777" w:rsidR="002E411F" w:rsidRPr="002E411F" w:rsidRDefault="002E411F" w:rsidP="002E411F">
      <w:pPr>
        <w:pStyle w:val="BookBody"/>
      </w:pPr>
      <w:r w:rsidRPr="002E411F">
        <w:rPr>
          <w:szCs w:val="28"/>
        </w:rPr>
        <w:t>His alternative models could require many additional orbs. Elegance did not mean the smallest number of circles at any price. A model had to save phenomena while making the configuration intelligible as a possible arrangement of celestial bodies. This was not modern physical astronomy, but neither was it free instrumental play. Geometry bore ontological responsibility.</w:t>
      </w:r>
    </w:p>
    <w:p w14:paraId="48DA9B35" w14:textId="77777777" w:rsidR="002E411F" w:rsidRPr="002E411F" w:rsidRDefault="002E411F" w:rsidP="002E411F">
      <w:pPr>
        <w:pStyle w:val="BookBody"/>
      </w:pPr>
      <w:r w:rsidRPr="002E411F">
        <w:rPr>
          <w:szCs w:val="28"/>
        </w:rPr>
        <w:t>The distinction matters for the history of mediation. A purely calculational circle mediates between observations and predictions. A physically interpreted orb also mediates motion from one celestial body to another within the cosmos. Al-Ṭūsī’s criticism asks whether the first mediation can be trusted if it contradicts the second. The mathematical image must answer to the world it claims to disclose.</w:t>
      </w:r>
    </w:p>
    <w:p w14:paraId="058119F2" w14:textId="77777777" w:rsidR="002E411F" w:rsidRPr="002E411F" w:rsidRDefault="002E411F" w:rsidP="002E411F">
      <w:pPr>
        <w:pStyle w:val="BookBody"/>
      </w:pPr>
      <w:r w:rsidRPr="002E411F">
        <w:rPr>
          <w:szCs w:val="28"/>
        </w:rPr>
        <w:t>Later astronomers in Persia and Central Asia continued theoretical and observational work after Maragha. The old decline story, which places a civilizational sunset wherever European ascent is about to begin, cannot contain that continuity. Nor does continuity imply stasis. Commentaries, supercommentaries, new zījes, teaching texts, and institutional settings altered how problems were inherited. A tradition lives not by escaping repetition but by making repetition capable of difference.</w:t>
      </w:r>
    </w:p>
    <w:p w14:paraId="44CD1CA6" w14:textId="77777777" w:rsidR="002E411F" w:rsidRPr="002E411F" w:rsidRDefault="002E411F" w:rsidP="002E411F">
      <w:pPr>
        <w:pStyle w:val="SectionHeading"/>
      </w:pPr>
      <w:r w:rsidRPr="002E411F">
        <w:rPr>
          <w:bCs/>
          <w:szCs w:val="28"/>
        </w:rPr>
        <w:t>Schools, Courts, Homes, and Traveling Scholars</w:t>
      </w:r>
    </w:p>
    <w:p w14:paraId="0BD0EDF1" w14:textId="77777777" w:rsidR="002E411F" w:rsidRPr="002E411F" w:rsidRDefault="002E411F" w:rsidP="002E411F">
      <w:pPr>
        <w:pStyle w:val="BookBody"/>
      </w:pPr>
      <w:r w:rsidRPr="002E411F">
        <w:rPr>
          <w:szCs w:val="28"/>
        </w:rPr>
        <w:t>No single institution owned the sciences across Islamicate societies. In the early centuries, teaching often occurred through private tutors at courts and in wealthy households, scholarly circles, correspondence, and travel. Caliphs, viziers, administrators, merchants, and physicians could act as patrons or hosts. Students sought particular teachers rather than enrolling in an abstract system called Islamic science.</w:t>
      </w:r>
      <w:r w:rsidRPr="002E411F">
        <w:rPr>
          <w:szCs w:val="28"/>
          <w:vertAlign w:val="superscript"/>
        </w:rPr>
        <w:t>28</w:t>
      </w:r>
    </w:p>
    <w:p w14:paraId="6944DDA9" w14:textId="77777777" w:rsidR="002E411F" w:rsidRPr="002E411F" w:rsidRDefault="002E411F" w:rsidP="002E411F">
      <w:pPr>
        <w:pStyle w:val="BookBody"/>
      </w:pPr>
      <w:r w:rsidRPr="002E411F">
        <w:rPr>
          <w:szCs w:val="28"/>
        </w:rPr>
        <w:t>This organization helps explain both mobility and fragility. Knowledge could cross political and confessional boundaries because it traveled with persons and manuscripts. It could also disappear when a circle dissolved, a library scattered, or patronage changed. The same scholar might teach mathematics, compose a philosophical epitome, prepare an astronomical table, practice medicine, and advise a ruler. Categories of knowledge were sustained by careers as much as by buildings.</w:t>
      </w:r>
    </w:p>
    <w:p w14:paraId="11F8958F" w14:textId="77777777" w:rsidR="002E411F" w:rsidRPr="002E411F" w:rsidRDefault="002E411F" w:rsidP="002E411F">
      <w:pPr>
        <w:pStyle w:val="BookBody"/>
      </w:pPr>
      <w:r w:rsidRPr="002E411F">
        <w:rPr>
          <w:szCs w:val="28"/>
        </w:rPr>
        <w:t>From roughly the twelfth century onward, logic, mathematics, medicine, and parts of natural philosophy increasingly entered teaching connected with madrasas, mosques, and other religious institutions in many regions. The change was uneven. It did not transform every madrasa into an observatory or place every science inside a fixed curriculum. It did give teachers posts, students stipends, texts new audiences, and commentarial practices greater institutional continuity.</w:t>
      </w:r>
      <w:r w:rsidRPr="002E411F">
        <w:rPr>
          <w:szCs w:val="28"/>
          <w:vertAlign w:val="superscript"/>
        </w:rPr>
        <w:t>29</w:t>
      </w:r>
    </w:p>
    <w:p w14:paraId="088E376A" w14:textId="77777777" w:rsidR="002E411F" w:rsidRPr="002E411F" w:rsidRDefault="002E411F" w:rsidP="002E411F">
      <w:pPr>
        <w:pStyle w:val="BookBody"/>
      </w:pPr>
      <w:r w:rsidRPr="002E411F">
        <w:rPr>
          <w:szCs w:val="28"/>
        </w:rPr>
        <w:t>Sonja Brentjes emphasizes the variety of methods: reading, writing, oral exposition, visual demonstration, disputation, commentary, and the copying and annotation of texts. Scientific disciplines existed as practices around particular books and teachers. An astrolabe could be learned by seeing as well as reading. A geometrical proof required a diagram and a voice that knew where attention should fall. The transmission of a science was embodied before it became institutional.</w:t>
      </w:r>
    </w:p>
    <w:p w14:paraId="52F09448" w14:textId="77777777" w:rsidR="002E411F" w:rsidRPr="002E411F" w:rsidRDefault="002E411F" w:rsidP="002E411F">
      <w:pPr>
        <w:pStyle w:val="BookBody"/>
      </w:pPr>
      <w:r w:rsidRPr="002E411F">
        <w:rPr>
          <w:szCs w:val="28"/>
        </w:rPr>
        <w:t>The point is not to replace a history of ideas with a history of social conditions. Ideas themselves take form through these conditions. A causal theory defended at court, a table copied in a mosque, a model debated among students, and an instrument made in a workshop do not have identical publics. The plurality of sites helps explain the plurality of Islamicate heavens.</w:t>
      </w:r>
    </w:p>
    <w:p w14:paraId="72755F87" w14:textId="77777777" w:rsidR="002E411F" w:rsidRPr="002E411F" w:rsidRDefault="002E411F" w:rsidP="002E411F">
      <w:pPr>
        <w:pStyle w:val="SectionHeading"/>
      </w:pPr>
      <w:r w:rsidRPr="002E411F">
        <w:rPr>
          <w:bCs/>
          <w:szCs w:val="28"/>
        </w:rPr>
        <w:t>Plural Islamicate Heavens</w:t>
      </w:r>
    </w:p>
    <w:p w14:paraId="1BDEA1ED" w14:textId="77777777" w:rsidR="002E411F" w:rsidRPr="002E411F" w:rsidRDefault="002E411F" w:rsidP="002E411F">
      <w:pPr>
        <w:pStyle w:val="BookBody"/>
      </w:pPr>
      <w:r w:rsidRPr="002E411F">
        <w:rPr>
          <w:szCs w:val="28"/>
        </w:rPr>
        <w:t>There was no consensus called “the Islamic view of astrology.” Qurʾanic language made the heavens created signs: the Sun and Moon move by calculation; night and day invite reflection; stars adorn the sky and assist orientation; all belong to God rather than to rival divinities. The same scriptural world made claims to hidden knowledge dangerous. God knows the unseen, and prophecy cannot be replaced by technique.</w:t>
      </w:r>
    </w:p>
    <w:p w14:paraId="46F6B985" w14:textId="77777777" w:rsidR="002E411F" w:rsidRPr="002E411F" w:rsidRDefault="002E411F" w:rsidP="002E411F">
      <w:pPr>
        <w:pStyle w:val="BookBody"/>
      </w:pPr>
      <w:r w:rsidRPr="002E411F">
        <w:rPr>
          <w:szCs w:val="28"/>
        </w:rPr>
        <w:t>Theological schools differed over causation. A philosopher might describe stable secondary causes proceeding through a hierarchy. An occasionalist theologian could insist that God directly creates events customarily associated with one another. Both could affirm regularity, but they located efficacy differently. If fire does not possess an independent power to burn, the causal confidence of astrology becomes harder to sustain. Yet even occasionalism need not make observation useless; divinely maintained custom can still be practically reliable without becoming necessity.</w:t>
      </w:r>
    </w:p>
    <w:p w14:paraId="0237F48B" w14:textId="77777777" w:rsidR="002E411F" w:rsidRPr="002E411F" w:rsidRDefault="002E411F" w:rsidP="002E411F">
      <w:pPr>
        <w:pStyle w:val="BookBody"/>
      </w:pPr>
      <w:r w:rsidRPr="002E411F">
        <w:rPr>
          <w:szCs w:val="28"/>
        </w:rPr>
        <w:t>Legal and ethical judgments also distinguished practices. Mathematical astronomy, calendar calculation, and direction-finding could be praised as useful. Astrological claims might be condemned when they asserted necessity, claimed knowledge of the unseen, encouraged magical operations, or displaced trust in God. Other writers permitted limited natural effects or weather prognostication while rejecting natal and interrogational judgments. The border did not fall in the same place for every author.</w:t>
      </w:r>
    </w:p>
    <w:p w14:paraId="37AD2814" w14:textId="77777777" w:rsidR="002E411F" w:rsidRPr="002E411F" w:rsidRDefault="002E411F" w:rsidP="002E411F">
      <w:pPr>
        <w:pStyle w:val="BookBody"/>
      </w:pPr>
      <w:r w:rsidRPr="002E411F">
        <w:rPr>
          <w:szCs w:val="28"/>
        </w:rPr>
        <w:t>Philosophers also disagreed. Al-Kindī and Abū Maʿshar constructed strong defenses of astral causation. Al-Fārābī criticized astrologers’ claims. Avicenna affirmed a causally articulated cosmos while denying that astrologers possessed the knowledge required for confident particular predictions. Al-Bīrūnī taught the vocabulary and calculations of the art while marking its inferior certainty. These are not stages in a simple advance from faith to reason or superstition to science. They are rival settlements of the same problem.</w:t>
      </w:r>
    </w:p>
    <w:p w14:paraId="08E747DC" w14:textId="77777777" w:rsidR="002E411F" w:rsidRPr="002E411F" w:rsidRDefault="002E411F" w:rsidP="002E411F">
      <w:pPr>
        <w:pStyle w:val="BookBody"/>
      </w:pPr>
      <w:r w:rsidRPr="002E411F">
        <w:rPr>
          <w:szCs w:val="28"/>
        </w:rPr>
        <w:t>Jewish and Christian scholars participated within these societies and carried astral arguments into their own traditions. Māshāʾallāh was Jewish; many translators were Christian; later Jewish philosophers in al-Andalus and beyond ranged from committed astrologers to forceful critics. Confessional identity influenced judgment but did not mechanically determine it. The science of the stars crossed communities because the heavens, texts, instruments, courts, illnesses, calendars, and political anxieties were shared.</w:t>
      </w:r>
    </w:p>
    <w:p w14:paraId="2BBC7D11" w14:textId="77777777" w:rsidR="002E411F" w:rsidRPr="002E411F" w:rsidRDefault="002E411F" w:rsidP="002E411F">
      <w:pPr>
        <w:pStyle w:val="SectionHeading"/>
      </w:pPr>
      <w:r w:rsidRPr="002E411F">
        <w:rPr>
          <w:bCs/>
          <w:szCs w:val="28"/>
        </w:rPr>
        <w:t>Al-Andalus and the Maghrib</w:t>
      </w:r>
    </w:p>
    <w:p w14:paraId="7916CD37" w14:textId="77777777" w:rsidR="002E411F" w:rsidRPr="002E411F" w:rsidRDefault="002E411F" w:rsidP="002E411F">
      <w:pPr>
        <w:pStyle w:val="BookBody"/>
      </w:pPr>
      <w:r w:rsidRPr="002E411F">
        <w:rPr>
          <w:szCs w:val="28"/>
        </w:rPr>
        <w:t>The western Islamicate lands were not merely the doorway through which eastern learning reached Latin Europe. Al-Andalus developed its own schools, tables, instruments, observations, and criticisms. Scholars traveled east, texts moved west, local patrons formed circles, and technical professions connected calculation to social life. Córdoba, Toledo, Zaragoza, Seville, Granada, Fez, Tunis, and Marrakesh belong to a changing geography rather than a single corridor.</w:t>
      </w:r>
    </w:p>
    <w:p w14:paraId="7ACBA13A" w14:textId="77777777" w:rsidR="002E411F" w:rsidRPr="002E411F" w:rsidRDefault="002E411F" w:rsidP="002E411F">
      <w:pPr>
        <w:pStyle w:val="BookBody"/>
      </w:pPr>
      <w:r w:rsidRPr="002E411F">
        <w:rPr>
          <w:szCs w:val="28"/>
        </w:rPr>
        <w:t>Julio Samsó’s work shows how difficult and necessary it is to recover the social history of the exact sciences there. Biographical dictionaries reveal teachers, disciples, journeys, patrons, calculators, instrument makers, astrologers, and officials, but they preserve unevenly what technical texts often leave unnamed. Maslama’s school near the turn of the eleventh century influenced later work in Toledo and Zaragoza. Astronomers could become socially visible when questions of mosque orientation, calendrical order, or courtly service brought their competence into public decisions.</w:t>
      </w:r>
      <w:r w:rsidRPr="002E411F">
        <w:rPr>
          <w:szCs w:val="28"/>
          <w:vertAlign w:val="superscript"/>
        </w:rPr>
        <w:t>30</w:t>
      </w:r>
    </w:p>
    <w:p w14:paraId="70F51DC9" w14:textId="77777777" w:rsidR="002E411F" w:rsidRPr="002E411F" w:rsidRDefault="002E411F" w:rsidP="002E411F">
      <w:pPr>
        <w:pStyle w:val="BookBody"/>
      </w:pPr>
      <w:r w:rsidRPr="002E411F">
        <w:rPr>
          <w:szCs w:val="28"/>
        </w:rPr>
        <w:t>Andalusi scholars did not merely abbreviate eastern works. A star table associated with Maslama’s milieu combined inherited materials with independent computation for the making of astrolabes. Ibn al-Saffār’s lost zīj survives through fragments and later use. Ibn al-Zarqālluh developed theories and tables whose influence extended through the Maghrib and into Latin astronomy. Jābir ibn Aflaḥ criticized Ptolemy’s treatment of Mercury. Each case is a transformation, not a relay.</w:t>
      </w:r>
    </w:p>
    <w:p w14:paraId="0684A1A2" w14:textId="77777777" w:rsidR="002E411F" w:rsidRPr="002E411F" w:rsidRDefault="002E411F" w:rsidP="002E411F">
      <w:pPr>
        <w:pStyle w:val="BookBody"/>
      </w:pPr>
      <w:r w:rsidRPr="002E411F">
        <w:rPr>
          <w:szCs w:val="28"/>
        </w:rPr>
        <w:t>The Maghrib continued these traditions under new political and institutional conditions. Zījes were revised, planetary longitudes calculated, and observations made in the fourteenth and fifteenth centuries. Eastern authors such as al-Bīrūnī could be known selectively and indirectly; Andalusi materials could return east or be recast through North African compilations. Transmission formed loops.</w:t>
      </w:r>
    </w:p>
    <w:p w14:paraId="29396FD6" w14:textId="77777777" w:rsidR="002E411F" w:rsidRPr="002E411F" w:rsidRDefault="002E411F" w:rsidP="002E411F">
      <w:pPr>
        <w:pStyle w:val="BookBody"/>
      </w:pPr>
      <w:r w:rsidRPr="002E411F">
        <w:rPr>
          <w:szCs w:val="28"/>
        </w:rPr>
        <w:t>That looping geography breaks the image of knowledge flowing naturally westward toward Europe. A text could move from Greek into Arabic in Baghdad, be revised in al-Andalus, translated into Latin, later enter a Hebrew version, and return in another form to an Arabic reader. At each crossing, terminology, tables, diagrams, and purposes could change. There is no uncontaminated original waiting at the beginning and no final possessor at the end.</w:t>
      </w:r>
    </w:p>
    <w:p w14:paraId="1B84301F" w14:textId="77777777" w:rsidR="002E411F" w:rsidRPr="002E411F" w:rsidRDefault="002E411F" w:rsidP="002E411F">
      <w:pPr>
        <w:pStyle w:val="SectionHeading"/>
      </w:pPr>
      <w:r w:rsidRPr="002E411F">
        <w:rPr>
          <w:bCs/>
          <w:szCs w:val="28"/>
        </w:rPr>
        <w:t>Arabic into Latin</w:t>
      </w:r>
    </w:p>
    <w:p w14:paraId="3936E4C3" w14:textId="77777777" w:rsidR="002E411F" w:rsidRPr="002E411F" w:rsidRDefault="002E411F" w:rsidP="002E411F">
      <w:pPr>
        <w:pStyle w:val="BookBody"/>
      </w:pPr>
      <w:r w:rsidRPr="002E411F">
        <w:rPr>
          <w:szCs w:val="28"/>
        </w:rPr>
        <w:t>Latin readers began receiving Arabic astral materials before the great twelfth-century translation activity associated with Toledo. Texts on the astrolabe and Arabic astrology circulated through monastic and cathedral centers; tables were adapted to new meridians; scholars moved through southern Italy, Sicily, the Crusader states, and Iberia. The map of translation has several shores.</w:t>
      </w:r>
      <w:r w:rsidRPr="002E411F">
        <w:rPr>
          <w:szCs w:val="28"/>
          <w:vertAlign w:val="superscript"/>
        </w:rPr>
        <w:t>31</w:t>
      </w:r>
    </w:p>
    <w:p w14:paraId="09F2DBF8" w14:textId="77777777" w:rsidR="002E411F" w:rsidRPr="002E411F" w:rsidRDefault="002E411F" w:rsidP="002E411F">
      <w:pPr>
        <w:pStyle w:val="BookBody"/>
      </w:pPr>
      <w:r w:rsidRPr="002E411F">
        <w:rPr>
          <w:szCs w:val="28"/>
        </w:rPr>
        <w:t>Toledo nevertheless became a major center because Arabic books, Latin demand, ecclesiastical patronage, and multilingual competence converged there. The work was neither an impersonal “school of translators” nor a set of isolated accidents. Charles Burnett has shown a degree of coherence in the programs of figures such as Gerard of Cremona and Dominicus Gundissalinus, even though they concentrated on different fields and worked through different collaborations. Lists prepared by Gerard’s associates reveal translations across astronomy, geometry, medicine, philosophy, and other sciences.</w:t>
      </w:r>
      <w:r w:rsidRPr="002E411F">
        <w:rPr>
          <w:szCs w:val="28"/>
          <w:vertAlign w:val="superscript"/>
        </w:rPr>
        <w:t>32</w:t>
      </w:r>
    </w:p>
    <w:p w14:paraId="44ED6560" w14:textId="77777777" w:rsidR="002E411F" w:rsidRPr="002E411F" w:rsidRDefault="002E411F" w:rsidP="002E411F">
      <w:pPr>
        <w:pStyle w:val="BookBody"/>
      </w:pPr>
      <w:r w:rsidRPr="002E411F">
        <w:rPr>
          <w:szCs w:val="28"/>
        </w:rPr>
        <w:t>Translation again required human mediation. A scholar competent in Arabic might construe a passage into a Romance vernacular while a Latin clerk formulated the written text. Other translators worked directly. Revisions altered terminology. A text’s Arabic author could be confused with a Greek authority, and titles could change. Diagrams and tables posed problems distinct from prose. The Latin work was not a transparent window onto an Arabic original; it was a new technical artifact.</w:t>
      </w:r>
    </w:p>
    <w:p w14:paraId="6256FB20" w14:textId="77777777" w:rsidR="002E411F" w:rsidRPr="002E411F" w:rsidRDefault="002E411F" w:rsidP="002E411F">
      <w:pPr>
        <w:pStyle w:val="BookBody"/>
      </w:pPr>
      <w:r w:rsidRPr="002E411F">
        <w:rPr>
          <w:szCs w:val="28"/>
        </w:rPr>
        <w:t xml:space="preserve">Abū Maʿshar’s writings became especially consequential. His </w:t>
      </w:r>
      <w:r w:rsidRPr="002E411F">
        <w:rPr>
          <w:i/>
          <w:szCs w:val="28"/>
        </w:rPr>
        <w:t>Great Introduction</w:t>
      </w:r>
      <w:r w:rsidRPr="002E411F">
        <w:rPr>
          <w:szCs w:val="28"/>
        </w:rPr>
        <w:t xml:space="preserve"> was translated into Latin by John of Seville and by Hermann of Carinthia in the twelfth century. Its account of celestial causation carried Greek, Persian, Indian, and Arabic syntheses into Latin debates under the name of a single authoritative astrologer. What Latin Europe received as “Albumasar” was already a world between worlds.</w:t>
      </w:r>
      <w:r w:rsidRPr="002E411F">
        <w:rPr>
          <w:szCs w:val="28"/>
          <w:vertAlign w:val="superscript"/>
        </w:rPr>
        <w:t>33</w:t>
      </w:r>
    </w:p>
    <w:p w14:paraId="3DECE001" w14:textId="77777777" w:rsidR="002E411F" w:rsidRPr="002E411F" w:rsidRDefault="002E411F" w:rsidP="002E411F">
      <w:pPr>
        <w:pStyle w:val="BookBody"/>
      </w:pPr>
      <w:r w:rsidRPr="002E411F">
        <w:rPr>
          <w:szCs w:val="28"/>
        </w:rPr>
        <w:t>The movement continued through persons such as Michael Scot, who passed from Toledo toward the court of Frederick II. Courts in Italy and Sicily became further sites of translation, disputation, and astrological practice. Books did not leave an Islamic civilization and arrive intact in a Christian one. They traveled through mixed courts, Jewish intermediaries, clerical careers, mercantile routes, political rivalries, and the personal ambitions of scholars.</w:t>
      </w:r>
    </w:p>
    <w:p w14:paraId="435A56FC" w14:textId="77777777" w:rsidR="002E411F" w:rsidRPr="002E411F" w:rsidRDefault="002E411F" w:rsidP="002E411F">
      <w:pPr>
        <w:pStyle w:val="SectionHeading"/>
      </w:pPr>
      <w:r w:rsidRPr="002E411F">
        <w:rPr>
          <w:bCs/>
          <w:szCs w:val="28"/>
        </w:rPr>
        <w:t>What Entered Latin Christendom</w:t>
      </w:r>
    </w:p>
    <w:p w14:paraId="7BC7EC77" w14:textId="77777777" w:rsidR="002E411F" w:rsidRPr="002E411F" w:rsidRDefault="002E411F" w:rsidP="002E411F">
      <w:pPr>
        <w:pStyle w:val="BookBody"/>
      </w:pPr>
      <w:r w:rsidRPr="002E411F">
        <w:rPr>
          <w:szCs w:val="28"/>
        </w:rPr>
        <w:t>The Latin translations delivered more than superior data. They brought a reconfigured Aristotle, technical vocabularies, planetary tables, instrument texts, geometrical models, medical astrology, doctrines of conjunctions, and philosophical accounts of celestial souls and causes. They also brought Islamic criticisms of Greek authorities. Latin readers encountered antiquity after it had been translated, argued with, and enlarged in Arabic.</w:t>
      </w:r>
    </w:p>
    <w:p w14:paraId="3FC79927" w14:textId="77777777" w:rsidR="002E411F" w:rsidRPr="002E411F" w:rsidRDefault="002E411F" w:rsidP="002E411F">
      <w:pPr>
        <w:pStyle w:val="BookBody"/>
      </w:pPr>
      <w:r w:rsidRPr="002E411F">
        <w:rPr>
          <w:szCs w:val="28"/>
        </w:rPr>
        <w:t>This matters for the chapter that follows. When thirteenth-century Christian thinkers asked how celestial bodies act upon the elements, whether the stars affect temperament but not rational choice, or how providence relates to secondary causes, they were not simply resuming a conversation suspended after Augustine. The available questions had been reorganized by al-Kindī, Abū Maʿshar, Avicenna, Averroes, Arabic Ptolemaic traditions, astronomical tables, and practices of judgment.</w:t>
      </w:r>
    </w:p>
    <w:p w14:paraId="674B33D3" w14:textId="77777777" w:rsidR="002E411F" w:rsidRPr="002E411F" w:rsidRDefault="002E411F" w:rsidP="002E411F">
      <w:pPr>
        <w:pStyle w:val="BookBody"/>
      </w:pPr>
      <w:r w:rsidRPr="002E411F">
        <w:rPr>
          <w:szCs w:val="28"/>
        </w:rPr>
        <w:t>Aquinas must therefore appear first as a receiver and critic, not as the goal toward which the Islamicate history was moving. He would distinguish legitimate astronomy from illicit divination, affirm celestial effects upon bodies, deny direct determination of the rational will, and place secondary causes within divine providence. The architecture is Christian, Aristotelian, and profoundly dependent upon the Arabic-Latin world that made the relevant Aristotle and its problems available.</w:t>
      </w:r>
    </w:p>
    <w:p w14:paraId="4B100A81" w14:textId="77777777" w:rsidR="002E411F" w:rsidRPr="002E411F" w:rsidRDefault="002E411F" w:rsidP="002E411F">
      <w:pPr>
        <w:pStyle w:val="BookBody"/>
      </w:pPr>
      <w:r w:rsidRPr="002E411F">
        <w:rPr>
          <w:szCs w:val="28"/>
        </w:rPr>
        <w:t>The material transfer altered practice as well as doctrine. An astrolabe in a Latin hand could regulate monastic time, teach spherical astronomy, or assist astrology. Toledan tables could be recalculated for another city. Arabic star names remained embedded in Latin technical language. A diagram might cross a religious boundary more easily than a theological premise, yet its use still presupposed habits of reading learned from texts and teachers.</w:t>
      </w:r>
    </w:p>
    <w:p w14:paraId="416FE36F" w14:textId="77777777" w:rsidR="002E411F" w:rsidRPr="002E411F" w:rsidRDefault="002E411F" w:rsidP="002E411F">
      <w:pPr>
        <w:pStyle w:val="BookBody"/>
      </w:pPr>
      <w:r w:rsidRPr="002E411F">
        <w:rPr>
          <w:szCs w:val="28"/>
        </w:rPr>
        <w:t>Latin Christendom did not receive “the Islamic worldview” because no such singular object existed. It received a contested archive. Advocates of astrology and its critics arrived together. Demonstrations arrived beside uncertainties. The authority of Arabic authors could be invoked, disputed, mistranslated, or concealed. Reception did not end plurality; it relocated it.</w:t>
      </w:r>
    </w:p>
    <w:p w14:paraId="7C74FABA" w14:textId="77777777" w:rsidR="002E411F" w:rsidRPr="002E411F" w:rsidRDefault="002E411F" w:rsidP="002E411F">
      <w:pPr>
        <w:pStyle w:val="SectionHeading"/>
      </w:pPr>
      <w:r w:rsidRPr="002E411F">
        <w:rPr>
          <w:bCs/>
          <w:szCs w:val="28"/>
        </w:rPr>
        <w:t>The Living Cosmos Under Discipline</w:t>
      </w:r>
    </w:p>
    <w:p w14:paraId="2EC3B6DE" w14:textId="77777777" w:rsidR="002E411F" w:rsidRPr="002E411F" w:rsidRDefault="002E411F" w:rsidP="002E411F">
      <w:pPr>
        <w:pStyle w:val="BookBody"/>
      </w:pPr>
      <w:r w:rsidRPr="002E411F">
        <w:rPr>
          <w:szCs w:val="28"/>
        </w:rPr>
        <w:t xml:space="preserve">The Islamicate astral sciences preserve a living cosmos only if </w:t>
      </w:r>
      <w:r w:rsidRPr="002E411F">
        <w:rPr>
          <w:i/>
          <w:szCs w:val="28"/>
        </w:rPr>
        <w:t>living</w:t>
      </w:r>
      <w:r w:rsidRPr="002E411F">
        <w:rPr>
          <w:szCs w:val="28"/>
        </w:rPr>
        <w:t xml:space="preserve"> does not mean harmonious, uncritical, or universally ensouled. Al-Kindī’s heavens act as instruments of providence. Abū Maʿshar’s stars participate in a layered causality rich enough to move elements, bodies, and imaginations. Avicenna’s spheres know and desire according to their celestial mode. Other theologians refuse created efficacy of this kind. Al-Bīrūnī’s instrument remains valuable even where his confidence in judgments thins. No single doctrine contains the field.</w:t>
      </w:r>
    </w:p>
    <w:p w14:paraId="254B41E2" w14:textId="77777777" w:rsidR="002E411F" w:rsidRPr="002E411F" w:rsidRDefault="002E411F" w:rsidP="002E411F">
      <w:pPr>
        <w:pStyle w:val="BookBody"/>
      </w:pPr>
      <w:r w:rsidRPr="002E411F">
        <w:rPr>
          <w:szCs w:val="28"/>
        </w:rPr>
        <w:t>What unites the chapter is mediation under discipline. Translation disciplines inheritance by forcing concepts into another language. Geometry disciplines the image of heaven. Observation disciplines parameters. Instruments discipline perception. Tables discipline memory. Theology disciplines causal claims by placing the heavens under creation. Ethics disciplines prediction by defending responsibility. Skepticism disciplines the desire to convert order into possession.</w:t>
      </w:r>
    </w:p>
    <w:p w14:paraId="532B4FC5" w14:textId="77777777" w:rsidR="002E411F" w:rsidRPr="002E411F" w:rsidRDefault="002E411F" w:rsidP="002E411F">
      <w:pPr>
        <w:pStyle w:val="BookBody"/>
      </w:pPr>
      <w:r w:rsidRPr="002E411F">
        <w:rPr>
          <w:szCs w:val="28"/>
        </w:rPr>
        <w:t>Discipline can itself fail. A court can make calculation serve fear or domination. A precise horoscope can magnify the authority of a false inference. A classification can exclude forms of knowledge for social rather than intellectual reasons. An observatory can depend upon conquest. A theological prohibition can close inquiry rather than purify it. Mediation is not innocent because it is ancient, technical, or religious.</w:t>
      </w:r>
    </w:p>
    <w:p w14:paraId="3FA01C25" w14:textId="77777777" w:rsidR="002E411F" w:rsidRPr="002E411F" w:rsidRDefault="002E411F" w:rsidP="002E411F">
      <w:pPr>
        <w:pStyle w:val="BookBody"/>
      </w:pPr>
      <w:r w:rsidRPr="002E411F">
        <w:rPr>
          <w:szCs w:val="28"/>
        </w:rPr>
        <w:t>Yet the alternative is not unmediated public life. The individual may experience fullness in which symbol, concept, and institution momentarily disappear—life received directly enough that it can only become gift in return. A society cannot remain in that moment. Prayer needs a time; communities need calendars; students need teachers; distant persons need translations; observations need records; disagreements need forms of judgment. Public mediation returns because shared life extends beyond immediate presence.</w:t>
      </w:r>
    </w:p>
    <w:p w14:paraId="7C64A0A3" w14:textId="77777777" w:rsidR="002E411F" w:rsidRPr="002E411F" w:rsidRDefault="002E411F" w:rsidP="002E411F">
      <w:pPr>
        <w:pStyle w:val="BookBody"/>
      </w:pPr>
      <w:r w:rsidRPr="002E411F">
        <w:rPr>
          <w:szCs w:val="28"/>
        </w:rPr>
        <w:t>The distinction between inward fullness and public mediation clarifies the chapter’s deepest tension. The astrologer promises to make the cosmic whole publicly readable in advance. The instrument, table, and disciplined science offer something more modest: shared means of orientation within a whole no finite knower possesses. The first converts mediation into mastery. The second can become a school of receptivity.</w:t>
      </w:r>
    </w:p>
    <w:p w14:paraId="3B738E51" w14:textId="77777777" w:rsidR="002E411F" w:rsidRPr="002E411F" w:rsidRDefault="002E411F" w:rsidP="002E411F">
      <w:pPr>
        <w:pStyle w:val="SectionHeading"/>
      </w:pPr>
      <w:r w:rsidRPr="002E411F">
        <w:rPr>
          <w:bCs/>
          <w:szCs w:val="28"/>
        </w:rPr>
        <w:t>The Heavens Move West Again</w:t>
      </w:r>
    </w:p>
    <w:p w14:paraId="5B279211" w14:textId="77777777" w:rsidR="002E411F" w:rsidRPr="002E411F" w:rsidRDefault="002E411F" w:rsidP="002E411F">
      <w:pPr>
        <w:pStyle w:val="BookBody"/>
      </w:pPr>
      <w:r w:rsidRPr="002E411F">
        <w:rPr>
          <w:szCs w:val="28"/>
        </w:rPr>
        <w:t>The astral sciences that entered Latin Christendom carried no single verdict on the cosmos. They carried an ordered heaven and arguments about its order; powerful secondary causes and limits upon their reach; exact calculations and doubtful judgments; philosophical necessity and defenses of contingency; instruments of orientation and techniques of prediction. Europe did not awaken to discover the sky. It entered a debate conducted for centuries in Arabic, Persian, Syriac, Hebrew, and other languages.</w:t>
      </w:r>
    </w:p>
    <w:p w14:paraId="181B6B72" w14:textId="77777777" w:rsidR="002E411F" w:rsidRPr="002E411F" w:rsidRDefault="002E411F" w:rsidP="002E411F">
      <w:pPr>
        <w:pStyle w:val="BookBody"/>
      </w:pPr>
      <w:r w:rsidRPr="002E411F">
        <w:rPr>
          <w:szCs w:val="28"/>
        </w:rPr>
        <w:t>This is why “preservation” is too weak. What survived had been changed by survival. Ptolemy after Ibn al-Haytham was not simply Ptolemy. Aristotle after Avicenna was not simply Aristotle. Greek astrology after Abū Maʿshar had passed through Persian histories, Indian calculations, Arabic philosophical defense, and Islamic controversy. The astrolabe itself bore the accumulated intelligence of projection, craftsmanship, locality, and use.</w:t>
      </w:r>
    </w:p>
    <w:p w14:paraId="6EF5C303" w14:textId="77777777" w:rsidR="002E411F" w:rsidRPr="002E411F" w:rsidRDefault="002E411F" w:rsidP="002E411F">
      <w:pPr>
        <w:pStyle w:val="BookBody"/>
      </w:pPr>
      <w:r w:rsidRPr="002E411F">
        <w:rPr>
          <w:szCs w:val="28"/>
        </w:rPr>
        <w:t>The next chapter will enter the medieval Christian architecture built from this contested inheritance. Universities, commentaries, condemnations, sacramental theologies, angelologies, and natural philosophies will give the living cosmos another institutional form. Aquinas will ask how God works through causes that genuinely act; astrologers will distinguish inclination from compulsion; critics will defend providence and freedom; instruments and calendars will continue to make celestial order ordinary.</w:t>
      </w:r>
    </w:p>
    <w:p w14:paraId="654738AF" w14:textId="77777777" w:rsidR="002E411F" w:rsidRPr="002E411F" w:rsidRDefault="002E411F" w:rsidP="002E411F">
      <w:pPr>
        <w:pStyle w:val="BookBody"/>
      </w:pPr>
      <w:r w:rsidRPr="002E411F">
        <w:rPr>
          <w:szCs w:val="28"/>
        </w:rPr>
        <w:t>But the transition must preserve the asymmetry established here. Islamicate thinkers are not the preface to Latin achievement. Their arguments have independent weight, and their sciences continue beyond the moment of European reception. The historical line bends west without emptying the east. Knowledge moves, returns, and changes direction.</w:t>
      </w:r>
    </w:p>
    <w:p w14:paraId="78566F4E" w14:textId="77777777" w:rsidR="002E411F" w:rsidRPr="002E411F" w:rsidRDefault="002E411F" w:rsidP="002E411F">
      <w:pPr>
        <w:pStyle w:val="BookBody"/>
      </w:pPr>
      <w:r w:rsidRPr="002E411F">
        <w:rPr>
          <w:szCs w:val="28"/>
        </w:rPr>
        <w:t>The astrolabe can therefore remain in the hand as the chapter closes. Its plates must be changed when latitude changes. The stars do not move differently because the observer has crossed a frontier, but the horizon does. A living cosmos is not a view from nowhere. It is the shared heaven encountered from a place, through inherited forms, by finite persons whose instruments disclose relations without containing the whole.</w:t>
      </w:r>
    </w:p>
    <w:p w14:paraId="26F90C75" w14:textId="77777777" w:rsidR="002E411F" w:rsidRPr="002E411F" w:rsidRDefault="002E411F" w:rsidP="002E411F">
      <w:pPr>
        <w:pStyle w:val="NotesHeading"/>
      </w:pPr>
      <w:r w:rsidRPr="002E411F">
        <w:rPr>
          <w:bCs/>
          <w:szCs w:val="28"/>
        </w:rPr>
        <w:t>Notes</w:t>
      </w:r>
    </w:p>
    <w:p w14:paraId="3B5FA791" w14:textId="77777777" w:rsidR="002E411F" w:rsidRPr="002E411F" w:rsidRDefault="002E411F" w:rsidP="002E411F">
      <w:pPr>
        <w:pStyle w:val="NoteEntry"/>
      </w:pPr>
      <w:r w:rsidRPr="002E411F">
        <w:rPr>
          <w:szCs w:val="28"/>
        </w:rPr>
        <w:t xml:space="preserve">1. Al-Bīrūnī, </w:t>
      </w:r>
      <w:r w:rsidRPr="002E411F">
        <w:rPr>
          <w:i/>
          <w:szCs w:val="28"/>
        </w:rPr>
        <w:t>The Book of Instruction in the Elements of the Art of Astrology</w:t>
      </w:r>
      <w:r w:rsidRPr="002E411F">
        <w:rPr>
          <w:szCs w:val="28"/>
        </w:rPr>
        <w:t xml:space="preserve">, trans. R. Ramsay Wright (London: Luzac, 1934), 211–44, 318–46; David A. King, </w:t>
      </w:r>
      <w:r w:rsidRPr="002E411F">
        <w:rPr>
          <w:i/>
          <w:szCs w:val="28"/>
        </w:rPr>
        <w:t>In Synchrony with the Heavens: Studies in Astronomical Timekeeping and Instrumentation in Medieval Islamic Civilization</w:t>
      </w:r>
      <w:r w:rsidRPr="002E411F">
        <w:rPr>
          <w:szCs w:val="28"/>
        </w:rPr>
        <w:t>, vol. 1 (Leiden: Brill, 2004), ix–xii.</w:t>
      </w:r>
    </w:p>
    <w:p w14:paraId="5FAC2EF4" w14:textId="77777777" w:rsidR="002E411F" w:rsidRPr="002E411F" w:rsidRDefault="002E411F" w:rsidP="002E411F">
      <w:pPr>
        <w:pStyle w:val="NoteEntry"/>
      </w:pPr>
      <w:r w:rsidRPr="002E411F">
        <w:rPr>
          <w:szCs w:val="28"/>
        </w:rPr>
        <w:t xml:space="preserve">2. Al-Bīrūnī, </w:t>
      </w:r>
      <w:r w:rsidRPr="002E411F">
        <w:rPr>
          <w:i/>
          <w:szCs w:val="28"/>
        </w:rPr>
        <w:t>Book of Instruction</w:t>
      </w:r>
      <w:r w:rsidRPr="002E411F">
        <w:rPr>
          <w:szCs w:val="28"/>
        </w:rPr>
        <w:t>, 1–2. Al-Bīrūnī arranges the book through geometry, arithmetic, astronomy, chronology, the astrolabe, and judicial astrology.</w:t>
      </w:r>
    </w:p>
    <w:p w14:paraId="6B923934" w14:textId="77777777" w:rsidR="002E411F" w:rsidRPr="002E411F" w:rsidRDefault="002E411F" w:rsidP="002E411F">
      <w:pPr>
        <w:pStyle w:val="NoteEntry"/>
      </w:pPr>
      <w:r w:rsidRPr="002E411F">
        <w:rPr>
          <w:szCs w:val="28"/>
        </w:rPr>
        <w:t xml:space="preserve">3. Dimitri Gutas, </w:t>
      </w:r>
      <w:r w:rsidRPr="002E411F">
        <w:rPr>
          <w:i/>
          <w:szCs w:val="28"/>
        </w:rPr>
        <w:t>Greek Thought, Arabic Culture: The Graeco-Arabic Translation Movement in Baghdad and Early ʿAbbāsid Society (2nd–4th/8th–10th Centuries)</w:t>
      </w:r>
      <w:r w:rsidRPr="002E411F">
        <w:rPr>
          <w:szCs w:val="28"/>
        </w:rPr>
        <w:t xml:space="preserve"> (London: Routledge, 1998), 1–5.</w:t>
      </w:r>
    </w:p>
    <w:p w14:paraId="63A975AD" w14:textId="77777777" w:rsidR="002E411F" w:rsidRPr="002E411F" w:rsidRDefault="002E411F" w:rsidP="002E411F">
      <w:pPr>
        <w:pStyle w:val="NoteEntry"/>
      </w:pPr>
      <w:r w:rsidRPr="002E411F">
        <w:rPr>
          <w:szCs w:val="28"/>
        </w:rPr>
        <w:t xml:space="preserve">4. Gutas, </w:t>
      </w:r>
      <w:r w:rsidRPr="002E411F">
        <w:rPr>
          <w:i/>
          <w:szCs w:val="28"/>
        </w:rPr>
        <w:t>Greek Thought, Arabic Culture</w:t>
      </w:r>
      <w:r w:rsidRPr="002E411F">
        <w:rPr>
          <w:szCs w:val="28"/>
        </w:rPr>
        <w:t xml:space="preserve">, 24–25; Abū Maʿshar, </w:t>
      </w:r>
      <w:r w:rsidRPr="002E411F">
        <w:rPr>
          <w:i/>
          <w:szCs w:val="28"/>
        </w:rPr>
        <w:t>The Great Introduction to Astrology</w:t>
      </w:r>
      <w:r w:rsidRPr="002E411F">
        <w:rPr>
          <w:szCs w:val="28"/>
        </w:rPr>
        <w:t>, ed. and trans. Keiji Yamamoto and Charles Burnett, 2 vols. (Leiden: Brill, 2019), 1:3–8.</w:t>
      </w:r>
    </w:p>
    <w:p w14:paraId="77145C5D" w14:textId="77777777" w:rsidR="002E411F" w:rsidRPr="002E411F" w:rsidRDefault="002E411F" w:rsidP="002E411F">
      <w:pPr>
        <w:pStyle w:val="NoteEntry"/>
      </w:pPr>
      <w:r w:rsidRPr="002E411F">
        <w:rPr>
          <w:szCs w:val="28"/>
        </w:rPr>
        <w:t xml:space="preserve">5. Gutas, </w:t>
      </w:r>
      <w:r w:rsidRPr="002E411F">
        <w:rPr>
          <w:i/>
          <w:szCs w:val="28"/>
        </w:rPr>
        <w:t>Greek Thought, Arabic Culture</w:t>
      </w:r>
      <w:r w:rsidRPr="002E411F">
        <w:rPr>
          <w:szCs w:val="28"/>
        </w:rPr>
        <w:t xml:space="preserve">, 1–5; Peter Adamson, </w:t>
      </w:r>
      <w:r w:rsidRPr="002E411F">
        <w:rPr>
          <w:i/>
          <w:szCs w:val="28"/>
        </w:rPr>
        <w:t>Philosophy in the Islamic World: A History of Philosophy without Any Gaps</w:t>
      </w:r>
      <w:r w:rsidRPr="002E411F">
        <w:rPr>
          <w:szCs w:val="28"/>
        </w:rPr>
        <w:t>, vol. 3 (Oxford: Oxford University Press, 2016), 19–25.</w:t>
      </w:r>
    </w:p>
    <w:p w14:paraId="632858EA" w14:textId="77777777" w:rsidR="002E411F" w:rsidRPr="002E411F" w:rsidRDefault="002E411F" w:rsidP="002E411F">
      <w:pPr>
        <w:pStyle w:val="NoteEntry"/>
      </w:pPr>
      <w:r w:rsidRPr="002E411F">
        <w:rPr>
          <w:szCs w:val="28"/>
        </w:rPr>
        <w:t xml:space="preserve">6. Gutas, </w:t>
      </w:r>
      <w:r w:rsidRPr="002E411F">
        <w:rPr>
          <w:i/>
          <w:szCs w:val="28"/>
        </w:rPr>
        <w:t>Greek Thought, Arabic Culture</w:t>
      </w:r>
      <w:r w:rsidRPr="002E411F">
        <w:rPr>
          <w:szCs w:val="28"/>
        </w:rPr>
        <w:t>, 16, 107–10.</w:t>
      </w:r>
    </w:p>
    <w:p w14:paraId="1DE7F009" w14:textId="77777777" w:rsidR="002E411F" w:rsidRPr="002E411F" w:rsidRDefault="002E411F" w:rsidP="002E411F">
      <w:pPr>
        <w:pStyle w:val="NoteEntry"/>
      </w:pPr>
      <w:r w:rsidRPr="002E411F">
        <w:rPr>
          <w:szCs w:val="28"/>
        </w:rPr>
        <w:t xml:space="preserve">7. Abū Maʿshar, </w:t>
      </w:r>
      <w:r w:rsidRPr="002E411F">
        <w:rPr>
          <w:i/>
          <w:szCs w:val="28"/>
        </w:rPr>
        <w:t>Great Introduction</w:t>
      </w:r>
      <w:r w:rsidRPr="002E411F">
        <w:rPr>
          <w:szCs w:val="28"/>
        </w:rPr>
        <w:t>, I.2, 1:52–79.</w:t>
      </w:r>
    </w:p>
    <w:p w14:paraId="65F059BE" w14:textId="77777777" w:rsidR="002E411F" w:rsidRPr="002E411F" w:rsidRDefault="002E411F" w:rsidP="002E411F">
      <w:pPr>
        <w:pStyle w:val="NoteEntry"/>
      </w:pPr>
      <w:r w:rsidRPr="002E411F">
        <w:rPr>
          <w:szCs w:val="28"/>
        </w:rPr>
        <w:t xml:space="preserve">8. Al-Bīrūnī, </w:t>
      </w:r>
      <w:r w:rsidRPr="002E411F">
        <w:rPr>
          <w:i/>
          <w:szCs w:val="28"/>
        </w:rPr>
        <w:t>Book of Instruction</w:t>
      </w:r>
      <w:r w:rsidRPr="002E411F">
        <w:rPr>
          <w:szCs w:val="28"/>
        </w:rPr>
        <w:t>, 346–47.</w:t>
      </w:r>
    </w:p>
    <w:p w14:paraId="50AFAB02" w14:textId="77777777" w:rsidR="002E411F" w:rsidRPr="002E411F" w:rsidRDefault="002E411F" w:rsidP="002E411F">
      <w:pPr>
        <w:pStyle w:val="NoteEntry"/>
      </w:pPr>
      <w:r w:rsidRPr="002E411F">
        <w:rPr>
          <w:szCs w:val="28"/>
        </w:rPr>
        <w:t xml:space="preserve">9. F. Jamil Ragep, introduction to Naṣīr al-Dīn al-Ṭūsī, </w:t>
      </w:r>
      <w:r w:rsidRPr="002E411F">
        <w:rPr>
          <w:i/>
          <w:szCs w:val="28"/>
        </w:rPr>
        <w:t>Memoir on Astronomy (al-Tadhkira fī ʿilm al-hayʾa)</w:t>
      </w:r>
      <w:r w:rsidRPr="002E411F">
        <w:rPr>
          <w:szCs w:val="28"/>
        </w:rPr>
        <w:t>, 2 vols. (New York: Springer, 1993), 1:31–35.</w:t>
      </w:r>
    </w:p>
    <w:p w14:paraId="7E405586" w14:textId="77777777" w:rsidR="002E411F" w:rsidRPr="002E411F" w:rsidRDefault="002E411F" w:rsidP="002E411F">
      <w:pPr>
        <w:pStyle w:val="NoteEntry"/>
      </w:pPr>
      <w:r w:rsidRPr="002E411F">
        <w:rPr>
          <w:szCs w:val="28"/>
        </w:rPr>
        <w:t xml:space="preserve">10. Adamson, </w:t>
      </w:r>
      <w:r w:rsidRPr="002E411F">
        <w:rPr>
          <w:i/>
          <w:szCs w:val="28"/>
        </w:rPr>
        <w:t>Philosophy in the Islamic World</w:t>
      </w:r>
      <w:r w:rsidRPr="002E411F">
        <w:rPr>
          <w:szCs w:val="28"/>
        </w:rPr>
        <w:t>, 22–30.</w:t>
      </w:r>
    </w:p>
    <w:p w14:paraId="051DE1CE" w14:textId="77777777" w:rsidR="002E411F" w:rsidRPr="002E411F" w:rsidRDefault="002E411F" w:rsidP="002E411F">
      <w:pPr>
        <w:pStyle w:val="NoteEntry"/>
      </w:pPr>
      <w:r w:rsidRPr="002E411F">
        <w:rPr>
          <w:szCs w:val="28"/>
        </w:rPr>
        <w:t xml:space="preserve">11. Adamson, </w:t>
      </w:r>
      <w:r w:rsidRPr="002E411F">
        <w:rPr>
          <w:i/>
          <w:szCs w:val="28"/>
        </w:rPr>
        <w:t>Philosophy in the Islamic World</w:t>
      </w:r>
      <w:r w:rsidRPr="002E411F">
        <w:rPr>
          <w:szCs w:val="28"/>
        </w:rPr>
        <w:t>, 28–29.</w:t>
      </w:r>
    </w:p>
    <w:p w14:paraId="666C5381" w14:textId="77777777" w:rsidR="002E411F" w:rsidRPr="002E411F" w:rsidRDefault="002E411F" w:rsidP="002E411F">
      <w:pPr>
        <w:pStyle w:val="NoteEntry"/>
      </w:pPr>
      <w:r w:rsidRPr="002E411F">
        <w:rPr>
          <w:szCs w:val="28"/>
        </w:rPr>
        <w:t xml:space="preserve">12. Adamson, </w:t>
      </w:r>
      <w:r w:rsidRPr="002E411F">
        <w:rPr>
          <w:i/>
          <w:szCs w:val="28"/>
        </w:rPr>
        <w:t>Philosophy in the Islamic World</w:t>
      </w:r>
      <w:r w:rsidRPr="002E411F">
        <w:rPr>
          <w:szCs w:val="28"/>
        </w:rPr>
        <w:t xml:space="preserve">, 29; see also al-Kindī’s </w:t>
      </w:r>
      <w:r w:rsidRPr="002E411F">
        <w:rPr>
          <w:i/>
          <w:szCs w:val="28"/>
        </w:rPr>
        <w:t>On the Proximate Efficient Cause of Generation and Corruption</w:t>
      </w:r>
      <w:r w:rsidRPr="002E411F">
        <w:rPr>
          <w:szCs w:val="28"/>
        </w:rPr>
        <w:t>.</w:t>
      </w:r>
    </w:p>
    <w:p w14:paraId="64CC7A7D" w14:textId="77777777" w:rsidR="002E411F" w:rsidRPr="002E411F" w:rsidRDefault="002E411F" w:rsidP="002E411F">
      <w:pPr>
        <w:pStyle w:val="NoteEntry"/>
      </w:pPr>
      <w:r w:rsidRPr="002E411F">
        <w:rPr>
          <w:szCs w:val="28"/>
        </w:rPr>
        <w:t xml:space="preserve">13. Abū Maʿshar, </w:t>
      </w:r>
      <w:r w:rsidRPr="002E411F">
        <w:rPr>
          <w:i/>
          <w:szCs w:val="28"/>
        </w:rPr>
        <w:t>Great Introduction</w:t>
      </w:r>
      <w:r w:rsidRPr="002E411F">
        <w:rPr>
          <w:szCs w:val="28"/>
        </w:rPr>
        <w:t>, 1:3–10.</w:t>
      </w:r>
    </w:p>
    <w:p w14:paraId="13840C91" w14:textId="77777777" w:rsidR="002E411F" w:rsidRPr="002E411F" w:rsidRDefault="002E411F" w:rsidP="002E411F">
      <w:pPr>
        <w:pStyle w:val="NoteEntry"/>
      </w:pPr>
      <w:r w:rsidRPr="002E411F">
        <w:rPr>
          <w:szCs w:val="28"/>
        </w:rPr>
        <w:t xml:space="preserve">14. Abū Maʿshar, </w:t>
      </w:r>
      <w:r w:rsidRPr="002E411F">
        <w:rPr>
          <w:i/>
          <w:szCs w:val="28"/>
        </w:rPr>
        <w:t>Great Introduction</w:t>
      </w:r>
      <w:r w:rsidRPr="002E411F">
        <w:rPr>
          <w:szCs w:val="28"/>
        </w:rPr>
        <w:t>, I.3–5, 1:80–149.</w:t>
      </w:r>
    </w:p>
    <w:p w14:paraId="4BE2D384" w14:textId="77777777" w:rsidR="002E411F" w:rsidRPr="002E411F" w:rsidRDefault="002E411F" w:rsidP="002E411F">
      <w:pPr>
        <w:pStyle w:val="NoteEntry"/>
      </w:pPr>
      <w:r w:rsidRPr="002E411F">
        <w:rPr>
          <w:szCs w:val="28"/>
        </w:rPr>
        <w:t xml:space="preserve">15. Al-Bīrūnī, </w:t>
      </w:r>
      <w:r w:rsidRPr="002E411F">
        <w:rPr>
          <w:i/>
          <w:szCs w:val="28"/>
        </w:rPr>
        <w:t>Book of Instruction</w:t>
      </w:r>
      <w:r w:rsidRPr="002E411F">
        <w:rPr>
          <w:szCs w:val="28"/>
        </w:rPr>
        <w:t>, 324–45.</w:t>
      </w:r>
    </w:p>
    <w:p w14:paraId="57D95BAC" w14:textId="77777777" w:rsidR="002E411F" w:rsidRPr="002E411F" w:rsidRDefault="002E411F" w:rsidP="002E411F">
      <w:pPr>
        <w:pStyle w:val="NoteEntry"/>
      </w:pPr>
      <w:r w:rsidRPr="002E411F">
        <w:rPr>
          <w:szCs w:val="28"/>
        </w:rPr>
        <w:t xml:space="preserve">16. Al-Bīrūnī, </w:t>
      </w:r>
      <w:r w:rsidRPr="002E411F">
        <w:rPr>
          <w:i/>
          <w:szCs w:val="28"/>
        </w:rPr>
        <w:t>Book of Instruction</w:t>
      </w:r>
      <w:r w:rsidRPr="002E411F">
        <w:rPr>
          <w:szCs w:val="28"/>
        </w:rPr>
        <w:t>, 346–47.</w:t>
      </w:r>
    </w:p>
    <w:p w14:paraId="489EC4D4" w14:textId="77777777" w:rsidR="002E411F" w:rsidRPr="002E411F" w:rsidRDefault="002E411F" w:rsidP="002E411F">
      <w:pPr>
        <w:pStyle w:val="NoteEntry"/>
      </w:pPr>
      <w:r w:rsidRPr="002E411F">
        <w:rPr>
          <w:szCs w:val="28"/>
        </w:rPr>
        <w:t xml:space="preserve">17. King, </w:t>
      </w:r>
      <w:r w:rsidRPr="002E411F">
        <w:rPr>
          <w:i/>
          <w:szCs w:val="28"/>
        </w:rPr>
        <w:t>In Synchrony with the Heavens</w:t>
      </w:r>
      <w:r w:rsidRPr="002E411F">
        <w:rPr>
          <w:szCs w:val="28"/>
        </w:rPr>
        <w:t>, 1–190, 191–456, 529–78.</w:t>
      </w:r>
    </w:p>
    <w:p w14:paraId="0DF1CFB6" w14:textId="77777777" w:rsidR="002E411F" w:rsidRPr="002E411F" w:rsidRDefault="002E411F" w:rsidP="002E411F">
      <w:pPr>
        <w:pStyle w:val="NoteEntry"/>
      </w:pPr>
      <w:r w:rsidRPr="002E411F">
        <w:rPr>
          <w:szCs w:val="28"/>
        </w:rPr>
        <w:t xml:space="preserve">18. King, </w:t>
      </w:r>
      <w:r w:rsidRPr="002E411F">
        <w:rPr>
          <w:i/>
          <w:szCs w:val="28"/>
        </w:rPr>
        <w:t>In Synchrony with the Heavens</w:t>
      </w:r>
      <w:r w:rsidRPr="002E411F">
        <w:rPr>
          <w:szCs w:val="28"/>
        </w:rPr>
        <w:t xml:space="preserve">, 191–456, 623–78; Sonja Brentjes, </w:t>
      </w:r>
      <w:r w:rsidRPr="002E411F">
        <w:rPr>
          <w:i/>
          <w:szCs w:val="28"/>
        </w:rPr>
        <w:t>Teaching and Learning the Sciences in Islamicate Societies (800–1700)</w:t>
      </w:r>
      <w:r w:rsidRPr="002E411F">
        <w:rPr>
          <w:szCs w:val="28"/>
        </w:rPr>
        <w:t xml:space="preserve"> (Turnhout: Brepols, 2018), 9–31.</w:t>
      </w:r>
    </w:p>
    <w:p w14:paraId="10BA32AA" w14:textId="77777777" w:rsidR="002E411F" w:rsidRPr="002E411F" w:rsidRDefault="002E411F" w:rsidP="002E411F">
      <w:pPr>
        <w:pStyle w:val="NoteEntry"/>
      </w:pPr>
      <w:r w:rsidRPr="002E411F">
        <w:rPr>
          <w:szCs w:val="28"/>
        </w:rPr>
        <w:t xml:space="preserve">19. Avicenna, </w:t>
      </w:r>
      <w:r w:rsidRPr="002E411F">
        <w:rPr>
          <w:i/>
          <w:szCs w:val="28"/>
        </w:rPr>
        <w:t>The Metaphysics of The Healing</w:t>
      </w:r>
      <w:r w:rsidRPr="002E411F">
        <w:rPr>
          <w:szCs w:val="28"/>
        </w:rPr>
        <w:t>, trans. Michael E. Marmura (Provo, UT: Brigham Young University Press, 2005), VIII.4–7 and IX.2–4.</w:t>
      </w:r>
    </w:p>
    <w:p w14:paraId="52366A6A" w14:textId="77777777" w:rsidR="002E411F" w:rsidRPr="002E411F" w:rsidRDefault="002E411F" w:rsidP="002E411F">
      <w:pPr>
        <w:pStyle w:val="NoteEntry"/>
      </w:pPr>
      <w:r w:rsidRPr="002E411F">
        <w:rPr>
          <w:szCs w:val="28"/>
        </w:rPr>
        <w:t xml:space="preserve">20. Avicenna, </w:t>
      </w:r>
      <w:r w:rsidRPr="002E411F">
        <w:rPr>
          <w:i/>
          <w:szCs w:val="28"/>
        </w:rPr>
        <w:t>Metaphysics of The Healing</w:t>
      </w:r>
      <w:r w:rsidRPr="002E411F">
        <w:rPr>
          <w:szCs w:val="28"/>
        </w:rPr>
        <w:t>, IX.6 and X.1.</w:t>
      </w:r>
    </w:p>
    <w:p w14:paraId="0C9D495D" w14:textId="77777777" w:rsidR="002E411F" w:rsidRPr="002E411F" w:rsidRDefault="002E411F" w:rsidP="002E411F">
      <w:pPr>
        <w:pStyle w:val="NoteEntry"/>
      </w:pPr>
      <w:r w:rsidRPr="002E411F">
        <w:rPr>
          <w:szCs w:val="28"/>
        </w:rPr>
        <w:t xml:space="preserve">21. Adamson, </w:t>
      </w:r>
      <w:r w:rsidRPr="002E411F">
        <w:rPr>
          <w:i/>
          <w:szCs w:val="28"/>
        </w:rPr>
        <w:t>Philosophy in the Islamic World</w:t>
      </w:r>
      <w:r w:rsidRPr="002E411F">
        <w:rPr>
          <w:szCs w:val="28"/>
        </w:rPr>
        <w:t xml:space="preserve">, 222; George Saliba, </w:t>
      </w:r>
      <w:r w:rsidRPr="002E411F">
        <w:rPr>
          <w:i/>
          <w:szCs w:val="28"/>
        </w:rPr>
        <w:t>Islamic Science and the Making of the European Renaissance</w:t>
      </w:r>
      <w:r w:rsidRPr="002E411F">
        <w:rPr>
          <w:szCs w:val="28"/>
        </w:rPr>
        <w:t xml:space="preserve"> (Cambridge, MA: MIT Press, 2007), 191–232.</w:t>
      </w:r>
    </w:p>
    <w:p w14:paraId="09143AFF" w14:textId="77777777" w:rsidR="002E411F" w:rsidRPr="002E411F" w:rsidRDefault="002E411F" w:rsidP="002E411F">
      <w:pPr>
        <w:pStyle w:val="NoteEntry"/>
      </w:pPr>
      <w:r w:rsidRPr="002E411F">
        <w:rPr>
          <w:szCs w:val="28"/>
        </w:rPr>
        <w:t xml:space="preserve">22. Ragep, introduction to al-Ṭūsī, </w:t>
      </w:r>
      <w:r w:rsidRPr="002E411F">
        <w:rPr>
          <w:i/>
          <w:szCs w:val="28"/>
        </w:rPr>
        <w:t>Memoir on Astronomy</w:t>
      </w:r>
      <w:r w:rsidRPr="002E411F">
        <w:rPr>
          <w:szCs w:val="28"/>
        </w:rPr>
        <w:t>, 1:29–35, 47–55.</w:t>
      </w:r>
    </w:p>
    <w:p w14:paraId="682803AE" w14:textId="77777777" w:rsidR="002E411F" w:rsidRPr="002E411F" w:rsidRDefault="002E411F" w:rsidP="002E411F">
      <w:pPr>
        <w:pStyle w:val="NoteEntry"/>
      </w:pPr>
      <w:r w:rsidRPr="002E411F">
        <w:rPr>
          <w:szCs w:val="28"/>
        </w:rPr>
        <w:t xml:space="preserve">23. Saliba, </w:t>
      </w:r>
      <w:r w:rsidRPr="002E411F">
        <w:rPr>
          <w:i/>
          <w:szCs w:val="28"/>
        </w:rPr>
        <w:t>Islamic Science and the Making of the European Renaissance</w:t>
      </w:r>
      <w:r w:rsidRPr="002E411F">
        <w:rPr>
          <w:szCs w:val="28"/>
        </w:rPr>
        <w:t>, 131–232.</w:t>
      </w:r>
    </w:p>
    <w:p w14:paraId="62220925" w14:textId="77777777" w:rsidR="002E411F" w:rsidRPr="002E411F" w:rsidRDefault="002E411F" w:rsidP="002E411F">
      <w:pPr>
        <w:pStyle w:val="NoteEntry"/>
      </w:pPr>
      <w:r w:rsidRPr="002E411F">
        <w:rPr>
          <w:szCs w:val="28"/>
        </w:rPr>
        <w:t xml:space="preserve">24. Julio Samsó, </w:t>
      </w:r>
      <w:r w:rsidRPr="002E411F">
        <w:rPr>
          <w:i/>
          <w:szCs w:val="28"/>
        </w:rPr>
        <w:t>Astronomy and Astrology in al-Andalus and the Maghrib</w:t>
      </w:r>
      <w:r w:rsidRPr="002E411F">
        <w:rPr>
          <w:szCs w:val="28"/>
        </w:rPr>
        <w:t xml:space="preserve"> (Aldershot: Ashgate, 2007), articles I–IV and VIII–XII.</w:t>
      </w:r>
    </w:p>
    <w:p w14:paraId="4EC5AF9A" w14:textId="77777777" w:rsidR="002E411F" w:rsidRPr="002E411F" w:rsidRDefault="002E411F" w:rsidP="002E411F">
      <w:pPr>
        <w:pStyle w:val="NoteEntry"/>
      </w:pPr>
      <w:r w:rsidRPr="002E411F">
        <w:rPr>
          <w:szCs w:val="28"/>
        </w:rPr>
        <w:t xml:space="preserve">25. Ragep, introduction to al-Ṭūsī, </w:t>
      </w:r>
      <w:r w:rsidRPr="002E411F">
        <w:rPr>
          <w:i/>
          <w:szCs w:val="28"/>
        </w:rPr>
        <w:t>Memoir on Astronomy</w:t>
      </w:r>
      <w:r w:rsidRPr="002E411F">
        <w:rPr>
          <w:szCs w:val="28"/>
        </w:rPr>
        <w:t>, 1:10–20.</w:t>
      </w:r>
    </w:p>
    <w:p w14:paraId="10EE74A6" w14:textId="77777777" w:rsidR="002E411F" w:rsidRPr="002E411F" w:rsidRDefault="002E411F" w:rsidP="002E411F">
      <w:pPr>
        <w:pStyle w:val="NoteEntry"/>
      </w:pPr>
      <w:r w:rsidRPr="002E411F">
        <w:rPr>
          <w:szCs w:val="28"/>
        </w:rPr>
        <w:t xml:space="preserve">26. Ragep, introduction to al-Ṭūsī, </w:t>
      </w:r>
      <w:r w:rsidRPr="002E411F">
        <w:rPr>
          <w:i/>
          <w:szCs w:val="28"/>
        </w:rPr>
        <w:t>Memoir on Astronomy</w:t>
      </w:r>
      <w:r w:rsidRPr="002E411F">
        <w:rPr>
          <w:szCs w:val="28"/>
        </w:rPr>
        <w:t xml:space="preserve">, 1:14–15; Brentjes, </w:t>
      </w:r>
      <w:r w:rsidRPr="002E411F">
        <w:rPr>
          <w:i/>
          <w:szCs w:val="28"/>
        </w:rPr>
        <w:t>Teaching and Learning the Sciences</w:t>
      </w:r>
      <w:r w:rsidRPr="002E411F">
        <w:rPr>
          <w:szCs w:val="28"/>
        </w:rPr>
        <w:t>, 17–31.</w:t>
      </w:r>
    </w:p>
    <w:p w14:paraId="26FDC5A5" w14:textId="77777777" w:rsidR="002E411F" w:rsidRPr="002E411F" w:rsidRDefault="002E411F" w:rsidP="002E411F">
      <w:pPr>
        <w:pStyle w:val="NoteEntry"/>
      </w:pPr>
      <w:r w:rsidRPr="002E411F">
        <w:rPr>
          <w:szCs w:val="28"/>
        </w:rPr>
        <w:t xml:space="preserve">27. Al-Ṭūsī, </w:t>
      </w:r>
      <w:r w:rsidRPr="002E411F">
        <w:rPr>
          <w:i/>
          <w:szCs w:val="28"/>
        </w:rPr>
        <w:t>Memoir on Astronomy</w:t>
      </w:r>
      <w:r w:rsidRPr="002E411F">
        <w:rPr>
          <w:szCs w:val="28"/>
        </w:rPr>
        <w:t>, II.11; Ragep, introduction, 1:47–73.</w:t>
      </w:r>
    </w:p>
    <w:p w14:paraId="70940D66" w14:textId="77777777" w:rsidR="002E411F" w:rsidRPr="002E411F" w:rsidRDefault="002E411F" w:rsidP="002E411F">
      <w:pPr>
        <w:pStyle w:val="NoteEntry"/>
      </w:pPr>
      <w:r w:rsidRPr="002E411F">
        <w:rPr>
          <w:szCs w:val="28"/>
        </w:rPr>
        <w:t xml:space="preserve">28. Brentjes, </w:t>
      </w:r>
      <w:r w:rsidRPr="002E411F">
        <w:rPr>
          <w:i/>
          <w:szCs w:val="28"/>
        </w:rPr>
        <w:t>Teaching and Learning the Sciences</w:t>
      </w:r>
      <w:r w:rsidRPr="002E411F">
        <w:rPr>
          <w:szCs w:val="28"/>
        </w:rPr>
        <w:t>, 33–65.</w:t>
      </w:r>
    </w:p>
    <w:p w14:paraId="7AD306AD" w14:textId="77777777" w:rsidR="002E411F" w:rsidRPr="002E411F" w:rsidRDefault="002E411F" w:rsidP="002E411F">
      <w:pPr>
        <w:pStyle w:val="NoteEntry"/>
      </w:pPr>
      <w:r w:rsidRPr="002E411F">
        <w:rPr>
          <w:szCs w:val="28"/>
        </w:rPr>
        <w:t xml:space="preserve">29. Brentjes, </w:t>
      </w:r>
      <w:r w:rsidRPr="002E411F">
        <w:rPr>
          <w:i/>
          <w:szCs w:val="28"/>
        </w:rPr>
        <w:t>Teaching and Learning the Sciences</w:t>
      </w:r>
      <w:r w:rsidRPr="002E411F">
        <w:rPr>
          <w:szCs w:val="28"/>
        </w:rPr>
        <w:t>, 67–111, 147–85, 223–62.</w:t>
      </w:r>
    </w:p>
    <w:p w14:paraId="0CB4082C" w14:textId="77777777" w:rsidR="002E411F" w:rsidRPr="002E411F" w:rsidRDefault="002E411F" w:rsidP="002E411F">
      <w:pPr>
        <w:pStyle w:val="NoteEntry"/>
      </w:pPr>
      <w:r w:rsidRPr="002E411F">
        <w:rPr>
          <w:szCs w:val="28"/>
        </w:rPr>
        <w:t xml:space="preserve">30. Samsó, </w:t>
      </w:r>
      <w:r w:rsidRPr="002E411F">
        <w:rPr>
          <w:i/>
          <w:szCs w:val="28"/>
        </w:rPr>
        <w:t>Astronomy and Astrology in al-Andalus and the Maghrib</w:t>
      </w:r>
      <w:r w:rsidRPr="002E411F">
        <w:rPr>
          <w:szCs w:val="28"/>
        </w:rPr>
        <w:t>, articles I–VII.</w:t>
      </w:r>
    </w:p>
    <w:p w14:paraId="71AA340F" w14:textId="77777777" w:rsidR="002E411F" w:rsidRPr="002E411F" w:rsidRDefault="002E411F" w:rsidP="002E411F">
      <w:pPr>
        <w:pStyle w:val="NoteEntry"/>
      </w:pPr>
      <w:r w:rsidRPr="002E411F">
        <w:rPr>
          <w:szCs w:val="28"/>
        </w:rPr>
        <w:t xml:space="preserve">31. Charles Burnett, </w:t>
      </w:r>
      <w:r w:rsidRPr="002E411F">
        <w:rPr>
          <w:i/>
          <w:szCs w:val="28"/>
        </w:rPr>
        <w:t>Arabic into Latin in the Middle Ages: The Translators and Their Intellectual and Social Context</w:t>
      </w:r>
      <w:r w:rsidRPr="002E411F">
        <w:rPr>
          <w:szCs w:val="28"/>
        </w:rPr>
        <w:t xml:space="preserve"> (Farnham: Ashgate, 2009), articles I, III–V.</w:t>
      </w:r>
    </w:p>
    <w:p w14:paraId="299C0682" w14:textId="77777777" w:rsidR="002E411F" w:rsidRPr="002E411F" w:rsidRDefault="002E411F" w:rsidP="002E411F">
      <w:pPr>
        <w:pStyle w:val="NoteEntry"/>
      </w:pPr>
      <w:r w:rsidRPr="002E411F">
        <w:rPr>
          <w:szCs w:val="28"/>
        </w:rPr>
        <w:t xml:space="preserve">32. Burnett, </w:t>
      </w:r>
      <w:r w:rsidRPr="002E411F">
        <w:rPr>
          <w:i/>
          <w:szCs w:val="28"/>
        </w:rPr>
        <w:t>Arabic into Latin</w:t>
      </w:r>
      <w:r w:rsidRPr="002E411F">
        <w:rPr>
          <w:szCs w:val="28"/>
        </w:rPr>
        <w:t>, articles VI–VII.</w:t>
      </w:r>
    </w:p>
    <w:p w14:paraId="61B261CC" w14:textId="77777777" w:rsidR="002E411F" w:rsidRPr="002E411F" w:rsidRDefault="002E411F" w:rsidP="002E411F">
      <w:pPr>
        <w:pStyle w:val="NoteEntry"/>
      </w:pPr>
      <w:r w:rsidRPr="002E411F">
        <w:rPr>
          <w:szCs w:val="28"/>
        </w:rPr>
        <w:t xml:space="preserve">33. Abū Maʿshar, </w:t>
      </w:r>
      <w:r w:rsidRPr="002E411F">
        <w:rPr>
          <w:i/>
          <w:szCs w:val="28"/>
        </w:rPr>
        <w:t>Great Introduction</w:t>
      </w:r>
      <w:r w:rsidRPr="002E411F">
        <w:rPr>
          <w:szCs w:val="28"/>
        </w:rPr>
        <w:t xml:space="preserve">, 1:xv–xxix; Burnett, </w:t>
      </w:r>
      <w:r w:rsidRPr="002E411F">
        <w:rPr>
          <w:i/>
          <w:szCs w:val="28"/>
        </w:rPr>
        <w:t>Arabic into Latin</w:t>
      </w:r>
      <w:r w:rsidRPr="002E411F">
        <w:rPr>
          <w:szCs w:val="28"/>
        </w:rPr>
        <w:t>, articles VII–IX.</w:t>
      </w:r>
    </w:p>
    <w:p w14:paraId="135EAE45" w14:textId="77777777" w:rsidR="00E25538" w:rsidRDefault="00C26C9F">
      <w:pPr>
        <w:pStyle w:val="ChapterHeading"/>
      </w:pPr>
      <w:bookmarkStart w:id="10" w:name="toc_chapter_8"/>
      <w:r>
        <w:rPr>
          <w:sz w:val="28"/>
        </w:rPr>
        <w:t>Chapter 8</w:t>
      </w:r>
      <w:r>
        <w:rPr>
          <w:sz w:val="28"/>
        </w:rPr>
        <w:br/>
      </w:r>
      <w:r>
        <w:t>The Medieval Architecture of Heaven</w:t>
      </w:r>
      <w:bookmarkEnd w:id="10"/>
    </w:p>
    <w:p w14:paraId="32505AC5" w14:textId="77777777" w:rsidR="00E25538" w:rsidRPr="007775F8" w:rsidRDefault="00C26C9F">
      <w:pPr>
        <w:pStyle w:val="SectionHeading"/>
      </w:pPr>
      <w:r w:rsidRPr="007775F8">
        <w:t>The Bell at the Threshold</w:t>
      </w:r>
    </w:p>
    <w:p w14:paraId="4FB6F8E7" w14:textId="77777777" w:rsidR="00E25538" w:rsidRPr="007775F8" w:rsidRDefault="00C26C9F">
      <w:pPr>
        <w:pStyle w:val="BookBody"/>
      </w:pPr>
      <w:r w:rsidRPr="007775F8">
        <w:rPr>
          <w:szCs w:val="28"/>
        </w:rPr>
        <w:t>The first material witness of this chapter is not a diagram of the spheres but a bell sounding above a town.</w:t>
      </w:r>
    </w:p>
    <w:p w14:paraId="39779EBE" w14:textId="77777777" w:rsidR="00E25538" w:rsidRPr="007775F8" w:rsidRDefault="00C26C9F">
      <w:pPr>
        <w:pStyle w:val="BookBody"/>
      </w:pPr>
      <w:r w:rsidRPr="007775F8">
        <w:rPr>
          <w:szCs w:val="28"/>
        </w:rPr>
        <w:t>Its voice crosses boundaries that the eye cannot. It enters a workshop before the church appears in the street. It reaches a field outside the wall, a sickroom, a market stall, and a traveler approaching along the road. It announces an hour, a feast, a death, a danger, or the beginning of prayer. Those who hear it do not need to agree about the substance of the celestial spheres. Their bodies have already been gathered into a common time.</w:t>
      </w:r>
    </w:p>
    <w:p w14:paraId="3D11BD49" w14:textId="77777777" w:rsidR="00E25538" w:rsidRPr="007775F8" w:rsidRDefault="00C26C9F">
      <w:pPr>
        <w:pStyle w:val="BookBody"/>
      </w:pPr>
      <w:r w:rsidRPr="007775F8">
        <w:rPr>
          <w:szCs w:val="28"/>
        </w:rPr>
        <w:t>At Chartres the towers did more than dominate a horizon. Bells marked the hours of service, announced the deeds and feasts of saints, celebrated deliverance, and tolled for the dead. Below them, sculpted months and signs of the zodiac joined the year of labor to the year of worship. A peasant pruning vines, a figure warming himself in winter, Gemini, Cancer, and the Virgin could occupy the same threshold. The sequence did not abolish agricultural necessity. It placed sowing, harvest, hunger, weather, and human work within a more encompassing history.</w:t>
      </w:r>
      <w:r w:rsidRPr="007775F8">
        <w:rPr>
          <w:szCs w:val="28"/>
          <w:vertAlign w:val="superscript"/>
        </w:rPr>
        <w:t>1</w:t>
      </w:r>
    </w:p>
    <w:p w14:paraId="6C976053" w14:textId="77777777" w:rsidR="00E25538" w:rsidRPr="007775F8" w:rsidRDefault="00C26C9F">
      <w:pPr>
        <w:pStyle w:val="BookBody"/>
      </w:pPr>
      <w:r w:rsidRPr="007775F8">
        <w:rPr>
          <w:szCs w:val="28"/>
        </w:rPr>
        <w:t>To step through the portal was therefore to cross no simple line between a secular exterior and a religious interior. The fields entered in stone. Sunlight entered through colored glass. The dead entered through relics and commemoration. Distant places entered through saints, pilgrims, and stories. The seasons entered through fasts and feasts. Heaven entered neither as one more object nor as a painted substitute for an absent world. It became sensible through a composition of matter, movement, memory, and expectation.</w:t>
      </w:r>
    </w:p>
    <w:p w14:paraId="065742F2" w14:textId="77777777" w:rsidR="00E25538" w:rsidRPr="007775F8" w:rsidRDefault="00C26C9F">
      <w:pPr>
        <w:pStyle w:val="BookBody"/>
      </w:pPr>
      <w:r w:rsidRPr="007775F8">
        <w:rPr>
          <w:szCs w:val="28"/>
        </w:rPr>
        <w:t>Émile Mâle called the cathedral a complete education in stone and glass. His classic synthesis can make thirteenth-century France appear more unified than it was, and the old phrase “Bible of the poor” can falsely reduce lay viewers to passive illiterates. Yet Mâle saw something essential: a cathedral did not merely contain individual pictures. Its programs arranged nature, labor, learning, vice, virtue, sacred history, and final judgment into relations. The building taught through placement, repetition, contrast, and movement as well as through recognizable scenes.</w:t>
      </w:r>
      <w:r w:rsidRPr="007775F8">
        <w:rPr>
          <w:szCs w:val="28"/>
          <w:vertAlign w:val="superscript"/>
        </w:rPr>
        <w:t>2</w:t>
      </w:r>
    </w:p>
    <w:p w14:paraId="5CAFFBE1" w14:textId="77777777" w:rsidR="00E25538" w:rsidRPr="007775F8" w:rsidRDefault="00C26C9F">
      <w:pPr>
        <w:pStyle w:val="BookBody"/>
      </w:pPr>
      <w:r w:rsidRPr="007775F8">
        <w:rPr>
          <w:szCs w:val="28"/>
        </w:rPr>
        <w:t>Stained glass shows why “teaching” is too narrow if it means the delivery of propositions. A window changes the light by which everything around it is seen. Its figures appear and disappear with cloud, hour, distance, and the movement of the viewer. Color falls on pavement, clothing, skin, dust, and incense. The image is not only an object before an observing subject; it participates in the conditions of observation.</w:t>
      </w:r>
    </w:p>
    <w:p w14:paraId="665EC8E4" w14:textId="77777777" w:rsidR="00E25538" w:rsidRPr="007775F8" w:rsidRDefault="00C26C9F">
      <w:pPr>
        <w:pStyle w:val="BookBody"/>
      </w:pPr>
      <w:r w:rsidRPr="007775F8">
        <w:rPr>
          <w:szCs w:val="28"/>
        </w:rPr>
        <w:t>That participation gives sensible form to a theological claim. Created things do not generate divine light, but they can receive and transmit it according to their composition. The glass becomes most fully itself, not less material, when light passes through it. Yet it also colors what it transmits. Mediation is neither an untouched channel nor an autonomous source. It is receptive activity, and its particularity is both its gift and its limitation.</w:t>
      </w:r>
    </w:p>
    <w:p w14:paraId="5D4DD115" w14:textId="77777777" w:rsidR="00E25538" w:rsidRPr="007775F8" w:rsidRDefault="00C26C9F">
      <w:pPr>
        <w:pStyle w:val="BookBody"/>
      </w:pPr>
      <w:r w:rsidRPr="007775F8">
        <w:rPr>
          <w:szCs w:val="28"/>
        </w:rPr>
        <w:t>This chapter concerns that architecture in the widest sense. Cathedral, liturgy, sacrament, calendar, celestial science, and pilgrimage were not separate illustrations of a doctrine already complete in the mind. Together they composed a public world. They made transcendence shareable without claiming that transcendence could be contained. They offered different levels of approach to people of unequal education and devotion. They could cultivate perception, desire, and action. They could also enforce rank, stigmatize dissent, and make power appear as cosmic order.</w:t>
      </w:r>
    </w:p>
    <w:p w14:paraId="0D5AEEF2" w14:textId="77777777" w:rsidR="00E25538" w:rsidRPr="007775F8" w:rsidRDefault="00C26C9F">
      <w:pPr>
        <w:pStyle w:val="BookBody"/>
      </w:pPr>
      <w:r w:rsidRPr="007775F8">
        <w:rPr>
          <w:szCs w:val="28"/>
        </w:rPr>
        <w:t>The result should not be remembered as the medieval worldview, as though every village, university, monastery, court, woman, man, cleric, and artisan inhabited one mental construction. Latin Christendom contained multiple calendars, rival schools, local saints, disputed miracles, vernacular traditions, inherited pagan forms, Jewish communities, Muslim neighbors, and sharp disagreements about the heavens themselves. What existed was not uniformity but a powerful labor of composition. A heterogeneous inheritance was repeatedly made to cohere in institutions, objects, ceremonies, and lives.</w:t>
      </w:r>
      <w:r w:rsidRPr="007775F8">
        <w:rPr>
          <w:szCs w:val="28"/>
          <w:vertAlign w:val="superscript"/>
        </w:rPr>
        <w:t>3</w:t>
      </w:r>
    </w:p>
    <w:p w14:paraId="748D64FF" w14:textId="77777777" w:rsidR="00E25538" w:rsidRPr="007775F8" w:rsidRDefault="00C26C9F">
      <w:pPr>
        <w:pStyle w:val="BookBody"/>
      </w:pPr>
      <w:r w:rsidRPr="007775F8">
        <w:rPr>
          <w:szCs w:val="28"/>
        </w:rPr>
        <w:t>The Islamicate archive traced in the previous chapter was one condition of that labor. Aristotle, Ptolemy, Avicenna, al-Kindī, Abū Maʿshar, mathematical astronomy, astrological judgment, and instruments entered Latin discussion through translation and controversy. They did not arrive as raw materials awaiting Christian completion. They arrived already interpreted, criticized, and transformed. Medieval Christian architecture was built partly by receiving that contested inheritance and then asking what sort of created heaven could act without becoming divine, signify without dictating, and mediate without closing the future.</w:t>
      </w:r>
    </w:p>
    <w:p w14:paraId="6F68757B" w14:textId="77777777" w:rsidR="00E25538" w:rsidRPr="007775F8" w:rsidRDefault="00C26C9F">
      <w:pPr>
        <w:pStyle w:val="SectionHeading"/>
      </w:pPr>
      <w:r w:rsidRPr="007775F8">
        <w:t>A World Composed, Not Merely Believed</w:t>
      </w:r>
    </w:p>
    <w:p w14:paraId="156FF0CA" w14:textId="77777777" w:rsidR="00E25538" w:rsidRPr="007775F8" w:rsidRDefault="00C26C9F">
      <w:pPr>
        <w:pStyle w:val="BookBody"/>
      </w:pPr>
      <w:r w:rsidRPr="007775F8">
        <w:rPr>
          <w:szCs w:val="28"/>
        </w:rPr>
        <w:t>C. S. Lewis called the medieval synthesis a Model. The capital letter is useful if it names an achieved organization of theology, science, history, literature, and inherited authority. It is misleading if it suggests a single creed possessed with equal clarity by everyone. Lewis himself distinguished the learned construction from the imaginative “backcloth” available to wider culture. A university master could debate epicycles or celestial matter while a poet or parishioner encountered planetary order through a much looser repertoire of stories, images, and customary associations.</w:t>
      </w:r>
      <w:r w:rsidRPr="007775F8">
        <w:rPr>
          <w:szCs w:val="28"/>
          <w:vertAlign w:val="superscript"/>
        </w:rPr>
        <w:t>4</w:t>
      </w:r>
    </w:p>
    <w:p w14:paraId="027527AA" w14:textId="77777777" w:rsidR="00E25538" w:rsidRPr="007775F8" w:rsidRDefault="00C26C9F">
      <w:pPr>
        <w:pStyle w:val="BookBody"/>
      </w:pPr>
      <w:r w:rsidRPr="007775F8">
        <w:rPr>
          <w:szCs w:val="28"/>
        </w:rPr>
        <w:t>The distinction resembles Paul’s contrast between milk and solid food, but it must be handled carefully. It does not authorize a fixed social ranking in which clergy possess mature truth and laity receive childish pictures. Learning does not guarantee transformation, and simplicity does not prevent it. The relevant insight is that mediation must be proportioned to a recipient. A theorem, a homily, a painted angel, a procession, and a silence after prayer can disclose the same order differently because persons receive through different capacities and at different moments.</w:t>
      </w:r>
    </w:p>
    <w:p w14:paraId="637F53A9" w14:textId="77777777" w:rsidR="00E25538" w:rsidRPr="007775F8" w:rsidRDefault="00C26C9F">
      <w:pPr>
        <w:pStyle w:val="BookBody"/>
      </w:pPr>
      <w:r w:rsidRPr="007775F8">
        <w:rPr>
          <w:szCs w:val="28"/>
        </w:rPr>
        <w:t>Public mediation must therefore be plural. A common world cannot depend upon everyone having Dante’s imagination, Aquinas’s training, or a contemplative’s inward experience. It needs words that can be spoken together, times that can be kept together, roads that can be walked, and things that can be touched. Yet public forms become false when they confuse accessibility with exhaustion—when the image is treated as the reality’s limit, the doctrine as possession, or the institution as the source of the gift it conveys.</w:t>
      </w:r>
    </w:p>
    <w:p w14:paraId="26B96F5D" w14:textId="77777777" w:rsidR="00E25538" w:rsidRPr="007775F8" w:rsidRDefault="00C26C9F">
      <w:pPr>
        <w:pStyle w:val="BookBody"/>
      </w:pPr>
      <w:r w:rsidRPr="007775F8">
        <w:rPr>
          <w:szCs w:val="28"/>
        </w:rPr>
        <w:t>The medieval architecture of heaven lived within this tension. It was strongest when its forms were understood as real but nonfinal: real because created things could receive and communicate divine goodness; nonfinal because no finite order was God. It became dangerous when the ladder was mistaken for ownership of the height, or when the difference between kinds of mediation hardened into an absolute difference between kinds of human worth.</w:t>
      </w:r>
    </w:p>
    <w:p w14:paraId="32F1FBA8" w14:textId="77777777" w:rsidR="00E25538" w:rsidRPr="007775F8" w:rsidRDefault="00C26C9F">
      <w:pPr>
        <w:pStyle w:val="SectionHeading"/>
      </w:pPr>
      <w:r w:rsidRPr="007775F8">
        <w:t>The Dionysian Ladder</w:t>
      </w:r>
    </w:p>
    <w:p w14:paraId="085030B4" w14:textId="77777777" w:rsidR="00E25538" w:rsidRPr="007775F8" w:rsidRDefault="00C26C9F">
      <w:pPr>
        <w:pStyle w:val="BookBody"/>
      </w:pPr>
      <w:r w:rsidRPr="007775F8">
        <w:rPr>
          <w:szCs w:val="28"/>
        </w:rPr>
        <w:t>No thinker supplied the Latin Middle Ages with a more concentrated grammar of mediation than the author writing under the name of Dionysius the Areopagite. His authority rested for centuries on a mistaken identification with Paul’s Athenian convert, yet the historical mistake does not explain the force of his thought. Pseudo-Dionysius gave Christian creation an architecture in which every genuine gift comes from God, is received according to capacity, and is passed onward without ceasing to depend upon its source.</w:t>
      </w:r>
    </w:p>
    <w:p w14:paraId="0769269C" w14:textId="77777777" w:rsidR="00E25538" w:rsidRPr="007775F8" w:rsidRDefault="00C26C9F">
      <w:pPr>
        <w:pStyle w:val="BookBody"/>
      </w:pPr>
      <w:r w:rsidRPr="007775F8">
        <w:rPr>
          <w:szCs w:val="28"/>
        </w:rPr>
        <w:t xml:space="preserve">He begins the </w:t>
      </w:r>
      <w:r w:rsidRPr="007775F8">
        <w:rPr>
          <w:i/>
          <w:szCs w:val="28"/>
        </w:rPr>
        <w:t>Celestial Hierarchy</w:t>
      </w:r>
      <w:r w:rsidRPr="007775F8">
        <w:rPr>
          <w:szCs w:val="28"/>
        </w:rPr>
        <w:t xml:space="preserve"> by asking how human beings can know immaterial orders at all. The divine ray, he says, is concealed within sacred veils adapted to embodied minds. Scripture gives angels wings, faces, wheels, fire, animal forms, and human limbs, not because heavenly intellects literally possess such bodies but because sense is the beginning of human understanding. Visible forms can awaken the mind, prevent it from resting in the visible, and lead it toward a reality it cannot picture.</w:t>
      </w:r>
      <w:r w:rsidRPr="007775F8">
        <w:rPr>
          <w:szCs w:val="28"/>
          <w:vertAlign w:val="superscript"/>
        </w:rPr>
        <w:t>5</w:t>
      </w:r>
    </w:p>
    <w:p w14:paraId="67FAF181" w14:textId="77777777" w:rsidR="00E25538" w:rsidRPr="007775F8" w:rsidRDefault="00C26C9F">
      <w:pPr>
        <w:pStyle w:val="BookBody"/>
      </w:pPr>
      <w:r w:rsidRPr="007775F8">
        <w:rPr>
          <w:szCs w:val="28"/>
        </w:rPr>
        <w:t>This is not a theory of arbitrary signs. A symbol succeeds because the created world already bears capacities of likeness and difference. Light can disclose divine illumination, fire divine intensity, ascent the transformation of desire. Yet every likeness must also be negated. God is not luminous in the manner of a lamp, elevated in space, or powerful as one being among others. The same form that carries thought upward must eventually be released.</w:t>
      </w:r>
    </w:p>
    <w:p w14:paraId="210FE2F8" w14:textId="77777777" w:rsidR="00E25538" w:rsidRPr="007775F8" w:rsidRDefault="00C26C9F">
      <w:pPr>
        <w:pStyle w:val="BookBody"/>
      </w:pPr>
      <w:r w:rsidRPr="007775F8">
        <w:rPr>
          <w:szCs w:val="28"/>
        </w:rPr>
        <w:t>Hierarchy, for Dionysius, is therefore not merely a chain of command. It is a sacred order, understanding, and activity that approximates divine likeness. Each level receives illumination, is purified and perfected by it, and communicates it to levels below. Higher does not mean self-originating. The highest angel remains a receiver. Lower does not mean abandoned. The divine goodness reaches each being in the way that being can receive.</w:t>
      </w:r>
      <w:r w:rsidRPr="007775F8">
        <w:rPr>
          <w:szCs w:val="28"/>
          <w:vertAlign w:val="superscript"/>
        </w:rPr>
        <w:t>6</w:t>
      </w:r>
    </w:p>
    <w:p w14:paraId="7982F64B" w14:textId="77777777" w:rsidR="00E25538" w:rsidRPr="007775F8" w:rsidRDefault="00C26C9F">
      <w:pPr>
        <w:pStyle w:val="BookBody"/>
      </w:pPr>
      <w:r w:rsidRPr="007775F8">
        <w:rPr>
          <w:szCs w:val="28"/>
        </w:rPr>
        <w:t>The movement is downward as well as upward. Gift descends; response ascends. What is received becomes fruitful by being given. In this respect hierarchy names a circulation of grace before it names a ranking of offices. No creature owns the light it transmits. If it hoards the gift or makes dependence terminate in itself, it has ceased to mediate and begun to obscure.</w:t>
      </w:r>
    </w:p>
    <w:p w14:paraId="302F8FE9" w14:textId="77777777" w:rsidR="00E25538" w:rsidRPr="007775F8" w:rsidRDefault="00C26C9F">
      <w:pPr>
        <w:pStyle w:val="BookBody"/>
      </w:pPr>
      <w:r w:rsidRPr="007775F8">
        <w:rPr>
          <w:szCs w:val="28"/>
        </w:rPr>
        <w:t>The ecclesiastical hierarchy translates this cosmic pattern into rites, offices, instruction, and formation. Material signs initiate embodied persons into intelligible realities; those further formed assist those beginning; worship moves from multiplicity toward union. Dionysius can sound as though every person has a fixed place, yet his hierarchy also describes transformation. The purpose of an order is not to keep a recipient permanently where the recipient began. It is purification, illumination, and perfection—the making capable of fuller reception and freer gift.</w:t>
      </w:r>
      <w:r w:rsidRPr="007775F8">
        <w:rPr>
          <w:szCs w:val="28"/>
          <w:vertAlign w:val="superscript"/>
        </w:rPr>
        <w:t>7</w:t>
      </w:r>
    </w:p>
    <w:p w14:paraId="2BB0B071" w14:textId="77777777" w:rsidR="00E25538" w:rsidRPr="007775F8" w:rsidRDefault="00C26C9F">
      <w:pPr>
        <w:pStyle w:val="BookBody"/>
      </w:pPr>
      <w:r w:rsidRPr="007775F8">
        <w:rPr>
          <w:szCs w:val="28"/>
        </w:rPr>
        <w:t>Here the Pauline image of milk and meat becomes illuminating. Milk is not false and meat true. Milk is nourishment fitted to a present capacity; meat is nourishment that requires another capacity. The error would be to make milk a permanent instrument of rule, or to boast of meat while remaining incapable of love. In Paul, maturity is measured less by esoteric possession than by a life no longer governed by envy, rivalry, and self-importance. A mediation is vindicated when what it conveys becomes inwardly active and outwardly lived.</w:t>
      </w:r>
    </w:p>
    <w:p w14:paraId="346DADE0" w14:textId="77777777" w:rsidR="00E25538" w:rsidRPr="007775F8" w:rsidRDefault="00C26C9F">
      <w:pPr>
        <w:pStyle w:val="BookBody"/>
      </w:pPr>
      <w:r w:rsidRPr="007775F8">
        <w:rPr>
          <w:szCs w:val="28"/>
        </w:rPr>
        <w:t xml:space="preserve">Denys Turner has shown how Bonaventure later interiorized the Dionysian hierarchy. The </w:t>
      </w:r>
      <w:r w:rsidRPr="007775F8">
        <w:rPr>
          <w:i/>
          <w:szCs w:val="28"/>
        </w:rPr>
        <w:t>Journey of the Mind into God</w:t>
      </w:r>
      <w:r w:rsidRPr="007775F8">
        <w:rPr>
          <w:szCs w:val="28"/>
        </w:rPr>
        <w:t xml:space="preserve"> brings cosmic ascent into memory, intellect, will, sensation, and desire. Creation is not merely compared to a symbol; created reality is representational because it comes from God. The human being, composed of material, vegetative, sensitive, rational, and intellectual powers, gathers the levels of the cosmos within one embodied life. By grace the soul can interiorize even the angelic hierarchy—not abolishing the objective world, but becoming capable of the order it publicly contemplates.</w:t>
      </w:r>
      <w:r w:rsidRPr="007775F8">
        <w:rPr>
          <w:szCs w:val="28"/>
          <w:vertAlign w:val="superscript"/>
        </w:rPr>
        <w:t>8</w:t>
      </w:r>
    </w:p>
    <w:p w14:paraId="6EB44782" w14:textId="77777777" w:rsidR="00E25538" w:rsidRPr="007775F8" w:rsidRDefault="00C26C9F">
      <w:pPr>
        <w:pStyle w:val="BookBody"/>
      </w:pPr>
      <w:r w:rsidRPr="007775F8">
        <w:rPr>
          <w:szCs w:val="28"/>
        </w:rPr>
        <w:t>That movement gives this chapter its central distinction. Public mediation offers forms through which a common life can be taught, corrected, and celebrated. Inward fulfillment occurs when the truth carried by those forms becomes the form of a person’s desire and action. Then mediation may become transparent. One no longer looks at charity as an external instruction; one gives. One no longer calculates grace as a possession; what was freely received becomes an overwhelming desire to give freely.</w:t>
      </w:r>
    </w:p>
    <w:p w14:paraId="15283DF7" w14:textId="77777777" w:rsidR="00E25538" w:rsidRPr="007775F8" w:rsidRDefault="00C26C9F">
      <w:pPr>
        <w:pStyle w:val="BookBody"/>
      </w:pPr>
      <w:r w:rsidRPr="007775F8">
        <w:rPr>
          <w:szCs w:val="28"/>
        </w:rPr>
        <w:t>This does not make church, doctrine, symbol, or community unnecessary. No society remains in the contemplative instant, and no person matures alone. It means that the end of mediation is not endless mediation. The ladder exists for ascent, and the light is passed on so that another may see—not so that the ladder or messenger may become the final object of sight.</w:t>
      </w:r>
    </w:p>
    <w:p w14:paraId="43DDEA66" w14:textId="77777777" w:rsidR="00E25538" w:rsidRPr="007775F8" w:rsidRDefault="00C26C9F">
      <w:pPr>
        <w:pStyle w:val="SectionHeading"/>
      </w:pPr>
      <w:r w:rsidRPr="007775F8">
        <w:t>Created Causes</w:t>
      </w:r>
    </w:p>
    <w:p w14:paraId="33761157" w14:textId="77777777" w:rsidR="00E25538" w:rsidRPr="007775F8" w:rsidRDefault="00C26C9F">
      <w:pPr>
        <w:pStyle w:val="BookBody"/>
      </w:pPr>
      <w:r w:rsidRPr="007775F8">
        <w:rPr>
          <w:szCs w:val="28"/>
        </w:rPr>
        <w:t>Thomas Aquinas gives this architecture a different vocabulary. Dionysius emphasizes the descent and return of light; Aquinas asks how the Creator acts in a world whose creatures genuinely act. The question is decisive. If God alone is a cause in such a way that creatures contribute nothing, then the created order becomes a theater of divine ventriloquism. If creatures act independently, creation breaks into rival sovereignties. Aquinas refuses both alternatives.</w:t>
      </w:r>
    </w:p>
    <w:p w14:paraId="5383F89E" w14:textId="77777777" w:rsidR="00E25538" w:rsidRPr="007775F8" w:rsidRDefault="00C26C9F">
      <w:pPr>
        <w:pStyle w:val="BookBody"/>
      </w:pPr>
      <w:r w:rsidRPr="007775F8">
        <w:rPr>
          <w:szCs w:val="28"/>
        </w:rPr>
        <w:t>God works in every created agent, but not by replacing it. God gives and preserves the power by which a creature acts, applies that power to action, and orders action toward an end. Fire still heats, a seed still grows, an animal still moves toward what it perceives, and a person still wills. Divine causality operates at a different depth from the rivalry among finite causes. The more radically an action depends upon God, the more—not the less—the creature can be a real cause according to its nature.</w:t>
      </w:r>
      <w:r w:rsidRPr="007775F8">
        <w:rPr>
          <w:szCs w:val="28"/>
          <w:vertAlign w:val="superscript"/>
        </w:rPr>
        <w:t>9</w:t>
      </w:r>
    </w:p>
    <w:p w14:paraId="08E5A037" w14:textId="77777777" w:rsidR="00E25538" w:rsidRPr="007775F8" w:rsidRDefault="00C26C9F">
      <w:pPr>
        <w:pStyle w:val="BookBody"/>
      </w:pPr>
      <w:r w:rsidRPr="007775F8">
        <w:rPr>
          <w:szCs w:val="28"/>
        </w:rPr>
        <w:t>This account permits Aquinas to receive a physically active heaven from Aristotle and the Arabic-Latin tradition. Celestial bodies can be universal bodily causes of generation and corruption below the Moon. Their regular motions help account for seasons, mixtures, growth, and the changing conditions within which terrestrial natures act. Because they are created secondary causes, acknowledging their influence neither deifies them nor makes God one astronomical force among others.</w:t>
      </w:r>
      <w:r w:rsidRPr="007775F8">
        <w:rPr>
          <w:szCs w:val="28"/>
          <w:vertAlign w:val="superscript"/>
        </w:rPr>
        <w:t>10</w:t>
      </w:r>
    </w:p>
    <w:p w14:paraId="6C401726" w14:textId="77777777" w:rsidR="00E25538" w:rsidRPr="007775F8" w:rsidRDefault="00C26C9F">
      <w:pPr>
        <w:pStyle w:val="BookBody"/>
      </w:pPr>
      <w:r w:rsidRPr="007775F8">
        <w:rPr>
          <w:szCs w:val="28"/>
        </w:rPr>
        <w:t>Yet the influence has limits. A heavenly body can act directly upon a body, and bodily change can affect sensation, appetite, temperament, and passion. It cannot directly determine intellect or will, which are not bodily organs. A person may follow a passion intensified by bodily condition, and an astrologer may predict many people because many people do follow their passions. But inclination is not necessity. Aquinas’s memorable maxim is that the wise person rules the stars: not by escaping embodiment, but by ordering bodily impulse through reason and virtue.</w:t>
      </w:r>
      <w:r w:rsidRPr="007775F8">
        <w:rPr>
          <w:szCs w:val="28"/>
          <w:vertAlign w:val="superscript"/>
        </w:rPr>
        <w:t>11</w:t>
      </w:r>
    </w:p>
    <w:p w14:paraId="71C4FD58" w14:textId="77777777" w:rsidR="00E25538" w:rsidRPr="007775F8" w:rsidRDefault="00C26C9F">
      <w:pPr>
        <w:pStyle w:val="BookBody"/>
      </w:pPr>
      <w:r w:rsidRPr="007775F8">
        <w:rPr>
          <w:szCs w:val="28"/>
        </w:rPr>
        <w:t>Contingency enters at every level. A universal celestial influence is received in particular matter, meets other causes, and may be impeded. A farmer can know the season without knowing whether one seed will survive a storm, an animal, disease, or neglect. Even within bodily nature, therefore, the heavens do not impose an exceptionless script. Providence orders real causes whose interactions include vulnerability, failure, and chance relative to limited knowers.</w:t>
      </w:r>
      <w:r w:rsidRPr="007775F8">
        <w:rPr>
          <w:szCs w:val="28"/>
          <w:vertAlign w:val="superscript"/>
        </w:rPr>
        <w:t>12</w:t>
      </w:r>
    </w:p>
    <w:p w14:paraId="2D381294" w14:textId="77777777" w:rsidR="00E25538" w:rsidRPr="007775F8" w:rsidRDefault="00C26C9F">
      <w:pPr>
        <w:pStyle w:val="BookBody"/>
      </w:pPr>
      <w:r w:rsidRPr="007775F8">
        <w:rPr>
          <w:szCs w:val="28"/>
        </w:rPr>
        <w:t>The importance of this teaching here is architectural rather than merely metaphysical. Aquinas makes room for vertical dependence and horizontal efficacy at once. Created things possess intelligibility because they receive being and power; they possess dignity because the received power is genuinely theirs. A cathedral stone can bear weight, colored glass can alter light, bread can nourish, speech can teach, and a human promise can bind because finite reality is not an empty mask over divine action.</w:t>
      </w:r>
    </w:p>
    <w:p w14:paraId="5B2D8A1C" w14:textId="77777777" w:rsidR="00E25538" w:rsidRPr="007775F8" w:rsidRDefault="00C26C9F">
      <w:pPr>
        <w:pStyle w:val="BookBody"/>
      </w:pPr>
      <w:r w:rsidRPr="007775F8">
        <w:rPr>
          <w:szCs w:val="28"/>
        </w:rPr>
        <w:t>Grace intensifies rather than cancels this pattern. It is not a celestial influence distributed by place of birth or a reward calculated from natural rank. It is gift. Because it is gift, it cannot be secured by the architecture that communicates it. Sacrament, office, doctrine, and discipline can dispose, name, protect, and celebrate; they cannot turn God into their possession. Their authority is derivative and ministerial or it is no longer Christian authority.</w:t>
      </w:r>
    </w:p>
    <w:p w14:paraId="7D1845E9" w14:textId="77777777" w:rsidR="00E25538" w:rsidRPr="007775F8" w:rsidRDefault="00C26C9F">
      <w:pPr>
        <w:pStyle w:val="BookBody"/>
      </w:pPr>
      <w:r w:rsidRPr="007775F8">
        <w:rPr>
          <w:szCs w:val="28"/>
        </w:rPr>
        <w:t>That limit is easy to state and difficult to sustain. Once a hierarchy has buildings, endowments, courts, schools, and legal privileges, the passage from stewardship to ownership can become nearly invisible. Aquinas’s doctrine of secondary causes provides a criterion of criticism from within the architecture itself. A mediator is not made unreal by dependence upon God, but neither is it made absolute. Every finite cause acts within an order it did not create and toward a good it cannot monopolize.</w:t>
      </w:r>
    </w:p>
    <w:p w14:paraId="273EF182" w14:textId="77777777" w:rsidR="00E25538" w:rsidRPr="007775F8" w:rsidRDefault="00C26C9F">
      <w:pPr>
        <w:pStyle w:val="SectionHeading"/>
      </w:pPr>
      <w:r w:rsidRPr="007775F8">
        <w:t>The Heavens in Dispute</w:t>
      </w:r>
    </w:p>
    <w:p w14:paraId="34C3D76D" w14:textId="77777777" w:rsidR="00E25538" w:rsidRPr="007775F8" w:rsidRDefault="00C26C9F">
      <w:pPr>
        <w:pStyle w:val="BookBody"/>
      </w:pPr>
      <w:r w:rsidRPr="007775F8">
        <w:rPr>
          <w:szCs w:val="28"/>
        </w:rPr>
        <w:t>The physical sky fitted into this created hierarchy, but not without argument. Edward Grant’s history of medieval cosmology is valuable precisely because it dissolves the cartoon of a few crystalline shells believed everywhere and by everyone. Latin scholars debated the number and order of orbs, the status of eccentrics and epicycles, the nature of celestial matter, whether an orb was hard or fluid, what moved it, how light acted, whether the empyrean was a physical heaven, and whether celestial bodies were alive.</w:t>
      </w:r>
      <w:r w:rsidRPr="007775F8">
        <w:rPr>
          <w:szCs w:val="28"/>
          <w:vertAlign w:val="superscript"/>
        </w:rPr>
        <w:t>13</w:t>
      </w:r>
    </w:p>
    <w:p w14:paraId="582C4A36" w14:textId="77777777" w:rsidR="00E25538" w:rsidRPr="007775F8" w:rsidRDefault="00C26C9F">
      <w:pPr>
        <w:pStyle w:val="BookBody"/>
      </w:pPr>
      <w:r w:rsidRPr="007775F8">
        <w:rPr>
          <w:szCs w:val="28"/>
        </w:rPr>
        <w:t>The familiar geocentric arrangement was itself a compound. Aristotle’s nested physical spheres and Ptolemy’s mathematical devices did not fit without strain. The translation movement had supplied competing Arabic solutions and criticisms. University curricula created institutional settings in which the heavens could be described, disputed, condemned, revised, and taught. The learned cosmos was therefore not a single inherited picture but an organized field of problems.</w:t>
      </w:r>
    </w:p>
    <w:p w14:paraId="3627DCC0" w14:textId="77777777" w:rsidR="00E25538" w:rsidRPr="007775F8" w:rsidRDefault="00C26C9F">
      <w:pPr>
        <w:pStyle w:val="BookBody"/>
      </w:pPr>
      <w:r w:rsidRPr="007775F8">
        <w:rPr>
          <w:szCs w:val="28"/>
        </w:rPr>
        <w:t>One of the most revealing questions was whether the heavens were alive. Aristotle’s celestial motions seemed to involve soul or intellect; Arabic philosophers elaborated celestial souls and intelligences; Christian theologians worried about both pagan animation and the causal gap that would follow if the heavens were merely inert. Some granted animation in a qualified sense, some assigned motion to separate intelligences identified with angels, and others denied that the celestial bodies were truly ensouled.</w:t>
      </w:r>
      <w:r w:rsidRPr="007775F8">
        <w:rPr>
          <w:szCs w:val="28"/>
          <w:vertAlign w:val="superscript"/>
        </w:rPr>
        <w:t>14</w:t>
      </w:r>
    </w:p>
    <w:p w14:paraId="324C7124" w14:textId="77777777" w:rsidR="00E25538" w:rsidRPr="007775F8" w:rsidRDefault="00C26C9F">
      <w:pPr>
        <w:pStyle w:val="BookBody"/>
      </w:pPr>
      <w:r w:rsidRPr="007775F8">
        <w:rPr>
          <w:szCs w:val="28"/>
        </w:rPr>
        <w:t>The dispute matters for the death of the living cosmos because it shows that no single moment killed an uncontested celestial organism. The living character of the heavens was already being parsed into distinct questions: Does a sphere move itself? Does it desire? Is the mover intrinsic or separate? Is regular motion evidence of life, intelligence, obedience, or merely a stable created nature? The later mechanical world did not replace an undifferentiated medieval certainty. It selected, hardened, and transformed possibilities that had long been under debate.</w:t>
      </w:r>
    </w:p>
    <w:p w14:paraId="399D3F2E" w14:textId="77777777" w:rsidR="00E25538" w:rsidRPr="007775F8" w:rsidRDefault="00C26C9F">
      <w:pPr>
        <w:pStyle w:val="BookBody"/>
      </w:pPr>
      <w:r w:rsidRPr="007775F8">
        <w:rPr>
          <w:szCs w:val="28"/>
        </w:rPr>
        <w:t>Nor did theological caution simply oppose science. The condemnation of astral determinism protected moral responsibility, but physical inquiry also placed limits on confident theology. Grant records disagreements that arose because scholars knew that the heavens could not be directly inspected in their substance. Mathematical fit did not settle physical reality. Learned humility existed beside system-building: a recognition that an elegant model might organize appearances without granting possession of the thing modeled.</w:t>
      </w:r>
      <w:r w:rsidRPr="007775F8">
        <w:rPr>
          <w:szCs w:val="28"/>
          <w:vertAlign w:val="superscript"/>
        </w:rPr>
        <w:t>15</w:t>
      </w:r>
    </w:p>
    <w:p w14:paraId="608D9E07" w14:textId="77777777" w:rsidR="00E25538" w:rsidRPr="007775F8" w:rsidRDefault="00C26C9F">
      <w:pPr>
        <w:pStyle w:val="BookBody"/>
      </w:pPr>
      <w:r w:rsidRPr="007775F8">
        <w:rPr>
          <w:szCs w:val="28"/>
        </w:rPr>
        <w:t>This is another form of mediation under discipline. The sphere is intelligible without being transparent. Calculation reaches real regularities without converting them into final causes. The heavens can participate in the created order without being the court of last appeal for a human life. Their beauty lies not in closing contingency but in sustaining a patterned field within which many causes act.</w:t>
      </w:r>
    </w:p>
    <w:p w14:paraId="33F455F9" w14:textId="77777777" w:rsidR="00E25538" w:rsidRPr="007775F8" w:rsidRDefault="00C26C9F">
      <w:pPr>
        <w:pStyle w:val="SectionHeading"/>
      </w:pPr>
      <w:r w:rsidRPr="007775F8">
        <w:t>Dante's Accommodated Heavens</w:t>
      </w:r>
    </w:p>
    <w:p w14:paraId="3F930CB8" w14:textId="77777777" w:rsidR="00E25538" w:rsidRPr="007775F8" w:rsidRDefault="00C26C9F">
      <w:pPr>
        <w:pStyle w:val="BookBody"/>
      </w:pPr>
      <w:r w:rsidRPr="007775F8">
        <w:rPr>
          <w:szCs w:val="28"/>
        </w:rPr>
        <w:t xml:space="preserve">Dante turns this disputed architecture into a journey of consciousness without reducing it to psychology. In the </w:t>
      </w:r>
      <w:r w:rsidRPr="007775F8">
        <w:rPr>
          <w:i/>
          <w:szCs w:val="28"/>
        </w:rPr>
        <w:t>Paradiso</w:t>
      </w:r>
      <w:r w:rsidRPr="007775F8">
        <w:rPr>
          <w:szCs w:val="28"/>
        </w:rPr>
        <w:t>, the pilgrim ascends through the Moon, Mercury, Venus, the Sun, Mars, Jupiter, Saturn, the fixed stars, and the Primum Mobile to the Empyrean. Yet the poem quietly warns the reader not to mistake the sequence for a literal distribution of blessed souls among astronomical containers.</w:t>
      </w:r>
    </w:p>
    <w:p w14:paraId="075BD1D4" w14:textId="77777777" w:rsidR="00E25538" w:rsidRPr="007775F8" w:rsidRDefault="00C26C9F">
      <w:pPr>
        <w:pStyle w:val="BookBody"/>
      </w:pPr>
      <w:r w:rsidRPr="007775F8">
        <w:rPr>
          <w:szCs w:val="28"/>
        </w:rPr>
        <w:t>In the second canto, Beatrice explains a cosmos of mediated power. Within the heaven of divine peace, one body communicates being through diverse heavenly bodies; each receives from above and acts upon the level below. The language resembles a body whose organs exercise distinct powers. Difference is not a fall from unity. The one source becomes fruitful through ordered diversity.</w:t>
      </w:r>
      <w:r w:rsidRPr="007775F8">
        <w:rPr>
          <w:szCs w:val="28"/>
          <w:vertAlign w:val="superscript"/>
        </w:rPr>
        <w:t>16</w:t>
      </w:r>
    </w:p>
    <w:p w14:paraId="688D6377" w14:textId="77777777" w:rsidR="00E25538" w:rsidRPr="007775F8" w:rsidRDefault="00C26C9F">
      <w:pPr>
        <w:pStyle w:val="BookBody"/>
      </w:pPr>
      <w:r w:rsidRPr="007775F8">
        <w:rPr>
          <w:szCs w:val="28"/>
        </w:rPr>
        <w:t>Two cantos later, Dante asks why the blessed appear in the sphere of the Moon if all dwell in the Empyrean. Beatrice answers that they show themselves in different spheres to signify degrees of blessedness in a manner fitted to human perception. The souls do not literally inhabit the planets. They appear there because the human intellect begins from sense, just as Scripture attributes hands and feet to God and the Church paints angels with human features.</w:t>
      </w:r>
      <w:r w:rsidRPr="007775F8">
        <w:rPr>
          <w:szCs w:val="28"/>
          <w:vertAlign w:val="superscript"/>
        </w:rPr>
        <w:t>17</w:t>
      </w:r>
    </w:p>
    <w:p w14:paraId="132DC7F1" w14:textId="77777777" w:rsidR="00E25538" w:rsidRPr="007775F8" w:rsidRDefault="00C26C9F">
      <w:pPr>
        <w:pStyle w:val="BookBody"/>
      </w:pPr>
      <w:r w:rsidRPr="007775F8">
        <w:rPr>
          <w:szCs w:val="28"/>
        </w:rPr>
        <w:t>Dante therefore uses the medieval heavens and interprets their use at the same time. The poem gives the reader sensible place, motion, faces, voices, music, and increasing light, then teaches that these are accommodations. The journey is objectively theological and inwardly transformative. The cosmos becomes an instrument by which desire learns what it desires.</w:t>
      </w:r>
    </w:p>
    <w:p w14:paraId="5E5C17C1" w14:textId="77777777" w:rsidR="00E25538" w:rsidRPr="007775F8" w:rsidRDefault="00C26C9F">
      <w:pPr>
        <w:pStyle w:val="BookBody"/>
      </w:pPr>
      <w:r w:rsidRPr="007775F8">
        <w:rPr>
          <w:szCs w:val="28"/>
        </w:rPr>
        <w:t>This protects the poem from a simplistic opposition between ancient mediation and modern inwardness. Dante does not abandon the public cosmos for a private state. He internalizes an architecture while insisting that the architecture refers beyond his mind. What changes is his capacity. He must learn to see more, surrender distorted desire, receive correction, and allow imagination to be stretched beyond its ordinary measure.</w:t>
      </w:r>
    </w:p>
    <w:p w14:paraId="0E083197" w14:textId="77777777" w:rsidR="00E25538" w:rsidRPr="007775F8" w:rsidRDefault="00C26C9F">
      <w:pPr>
        <w:pStyle w:val="BookBody"/>
      </w:pPr>
      <w:r w:rsidRPr="007775F8">
        <w:rPr>
          <w:szCs w:val="28"/>
        </w:rPr>
        <w:t>The angelic orders in the twenty-eighth canto make the point visible. Nine circles of fire turn around a point of overwhelming light. Their speed increases with nearness because love, not spatial circumference, determines motion. Dante invokes Dionysius’s nine orders and even lets the difference between Dionysius and Gregory be corrected with a smile. Authority is honored without making every inherited arrangement infallible.</w:t>
      </w:r>
      <w:r w:rsidRPr="007775F8">
        <w:rPr>
          <w:szCs w:val="28"/>
          <w:vertAlign w:val="superscript"/>
        </w:rPr>
        <w:t>18</w:t>
      </w:r>
    </w:p>
    <w:p w14:paraId="6B63259A" w14:textId="77777777" w:rsidR="00E25538" w:rsidRPr="007775F8" w:rsidRDefault="00C26C9F">
      <w:pPr>
        <w:pStyle w:val="BookBody"/>
      </w:pPr>
      <w:r w:rsidRPr="007775F8">
        <w:rPr>
          <w:szCs w:val="28"/>
        </w:rPr>
        <w:t xml:space="preserve">The ascent begins in grace. Dante coins </w:t>
      </w:r>
      <w:r w:rsidRPr="007775F8">
        <w:rPr>
          <w:i/>
          <w:szCs w:val="28"/>
        </w:rPr>
        <w:t>trasumanar</w:t>
      </w:r>
      <w:r w:rsidRPr="007775F8">
        <w:rPr>
          <w:szCs w:val="28"/>
        </w:rPr>
        <w:t xml:space="preserve"> for a passage beyond the ordinary human state, but the movement is not self-manufacture. His rising follows a gift descending from above. The pilgrim’s powers are enlarged by what they could not produce. Grace does not remove his humanity; it brings perception, intellect, desire, memory, and will toward a fullness they could not reach alone.</w:t>
      </w:r>
      <w:r w:rsidRPr="007775F8">
        <w:rPr>
          <w:szCs w:val="28"/>
          <w:vertAlign w:val="superscript"/>
        </w:rPr>
        <w:t>19</w:t>
      </w:r>
    </w:p>
    <w:p w14:paraId="55A6642E" w14:textId="77777777" w:rsidR="00E25538" w:rsidRPr="007775F8" w:rsidRDefault="00C26C9F">
      <w:pPr>
        <w:pStyle w:val="BookBody"/>
      </w:pPr>
      <w:r w:rsidRPr="007775F8">
        <w:rPr>
          <w:szCs w:val="28"/>
        </w:rPr>
        <w:t>At each stage, mediation becomes both richer and less adequate. More light permits more sight, yet every increase exposes a greater excess. The reader receives page after page of spheres, ranks, faces, histories, arguments, hymns, geometric figures, and reflected radiance. The culmination is not the most comprehensive diagram. It is the failure of the power that made the diagram possible.</w:t>
      </w:r>
    </w:p>
    <w:p w14:paraId="6B5E0D74" w14:textId="77777777" w:rsidR="00E25538" w:rsidRPr="007775F8" w:rsidRDefault="00C26C9F">
      <w:pPr>
        <w:pStyle w:val="BookBody"/>
      </w:pPr>
      <w:r w:rsidRPr="007775F8">
        <w:rPr>
          <w:szCs w:val="28"/>
        </w:rPr>
        <w:t>In the final canto, Dante sees the divine life through three circles and tries to understand how the human image is joined to the divine. Then memory and “lofty phantasy” fail. This is not the defeat of consciousness by irrationality. Desire and will have become aligned with the reality they sought. The journey ends in “the Love that moves the sun and the other stars.”</w:t>
      </w:r>
      <w:r w:rsidRPr="007775F8">
        <w:rPr>
          <w:szCs w:val="28"/>
          <w:vertAlign w:val="superscript"/>
        </w:rPr>
        <w:t>20</w:t>
      </w:r>
    </w:p>
    <w:p w14:paraId="123705B1" w14:textId="77777777" w:rsidR="00E25538" w:rsidRPr="007775F8" w:rsidRDefault="00C26C9F">
      <w:pPr>
        <w:pStyle w:val="BookBody"/>
      </w:pPr>
      <w:r w:rsidRPr="007775F8">
        <w:rPr>
          <w:szCs w:val="28"/>
        </w:rPr>
        <w:t>Mediation has disappeared at the instant of fulfillment. The spheres are no longer needed as steps, the image no longer stands between knower and known, and the will does not negotiate with an external command. Life is unmediated and full because desire has become consonant with gift.</w:t>
      </w:r>
    </w:p>
    <w:p w14:paraId="63E2162A" w14:textId="77777777" w:rsidR="00E25538" w:rsidRPr="007775F8" w:rsidRDefault="00C26C9F">
      <w:pPr>
        <w:pStyle w:val="BookBody"/>
      </w:pPr>
      <w:r w:rsidRPr="007775F8">
        <w:rPr>
          <w:szCs w:val="28"/>
        </w:rPr>
        <w:t>Yet the poem exists. Dante returns from the failure of speech and writes a public mediation of the unmediated. The paradox is essential. Fulfillment can make the ladder disappear for the one who has climbed; love for others makes the climber speak again. The poem does not reproduce the vision. It gives readers images proportioned to their capacities and invites their transformation. Grace received freely becomes the desire to give freely.</w:t>
      </w:r>
    </w:p>
    <w:p w14:paraId="7379324E" w14:textId="77777777" w:rsidR="00E25538" w:rsidRPr="007775F8" w:rsidRDefault="00C26C9F">
      <w:pPr>
        <w:pStyle w:val="SectionHeading"/>
      </w:pPr>
      <w:r w:rsidRPr="007775F8">
        <w:t>Matter That Does Not Stay Mere</w:t>
      </w:r>
    </w:p>
    <w:p w14:paraId="0B8BCD81" w14:textId="77777777" w:rsidR="00E25538" w:rsidRPr="007775F8" w:rsidRDefault="00C26C9F">
      <w:pPr>
        <w:pStyle w:val="BookBody"/>
      </w:pPr>
      <w:r w:rsidRPr="007775F8">
        <w:rPr>
          <w:szCs w:val="28"/>
        </w:rPr>
        <w:t>The cathedral would remain an immense pedagogical diagram if medieval Christianity regarded matter only as a pointer toward something nonmaterial. It did not. Caroline Walker Bynum has shown how insistently late medieval religion returned to stuff: bread, blood, bone, wax, wood, stone, cloth, water, oil, wounds, corpses, fragments, and transformed bodies. Christian materiality was not an embarrassing residue beneath a spiritual theology. Creation, incarnation, resurrection, and sacrament made matter a central theological problem.</w:t>
      </w:r>
      <w:r w:rsidRPr="007775F8">
        <w:rPr>
          <w:szCs w:val="28"/>
          <w:vertAlign w:val="superscript"/>
        </w:rPr>
        <w:t>21</w:t>
      </w:r>
    </w:p>
    <w:p w14:paraId="0D578863" w14:textId="77777777" w:rsidR="00E25538" w:rsidRPr="007775F8" w:rsidRDefault="00C26C9F">
      <w:pPr>
        <w:pStyle w:val="BookBody"/>
      </w:pPr>
      <w:r w:rsidRPr="007775F8">
        <w:rPr>
          <w:szCs w:val="28"/>
        </w:rPr>
        <w:t>The problem appears wherever the language of sign is insufficient. An image may represent a saint, but what happens when it bleeds, moves, speaks, survives fire, or receives touch as though alive? A relic may recall a holy person, but why can a minute fragment convey presence, protection, or healing? Eucharistic bread may signify Christ, but the doctrine of real presence refuses to leave the relation at signification. Matter bears more than reference, yet it does not become independently divine.</w:t>
      </w:r>
    </w:p>
    <w:p w14:paraId="7217EC1E" w14:textId="77777777" w:rsidR="00E25538" w:rsidRPr="007775F8" w:rsidRDefault="00C26C9F">
      <w:pPr>
        <w:pStyle w:val="BookBody"/>
      </w:pPr>
      <w:r w:rsidRPr="007775F8">
        <w:rPr>
          <w:szCs w:val="28"/>
        </w:rPr>
        <w:t>Bynum calls attention to the paradox rather than resolving it into a general principle. Medieval objects could be simultaneously material and holy, fragmented and whole, ordinary in appearance and transformed in status. They invited sight, touch, taste, movement, and fear. Their power did not depend upon viewers treating surfaces as disposable veils. Precisely as wax, wood, stone, cloth, or bone, they could be the site at which divine action was sought and discerned.</w:t>
      </w:r>
      <w:r w:rsidRPr="007775F8">
        <w:rPr>
          <w:szCs w:val="28"/>
          <w:vertAlign w:val="superscript"/>
        </w:rPr>
        <w:t>22</w:t>
      </w:r>
    </w:p>
    <w:p w14:paraId="1ACA36E8" w14:textId="77777777" w:rsidR="00E25538" w:rsidRPr="007775F8" w:rsidRDefault="00C26C9F">
      <w:pPr>
        <w:pStyle w:val="BookBody"/>
      </w:pPr>
      <w:r w:rsidRPr="007775F8">
        <w:rPr>
          <w:szCs w:val="28"/>
        </w:rPr>
        <w:t>This complicates the ascent from sensible to intelligible. Dionysian symbols are meant to lift the mind beyond themselves, but Christian materiality can also arrest ascent. The worshiper kneels before this cross, travels to this grave, touches this cloth, and receives this bread. The particular cannot be exchanged without loss for a universal meaning. Incarnation makes transcendence present by refusing to save humanity at a distance from flesh.</w:t>
      </w:r>
    </w:p>
    <w:p w14:paraId="5AA92D6F" w14:textId="77777777" w:rsidR="00E25538" w:rsidRPr="007775F8" w:rsidRDefault="00C26C9F">
      <w:pPr>
        <w:pStyle w:val="BookBody"/>
      </w:pPr>
      <w:r w:rsidRPr="007775F8">
        <w:rPr>
          <w:szCs w:val="28"/>
        </w:rPr>
        <w:t>The same intensity generates anxiety. If matter can bear holy presence, who determines which object does so? How is a relic authenticated? When does veneration become idolatry? What distinguishes miracle from fraud, bodily devotion from disorder, divine gift from commercial exploitation? Institutions develop tests, custody, narratives, and prohibitions because holy matter exceeds easy control even while it can be used to strengthen control.</w:t>
      </w:r>
      <w:r w:rsidRPr="007775F8">
        <w:rPr>
          <w:szCs w:val="28"/>
          <w:vertAlign w:val="superscript"/>
        </w:rPr>
        <w:t>23</w:t>
      </w:r>
    </w:p>
    <w:p w14:paraId="2740DC49" w14:textId="77777777" w:rsidR="00E25538" w:rsidRPr="007775F8" w:rsidRDefault="00C26C9F">
      <w:pPr>
        <w:pStyle w:val="BookBody"/>
      </w:pPr>
      <w:r w:rsidRPr="007775F8">
        <w:rPr>
          <w:szCs w:val="28"/>
        </w:rPr>
        <w:t>The material cosmos is therefore alive in a specific Christian sense. It is not necessarily ensouled throughout, and its objects do not possess equal agency. It is alive because created matter can be taken into relations of promise, memory, transformation, and gift that cannot be captured by extension and motion alone. The world is capable of bearing more than it produces by itself.</w:t>
      </w:r>
    </w:p>
    <w:p w14:paraId="7E4F91A4" w14:textId="77777777" w:rsidR="00E25538" w:rsidRPr="007775F8" w:rsidRDefault="00C26C9F">
      <w:pPr>
        <w:pStyle w:val="BookBody"/>
      </w:pPr>
      <w:r w:rsidRPr="007775F8">
        <w:rPr>
          <w:szCs w:val="28"/>
        </w:rPr>
        <w:t>That capacity does not make every event providentially legible. A bleeding image may become a disputed claim; a body may decay when sanctity was expected to preserve it; a famine may resist every ritual explanation. The strength of sacramental materiality lies not in making matter predictable but in refusing the premise that material reality is religiously empty until consciousness assigns it a meaning.</w:t>
      </w:r>
    </w:p>
    <w:p w14:paraId="4D933876" w14:textId="77777777" w:rsidR="00E25538" w:rsidRPr="007775F8" w:rsidRDefault="00C26C9F">
      <w:pPr>
        <w:pStyle w:val="SectionHeading"/>
      </w:pPr>
      <w:r w:rsidRPr="007775F8">
        <w:t>Corpus Christi in the Street</w:t>
      </w:r>
    </w:p>
    <w:p w14:paraId="23E9F8AF" w14:textId="77777777" w:rsidR="00E25538" w:rsidRPr="007775F8" w:rsidRDefault="00C26C9F">
      <w:pPr>
        <w:pStyle w:val="BookBody"/>
      </w:pPr>
      <w:r w:rsidRPr="007775F8">
        <w:rPr>
          <w:szCs w:val="28"/>
        </w:rPr>
        <w:t>The Eucharist concentrates this claim. By the high Middle Ages, Latin teaching increasingly defined the consecrated elements through the distinction between substance and accidents. The appearances of bread and wine remain while their substance becomes Christ’s body and blood. Philosophical precision serves a liturgical assertion: the gift at the altar is not merely a reminder produced by the congregation’s recollection.</w:t>
      </w:r>
      <w:r w:rsidRPr="007775F8">
        <w:rPr>
          <w:szCs w:val="28"/>
          <w:vertAlign w:val="superscript"/>
        </w:rPr>
        <w:t>24</w:t>
      </w:r>
    </w:p>
    <w:p w14:paraId="61F6280A" w14:textId="77777777" w:rsidR="00E25538" w:rsidRPr="007775F8" w:rsidRDefault="00C26C9F">
      <w:pPr>
        <w:pStyle w:val="BookBody"/>
      </w:pPr>
      <w:r w:rsidRPr="007775F8">
        <w:rPr>
          <w:szCs w:val="28"/>
        </w:rPr>
        <w:t xml:space="preserve">Miri Rubin’s history of </w:t>
      </w:r>
      <w:r w:rsidRPr="007775F8">
        <w:rPr>
          <w:i/>
          <w:szCs w:val="28"/>
        </w:rPr>
        <w:t>Corpus Christi</w:t>
      </w:r>
      <w:r w:rsidRPr="007775F8">
        <w:rPr>
          <w:szCs w:val="28"/>
        </w:rPr>
        <w:t xml:space="preserve"> shows that this doctrine cannot be understood apart from performance. The elevation of the host, developing in the late twelfth and thirteenth centuries, made the consecrated body visible. Bells directed attention to the moment. People prayed, gazed, positioned themselves for sight, and sometimes moved between altars to see repeated elevations. Ocular communion could supplement the infrequent reception of the elements.</w:t>
      </w:r>
      <w:r w:rsidRPr="007775F8">
        <w:rPr>
          <w:szCs w:val="28"/>
          <w:vertAlign w:val="superscript"/>
        </w:rPr>
        <w:t>25</w:t>
      </w:r>
    </w:p>
    <w:p w14:paraId="3B6AF900" w14:textId="77777777" w:rsidR="00E25538" w:rsidRPr="007775F8" w:rsidRDefault="00C26C9F">
      <w:pPr>
        <w:pStyle w:val="BookBody"/>
      </w:pPr>
      <w:r w:rsidRPr="007775F8">
        <w:rPr>
          <w:szCs w:val="28"/>
        </w:rPr>
        <w:t>The arrangement joined presence to distance. The host was brought into view, yet clerical hands and liturgical boundaries controlled access. The laity were gathered around a gift understood to exceed the priest, but the priesthood’s exclusive power of consecration became more visible through the very act that disclosed the gift. Public mediation could unite a community while sharpening the division between mediator and recipient.</w:t>
      </w:r>
    </w:p>
    <w:p w14:paraId="11DF4806" w14:textId="77777777" w:rsidR="00E25538" w:rsidRPr="007775F8" w:rsidRDefault="00C26C9F">
      <w:pPr>
        <w:pStyle w:val="BookBody"/>
      </w:pPr>
      <w:r w:rsidRPr="007775F8">
        <w:rPr>
          <w:szCs w:val="28"/>
        </w:rPr>
        <w:t>The feast of Corpus Christi carried this concentrated presence beyond the altar. Developed in the thirteenth century and extended through the Latin Church, the feast joined Mass, office, preaching, drama, civic patronage, procession, music, banners, candles, and decorated streets. Consecrated bread moved through the town beneath a canopy. Clergy, guilds, officials, households, and crowds occupied ordered places around it. The city displayed itself while displaying Christ.</w:t>
      </w:r>
      <w:r w:rsidRPr="007775F8">
        <w:rPr>
          <w:szCs w:val="28"/>
          <w:vertAlign w:val="superscript"/>
        </w:rPr>
        <w:t>26</w:t>
      </w:r>
    </w:p>
    <w:p w14:paraId="3DDACB8C" w14:textId="77777777" w:rsidR="00E25538" w:rsidRPr="007775F8" w:rsidRDefault="00C26C9F">
      <w:pPr>
        <w:pStyle w:val="BookBody"/>
      </w:pPr>
      <w:r w:rsidRPr="007775F8">
        <w:rPr>
          <w:szCs w:val="28"/>
        </w:rPr>
        <w:t>The procession made a theological claim with feet. Sacred presence did not remain inside a designated religious enclosure. It passed workshops, houses, markets, and boundaries; streets became a temporary liturgical route. Those who watched could understand the body of Christ as altar presence, church, civic body, and social bond without reducing these meanings to one another.</w:t>
      </w:r>
    </w:p>
    <w:p w14:paraId="0DBF8AA3" w14:textId="77777777" w:rsidR="00E25538" w:rsidRPr="007775F8" w:rsidRDefault="00C26C9F">
      <w:pPr>
        <w:pStyle w:val="BookBody"/>
      </w:pPr>
      <w:r w:rsidRPr="007775F8">
        <w:rPr>
          <w:szCs w:val="28"/>
        </w:rPr>
        <w:t>But symbols in motion are available to power. Processional order can represent concord while deciding whose presence counts. Civic leaders can borrow sacramental prestige. Clergy can turn custody into monopoly. Miracle stories can identify enemies against whom Christian unity defines itself. Rubin follows Eucharistic culture into teaching, mysticism, civic rivalry, heresy, anti-Jewish accusation, and reform because the same symbol that binds can be made to exclude.</w:t>
      </w:r>
      <w:r w:rsidRPr="007775F8">
        <w:rPr>
          <w:szCs w:val="28"/>
          <w:vertAlign w:val="superscript"/>
        </w:rPr>
        <w:t>27</w:t>
      </w:r>
    </w:p>
    <w:p w14:paraId="08363B5A" w14:textId="77777777" w:rsidR="00E25538" w:rsidRPr="007775F8" w:rsidRDefault="00C26C9F">
      <w:pPr>
        <w:pStyle w:val="BookBody"/>
      </w:pPr>
      <w:r w:rsidRPr="007775F8">
        <w:rPr>
          <w:szCs w:val="28"/>
        </w:rPr>
        <w:t>Grace remains the critical limit. If Eucharist is gift, no class creates the presence it ministers, no city earns it by display, and no procession converts possession of the host into possession of God. The doctrine’s deepest claim therefore judges the social arrangements that carry it. A freely given body cannot finally legitimate a body politic organized by humiliation, coercion, or the refusal to give.</w:t>
      </w:r>
    </w:p>
    <w:p w14:paraId="238F9EA6" w14:textId="77777777" w:rsidR="00E25538" w:rsidRPr="007775F8" w:rsidRDefault="00C26C9F">
      <w:pPr>
        <w:pStyle w:val="BookBody"/>
      </w:pPr>
      <w:r w:rsidRPr="007775F8">
        <w:rPr>
          <w:szCs w:val="28"/>
        </w:rPr>
        <w:t>This judgment does not make institution optional. Bread must be prepared, words remembered, vessels cared for, assemblies called, abuses corrected, and the vulnerable protected. The alternative to corrupted mediation is not an imaginary public immediacy. It is mediation made answerable to the gift it cannot own.</w:t>
      </w:r>
    </w:p>
    <w:p w14:paraId="57C60D8F" w14:textId="77777777" w:rsidR="00E25538" w:rsidRPr="007775F8" w:rsidRDefault="00C26C9F">
      <w:pPr>
        <w:pStyle w:val="SectionHeading"/>
      </w:pPr>
      <w:r w:rsidRPr="007775F8">
        <w:t>A Church Made of Time</w:t>
      </w:r>
    </w:p>
    <w:p w14:paraId="64031D2F" w14:textId="77777777" w:rsidR="00E25538" w:rsidRPr="007775F8" w:rsidRDefault="00C26C9F">
      <w:pPr>
        <w:pStyle w:val="BookBody"/>
      </w:pPr>
      <w:r w:rsidRPr="007775F8">
        <w:rPr>
          <w:szCs w:val="28"/>
        </w:rPr>
        <w:t xml:space="preserve">William Durandus’s </w:t>
      </w:r>
      <w:r w:rsidRPr="007775F8">
        <w:rPr>
          <w:i/>
          <w:szCs w:val="28"/>
        </w:rPr>
        <w:t>Rationale of the Divine Offices</w:t>
      </w:r>
      <w:r w:rsidRPr="007775F8">
        <w:rPr>
          <w:szCs w:val="28"/>
        </w:rPr>
        <w:t xml:space="preserve"> makes the material church almost unbearably articulate. Foundation, walls, mortar, columns, pavement, doors, windows, altar, vessels, vestments, and bells acquire multiple meanings. The building resembles a human body; the chancel is its head, the transepts its arms, and the nave its remaining body. The material church images a heavenly church of living stones. Even mortar becomes charity binding persons together.</w:t>
      </w:r>
      <w:r w:rsidRPr="007775F8">
        <w:rPr>
          <w:szCs w:val="28"/>
          <w:vertAlign w:val="superscript"/>
        </w:rPr>
        <w:t>28</w:t>
      </w:r>
    </w:p>
    <w:p w14:paraId="6683860A" w14:textId="77777777" w:rsidR="00E25538" w:rsidRPr="007775F8" w:rsidRDefault="00C26C9F">
      <w:pPr>
        <w:pStyle w:val="BookBody"/>
      </w:pPr>
      <w:r w:rsidRPr="007775F8">
        <w:rPr>
          <w:szCs w:val="28"/>
        </w:rPr>
        <w:t>To a modern reader, the abundance can look like interpretation without restraint. A window is Scripture because it keeps out harmful weather while transmitting light; its widening toward the interior becomes the enlargement of mystical meaning beyond the letter. The same part may receive several explanations from Scripture, liturgy, morality, cosmology, and ecclesial order. Durandus is less interested in proving that one historical designer intended every meaning than in training perception to discover relations.</w:t>
      </w:r>
    </w:p>
    <w:p w14:paraId="5EBA1209" w14:textId="77777777" w:rsidR="00E25538" w:rsidRPr="007775F8" w:rsidRDefault="00C26C9F">
      <w:pPr>
        <w:pStyle w:val="BookBody"/>
      </w:pPr>
      <w:r w:rsidRPr="007775F8">
        <w:rPr>
          <w:szCs w:val="28"/>
        </w:rPr>
        <w:t>Orientation gives that training a bodily axis. A church’s head should point east toward the equinoctial sunrise. Priest and people turn toward the east not because God is spatially confined there, Durandus explains, but because rising light signifies illumination, paradise, resurrection, judgment, and the soul’s turn toward what it desires. Direction becomes expectation practiced by the body.</w:t>
      </w:r>
      <w:r w:rsidRPr="007775F8">
        <w:rPr>
          <w:szCs w:val="28"/>
          <w:vertAlign w:val="superscript"/>
        </w:rPr>
        <w:t>29</w:t>
      </w:r>
    </w:p>
    <w:p w14:paraId="2352CC65" w14:textId="77777777" w:rsidR="00E25538" w:rsidRPr="007775F8" w:rsidRDefault="00C26C9F">
      <w:pPr>
        <w:pStyle w:val="BookBody"/>
      </w:pPr>
      <w:r w:rsidRPr="007775F8">
        <w:rPr>
          <w:szCs w:val="28"/>
        </w:rPr>
        <w:t>The bell extends the oriented church into audible space. Durandus says bells assemble people, intensify devotion, defend bodies and crops, repel storms and hostile powers, and signify preachers. The modern temptation is to divide these functions into practical signal, poetic metaphor, and false meteorology. The medieval rite holds them together. Sound calls a population, names a danger, orders time, and places weather within a moral and spiritual field.</w:t>
      </w:r>
      <w:r w:rsidRPr="007775F8">
        <w:rPr>
          <w:szCs w:val="28"/>
          <w:vertAlign w:val="superscript"/>
        </w:rPr>
        <w:t>30</w:t>
      </w:r>
    </w:p>
    <w:p w14:paraId="3A781276" w14:textId="77777777" w:rsidR="00E25538" w:rsidRPr="007775F8" w:rsidRDefault="00C26C9F">
      <w:pPr>
        <w:pStyle w:val="BookBody"/>
      </w:pPr>
      <w:r w:rsidRPr="007775F8">
        <w:rPr>
          <w:szCs w:val="28"/>
        </w:rPr>
        <w:t>That field should not be romanticized as intimacy with a benevolent nature. The bell could sound into acute vulnerability: failed harvest, fire, epidemic, childbirth, war, sudden death, or a storm capable of destroying a season’s food. A cosmos full of spiritual significance could also be full of fear. The same connection that allowed creation to communicate blessing allowed misfortune to be interpreted as punishment, demonic assault, or evidence of hidden guilt.</w:t>
      </w:r>
    </w:p>
    <w:p w14:paraId="2B69158E" w14:textId="77777777" w:rsidR="00E25538" w:rsidRPr="007775F8" w:rsidRDefault="00C26C9F">
      <w:pPr>
        <w:pStyle w:val="BookBody"/>
      </w:pPr>
      <w:r w:rsidRPr="007775F8">
        <w:rPr>
          <w:szCs w:val="28"/>
        </w:rPr>
        <w:t>Ritual response gave fear a communal form. People could gather, pray, carry relics, fast, give alms, or mark the dead rather than endure danger as isolated individuals. Yet the search for intelligibility could demand a culprit. When suffering had to signify, strangers, dissenters, or already stigmatized neighbors could be made to bear an explanation. A meaningful cosmos did not guarantee mercy; meaning intensified the stakes of interpretation.</w:t>
      </w:r>
    </w:p>
    <w:p w14:paraId="796CB682" w14:textId="77777777" w:rsidR="00E25538" w:rsidRPr="007775F8" w:rsidRDefault="00C26C9F">
      <w:pPr>
        <w:pStyle w:val="BookBody"/>
      </w:pPr>
      <w:r w:rsidRPr="007775F8">
        <w:rPr>
          <w:szCs w:val="28"/>
        </w:rPr>
        <w:t>The bell thus joins protection and danger without resolving them. Its sound is a public acknowledgment that human life depends upon powers no household controls. It can summon mutual care, but it can also reinforce the authority of those who claim to know why calamity came. The ethical test remains fruit: whether mediation makes vulnerability shareable or converts it into accusation.</w:t>
      </w:r>
    </w:p>
    <w:p w14:paraId="5AA295D5" w14:textId="77777777" w:rsidR="00E25538" w:rsidRPr="007775F8" w:rsidRDefault="00C26C9F">
      <w:pPr>
        <w:pStyle w:val="BookBody"/>
      </w:pPr>
      <w:r w:rsidRPr="007775F8">
        <w:rPr>
          <w:szCs w:val="28"/>
        </w:rPr>
        <w:t>Margot Fassler’s Chartres demonstrates how such meanings were produced historically rather than merely read from a handbook. Liturgy, local legends, Marian devotion, rebuilding, sculpture, stained glass, bells, processions, and changing institutional needs accumulated across generations. The cathedral did not drop into place as one perfectly conceived Summa. A community repeatedly made and remade its history through worship.</w:t>
      </w:r>
      <w:r w:rsidRPr="007775F8">
        <w:rPr>
          <w:szCs w:val="28"/>
          <w:vertAlign w:val="superscript"/>
        </w:rPr>
        <w:t>31</w:t>
      </w:r>
    </w:p>
    <w:p w14:paraId="2A5AE8EB" w14:textId="77777777" w:rsidR="00E25538" w:rsidRPr="007775F8" w:rsidRDefault="00C26C9F">
      <w:pPr>
        <w:pStyle w:val="BookBody"/>
      </w:pPr>
      <w:r w:rsidRPr="007775F8">
        <w:rPr>
          <w:szCs w:val="28"/>
        </w:rPr>
        <w:t>The liturgical calendar was crucial to that remaking. Advent did not merely label a segment of neutral time; it began a Christian year of expectation. Annunciation, Nativity, Passion, Easter, Ascension, Pentecost, saints’ days, fasts, vigils, and commemorations produced differentiated times. Repetition was not simple return. Each year reentered a history understood to have a beginning, crisis, fulfillment, and promised end.</w:t>
      </w:r>
    </w:p>
    <w:p w14:paraId="7CA63F5B" w14:textId="77777777" w:rsidR="00E25538" w:rsidRPr="007775F8" w:rsidRDefault="00C26C9F">
      <w:pPr>
        <w:pStyle w:val="BookBody"/>
      </w:pPr>
      <w:r w:rsidRPr="007775F8">
        <w:rPr>
          <w:szCs w:val="28"/>
        </w:rPr>
        <w:t>Portal calendars connected this sacred sequence to labor. Mâle’s stone months show pruning, warming, sowing, reaping, and feasting beside zodiacal signs. The Church could borrow ancient figures and reorganize them within Christian time. Natural cycle and salvation history did not become identical: winter remained cold, work remained exhausting, and Easter did not end the need to sow again. But cyclic recurrence was held within an irreversible story.</w:t>
      </w:r>
      <w:r w:rsidRPr="007775F8">
        <w:rPr>
          <w:szCs w:val="28"/>
          <w:vertAlign w:val="superscript"/>
        </w:rPr>
        <w:t>32</w:t>
      </w:r>
    </w:p>
    <w:p w14:paraId="10D98AE9" w14:textId="77777777" w:rsidR="00E25538" w:rsidRPr="007775F8" w:rsidRDefault="00C26C9F">
      <w:pPr>
        <w:pStyle w:val="BookBody"/>
      </w:pPr>
      <w:r w:rsidRPr="007775F8">
        <w:rPr>
          <w:szCs w:val="28"/>
        </w:rPr>
        <w:t>This joining of cycles and history is one of the medieval architecture’s greatest achievements. The heavens marked recurring measures; liturgy remembered unrepeatable events; sacrament made a past act present without simply repeating it; eschatology directed time toward what had not yet arrived. A worshiper could inhabit all four relations at once.</w:t>
      </w:r>
    </w:p>
    <w:p w14:paraId="04B2C213" w14:textId="77777777" w:rsidR="00E25538" w:rsidRPr="007775F8" w:rsidRDefault="00C26C9F">
      <w:pPr>
        <w:pStyle w:val="BookBody"/>
      </w:pPr>
      <w:r w:rsidRPr="007775F8">
        <w:rPr>
          <w:szCs w:val="28"/>
        </w:rPr>
        <w:t>The result was neither purely objective nor merely inward. Bells moved air whether or not a hearer was devout. Feasts changed work schedules, markets, diets, and movement. Yet the same forms sought memory, attention, repentance, gratitude, and hope. Public time aimed at inward formation, and inward formation returned in public acts of fasting, almsgiving, procession, hospitality, and praise.</w:t>
      </w:r>
    </w:p>
    <w:p w14:paraId="58CBF392" w14:textId="77777777" w:rsidR="00E25538" w:rsidRPr="007775F8" w:rsidRDefault="00C26C9F">
      <w:pPr>
        <w:pStyle w:val="BookBody"/>
      </w:pPr>
      <w:r w:rsidRPr="007775F8">
        <w:rPr>
          <w:szCs w:val="28"/>
        </w:rPr>
        <w:t>Written calendars extended this composition beyond cathedral and choir. A calendar at the front of a liturgical book, devotional manuscript, or practical compilation could place Roman month names, saints’ feasts, lunar information, zodiacal signs, agricultural counsel, anniversaries, and local observances on the same page. As such materials entered vernacular settings, cosmic and ecclesial time could be carried into households and occupations whose members did not read learned astronomy.</w:t>
      </w:r>
    </w:p>
    <w:p w14:paraId="234C095F" w14:textId="77777777" w:rsidR="00E25538" w:rsidRPr="007775F8" w:rsidRDefault="00C26C9F">
      <w:pPr>
        <w:pStyle w:val="BookBody"/>
      </w:pPr>
      <w:r w:rsidRPr="007775F8">
        <w:rPr>
          <w:szCs w:val="28"/>
        </w:rPr>
        <w:t>These calendars were not uniform schedules laid over Europe from a single center. Local saints altered the year; the date chosen as the year’s beginning varied; weather and work differed by region; monastic, cathedral, civic, and household obligations overlapped without coinciding. Their public power lay in producing enough shared recurrence for coordination while preserving dense local memories. A feast could belong to the universal Church, a diocese, a guild, a family, or one altar at once.</w:t>
      </w:r>
    </w:p>
    <w:p w14:paraId="3710597A" w14:textId="77777777" w:rsidR="00E25538" w:rsidRPr="007775F8" w:rsidRDefault="00C26C9F">
      <w:pPr>
        <w:pStyle w:val="BookBody"/>
      </w:pPr>
      <w:r w:rsidRPr="007775F8">
        <w:rPr>
          <w:szCs w:val="28"/>
        </w:rPr>
        <w:t>The plurality matters because a living cosmos does not require that every meaning be universal at the same scale. The same Sun measures a season across regions, while the season is embodied in different crops, labors, dangers, and celebrations. Public mediation composes these differences without erasing them. Its breakdown begins not when variation appears, but when the means of negotiating variation lose credibility or are enforced as though one local arrangement were identical with divine order.</w:t>
      </w:r>
    </w:p>
    <w:p w14:paraId="0945809B" w14:textId="77777777" w:rsidR="00E25538" w:rsidRPr="007775F8" w:rsidRDefault="00C26C9F">
      <w:pPr>
        <w:pStyle w:val="BookBody"/>
      </w:pPr>
      <w:r w:rsidRPr="007775F8">
        <w:rPr>
          <w:szCs w:val="28"/>
        </w:rPr>
        <w:t>Liturgical repetition also educated emotion. Advent cultivated longing; Lent deprivation and repentance; Easter astonishment and joy; commemorations of the dead grief and hope. No calendar could guarantee those dispositions, and repetition could become boredom or compulsion. But the sequence recognized that a person cannot ordinarily summon mature consciousness by decision alone. Desire is formed through recurring practices whose meaning may be understood only after they have been inhabited for years.</w:t>
      </w:r>
    </w:p>
    <w:p w14:paraId="4A636145" w14:textId="77777777" w:rsidR="00E25538" w:rsidRPr="007775F8" w:rsidRDefault="00C26C9F">
      <w:pPr>
        <w:pStyle w:val="SectionHeading"/>
      </w:pPr>
      <w:r w:rsidRPr="007775F8">
        <w:t>The Pilgrim Map</w:t>
      </w:r>
    </w:p>
    <w:p w14:paraId="61977F49" w14:textId="77777777" w:rsidR="00E25538" w:rsidRPr="007775F8" w:rsidRDefault="00C26C9F">
      <w:pPr>
        <w:pStyle w:val="BookBody"/>
      </w:pPr>
      <w:r w:rsidRPr="007775F8">
        <w:rPr>
          <w:szCs w:val="28"/>
        </w:rPr>
        <w:t>Pilgrimage spread the architecture across geography. A shrine made holiness locatable without claiming that God existed only there. A road placed desire into distance. Feet, weather, money, danger, hospitality, fatigue, badges, stories, relics, and arrival became elements of a spiritual act.</w:t>
      </w:r>
    </w:p>
    <w:p w14:paraId="0BFB10F4" w14:textId="77777777" w:rsidR="00E25538" w:rsidRPr="007775F8" w:rsidRDefault="00C26C9F">
      <w:pPr>
        <w:pStyle w:val="BookBody"/>
      </w:pPr>
      <w:r w:rsidRPr="007775F8">
        <w:rPr>
          <w:szCs w:val="28"/>
        </w:rPr>
        <w:t>Diana Webb cautions against imagining pilgrimage only as the great journey to Jerusalem, Rome, or Compostela. Medieval people also traveled to regional and intensely local shrines, sometimes only a few miles away. An individual’s mental map combined famous destinations with places determined by local knowledge and practical possibility. A complete map would need many scales superimposed at once.</w:t>
      </w:r>
      <w:r w:rsidRPr="007775F8">
        <w:rPr>
          <w:szCs w:val="28"/>
          <w:vertAlign w:val="superscript"/>
        </w:rPr>
        <w:t>33</w:t>
      </w:r>
    </w:p>
    <w:p w14:paraId="39C616AA" w14:textId="77777777" w:rsidR="00E25538" w:rsidRPr="007775F8" w:rsidRDefault="00C26C9F">
      <w:pPr>
        <w:pStyle w:val="BookBody"/>
      </w:pPr>
      <w:r w:rsidRPr="007775F8">
        <w:rPr>
          <w:szCs w:val="28"/>
        </w:rPr>
        <w:t>This layered geography made the Christian world both shared and irreducibly local. Compostela could orient travelers from many kingdoms, while a healing spring or saint’s tomb organized the hopes of nearby households. Routes linked sites that had independent histories. Roads required bridges, hostels, food, protection, and burial. Pilgrimage was devotion and infrastructure, voluntary journey and imposed penance, curiosity and commerce, hardship and festival.</w:t>
      </w:r>
    </w:p>
    <w:p w14:paraId="7F60502B" w14:textId="77777777" w:rsidR="00E25538" w:rsidRPr="007775F8" w:rsidRDefault="00C26C9F">
      <w:pPr>
        <w:pStyle w:val="BookBody"/>
      </w:pPr>
      <w:r w:rsidRPr="007775F8">
        <w:rPr>
          <w:szCs w:val="28"/>
        </w:rPr>
        <w:t>The shrine condensed the logic of material mediation. One traveled toward a place because this body, image, tomb, garment, spring, or remembered event mattered in its particularity. Yet arrival commonly generated further movement: circling, kneeling, touching, viewing, confessing, giving, carrying home water, dust, a badge, a story, or a changed obligation. The holy place was not an endpoint if its gift reconfigured life elsewhere.</w:t>
      </w:r>
    </w:p>
    <w:p w14:paraId="2CF08EB6" w14:textId="77777777" w:rsidR="00E25538" w:rsidRPr="007775F8" w:rsidRDefault="00C26C9F">
      <w:pPr>
        <w:pStyle w:val="BookBody"/>
      </w:pPr>
      <w:r w:rsidRPr="007775F8">
        <w:rPr>
          <w:szCs w:val="28"/>
        </w:rPr>
        <w:t>Pilgrimage could also interiorize itself. The road to a shrine became an image of the soul’s passage, and the church procession could become a symbolic pilgrimage. Fassler shows Chartres’s processions creating temporal space: worshipers moved through a built history and made themselves another generation within it. External and internal journeys did not cancel one another. A body moved so that desire might learn movement.</w:t>
      </w:r>
      <w:r w:rsidRPr="007775F8">
        <w:rPr>
          <w:szCs w:val="28"/>
          <w:vertAlign w:val="superscript"/>
        </w:rPr>
        <w:t>34</w:t>
      </w:r>
    </w:p>
    <w:p w14:paraId="239FB728" w14:textId="77777777" w:rsidR="00E25538" w:rsidRPr="007775F8" w:rsidRDefault="00C26C9F">
      <w:pPr>
        <w:pStyle w:val="BookBody"/>
      </w:pPr>
      <w:r w:rsidRPr="007775F8">
        <w:rPr>
          <w:szCs w:val="28"/>
        </w:rPr>
        <w:t>The pilgrim map resembles Dante’s heavens. Both give desire a sequence of places while refusing to make God one location at the end of a route. Place disciplines attention. It interrupts the fantasy that inward intention alone is sufficient. But the purpose of the road is not permanent travel. Arrival, prayer, and return reveal whether movement has become transformation.</w:t>
      </w:r>
    </w:p>
    <w:p w14:paraId="4142479B" w14:textId="77777777" w:rsidR="00E25538" w:rsidRPr="007775F8" w:rsidRDefault="00C26C9F">
      <w:pPr>
        <w:pStyle w:val="SectionHeading"/>
      </w:pPr>
      <w:r w:rsidRPr="007775F8">
        <w:t>The Architecture Casts a Shadow</w:t>
      </w:r>
    </w:p>
    <w:p w14:paraId="26C1E97D" w14:textId="77777777" w:rsidR="00E25538" w:rsidRPr="007775F8" w:rsidRDefault="00C26C9F">
      <w:pPr>
        <w:pStyle w:val="BookBody"/>
      </w:pPr>
      <w:r w:rsidRPr="007775F8">
        <w:rPr>
          <w:szCs w:val="28"/>
        </w:rPr>
        <w:t>No account of this composed world can end with the beauty of glass, bells, processions, and pilgrim roads. Public mediation distributes access and authority. It distinguishes altar from nave, consecrating priest from watching layperson, authorized relic from suspect object, approved vision from heresy, feast from forbidden practice, Christian citizen from the neighbor cast as enemy. The architecture’s capacity to make order visible also makes unequal power appear natural.</w:t>
      </w:r>
    </w:p>
    <w:p w14:paraId="782734A0" w14:textId="77777777" w:rsidR="00E25538" w:rsidRPr="007775F8" w:rsidRDefault="00C26C9F">
      <w:pPr>
        <w:pStyle w:val="BookBody"/>
      </w:pPr>
      <w:r w:rsidRPr="007775F8">
        <w:rPr>
          <w:szCs w:val="28"/>
        </w:rPr>
        <w:t>Durandus’s building is frank about gradation. Sanctuary, chancel, and nave signify differently ranked states, and larger polished stones signify persons whose holiness supports weaker members. His mortar of charity imagines mutual cohesion, but the same pages assume clerical governance and inherited hierarchies of virgin, continent, and married. An ordered whole can recognize differing capacities; it can also prevent the lower place from speaking about the order imposed upon it.</w:t>
      </w:r>
    </w:p>
    <w:p w14:paraId="131AE4A0" w14:textId="77777777" w:rsidR="00E25538" w:rsidRPr="007775F8" w:rsidRDefault="00C26C9F">
      <w:pPr>
        <w:pStyle w:val="BookBody"/>
      </w:pPr>
      <w:r w:rsidRPr="007775F8">
        <w:rPr>
          <w:szCs w:val="28"/>
        </w:rPr>
        <w:t>The distinction between milk and meat becomes poisonous when those who control the milk declare themselves mature by office. Paul’s own test runs in the other direction. Boasting, rivalry, domination, and failure to love are evidence of immaturity even when joined to knowledge. The mature mediator is not the person who possesses what others lack. It is the person in whom gift has become fruit and whose authority increases another’s capacity to receive and give.</w:t>
      </w:r>
    </w:p>
    <w:p w14:paraId="09C18367" w14:textId="77777777" w:rsidR="00E25538" w:rsidRPr="007775F8" w:rsidRDefault="00C26C9F">
      <w:pPr>
        <w:pStyle w:val="BookBody"/>
      </w:pPr>
      <w:r w:rsidRPr="007775F8">
        <w:rPr>
          <w:szCs w:val="28"/>
        </w:rPr>
        <w:t>The growth of sacramental discipline occurred alongside a more systematic classification of deviance. The Fourth Lateran Council’s legislation joined annual confession and Easter communion to an extensive attempt to define Christian life. R. I. Moore locates the intensifying persecution of heretics, Jews, lepers, and other minorities within the formation of governing institutions able to classify, investigate, segregate, and punish. Public orthodoxy did not merely respond to already distinct enemies; its methods helped produce the social identities it pursued.</w:t>
      </w:r>
      <w:r w:rsidRPr="007775F8">
        <w:rPr>
          <w:szCs w:val="28"/>
          <w:vertAlign w:val="superscript"/>
        </w:rPr>
        <w:t>35</w:t>
      </w:r>
    </w:p>
    <w:p w14:paraId="5FDABF83" w14:textId="77777777" w:rsidR="00E25538" w:rsidRPr="007775F8" w:rsidRDefault="00C26C9F">
      <w:pPr>
        <w:pStyle w:val="BookBody"/>
      </w:pPr>
      <w:r w:rsidRPr="007775F8">
        <w:rPr>
          <w:szCs w:val="28"/>
        </w:rPr>
        <w:t>Eucharistic devotion could become especially violent at this boundary. Stories of desecrated or miraculously bleeding hosts identified doubt with assault upon Christ and repeatedly attached that assault to Jews. Processions displaying Christian unity could make Jewish nonparticipation conspicuous. A sacrament of freely given body became material for fantasies that endangered actual bodies.</w:t>
      </w:r>
      <w:r w:rsidRPr="007775F8">
        <w:rPr>
          <w:szCs w:val="28"/>
          <w:vertAlign w:val="superscript"/>
        </w:rPr>
        <w:t>36</w:t>
      </w:r>
    </w:p>
    <w:p w14:paraId="65F1EE29" w14:textId="77777777" w:rsidR="00E25538" w:rsidRPr="007775F8" w:rsidRDefault="00C26C9F">
      <w:pPr>
        <w:pStyle w:val="BookBody"/>
      </w:pPr>
      <w:r w:rsidRPr="007775F8">
        <w:rPr>
          <w:szCs w:val="28"/>
        </w:rPr>
        <w:t>This contradiction belongs inside the history of mediation. It is insufficient to say that a beautiful religious synthesis was occasionally abused by political actors. The means by which the synthesis became public—office, preaching, law, spectacle, property, spatial segregation, and control of authoritative stories—were also means by which it could coerce. The shadow was cast by the architecture, not merely upon it from outside.</w:t>
      </w:r>
    </w:p>
    <w:p w14:paraId="0D4A987A" w14:textId="77777777" w:rsidR="00E25538" w:rsidRPr="007775F8" w:rsidRDefault="00C26C9F">
      <w:pPr>
        <w:pStyle w:val="BookBody"/>
      </w:pPr>
      <w:r w:rsidRPr="007775F8">
        <w:rPr>
          <w:szCs w:val="28"/>
        </w:rPr>
        <w:t>Nor, however, does the violence prove that every sacramental or symbolic claim conceals nothing but power. That conclusion would repeat the totalization it criticizes. Medieval women, lay movements, dissenters, artisans, pilgrims, and local communities appropriated material and liturgical forms in ways authorities did not fully control. Holy matter could support clerical privilege, but it could also allow a visionary or an afflicted body to make a claim that learned speech had excluded. A procession could display rank and also create obligations of hospitality and almsgiving. The same form could be contested because no institution exhausted its meaning.</w:t>
      </w:r>
    </w:p>
    <w:p w14:paraId="01C84449" w14:textId="77777777" w:rsidR="00E25538" w:rsidRPr="007775F8" w:rsidRDefault="00C26C9F">
      <w:pPr>
        <w:pStyle w:val="BookBody"/>
      </w:pPr>
      <w:r w:rsidRPr="007775F8">
        <w:rPr>
          <w:szCs w:val="28"/>
        </w:rPr>
        <w:t>The critical question is therefore not mediation or no mediation. It is what kind of mediation, answerable to what gift, corrigible by whom, and measured by what fruit. A public world needs forms durable enough to outlast private intensity. It also needs ways for those forms to be judged by the lives they produce and the bodies they injure.</w:t>
      </w:r>
    </w:p>
    <w:p w14:paraId="7AF04E54" w14:textId="77777777" w:rsidR="00E25538" w:rsidRPr="007775F8" w:rsidRDefault="00C26C9F">
      <w:pPr>
        <w:pStyle w:val="SectionHeading"/>
      </w:pPr>
      <w:r w:rsidRPr="007775F8">
        <w:t>When the Ladder Disappears</w:t>
      </w:r>
    </w:p>
    <w:p w14:paraId="6FF9D3FE" w14:textId="77777777" w:rsidR="00E25538" w:rsidRPr="007775F8" w:rsidRDefault="00C26C9F">
      <w:pPr>
        <w:pStyle w:val="BookBody"/>
      </w:pPr>
      <w:r w:rsidRPr="007775F8">
        <w:rPr>
          <w:szCs w:val="28"/>
        </w:rPr>
        <w:t>The medieval architecture of heaven joined two challenges that modern thought often separates. The first is public: how can a society share truth, time, obligation, and hope? The second is existential or spiritual: can the person become so fully formed by truth that mediation is no longer experienced as something between life and its source?</w:t>
      </w:r>
    </w:p>
    <w:p w14:paraId="5E46A232" w14:textId="77777777" w:rsidR="00E25538" w:rsidRPr="007775F8" w:rsidRDefault="00C26C9F">
      <w:pPr>
        <w:pStyle w:val="BookBody"/>
      </w:pPr>
      <w:r w:rsidRPr="007775F8">
        <w:rPr>
          <w:szCs w:val="28"/>
        </w:rPr>
        <w:t>Dionysian hierarchy, sacramental matter, cathedral space, liturgical time, and pilgrimage answer the public question through finite forms. They assume that people begin from sense, habit, story, and unequal capacity. A child hears a bell before understanding a calendar; a pilgrim walks before articulating a theology of desire; a congregation sees bread raised before grasping scholastic distinctions. The forms make a common beginning possible.</w:t>
      </w:r>
    </w:p>
    <w:p w14:paraId="56C939CB" w14:textId="77777777" w:rsidR="00E25538" w:rsidRPr="007775F8" w:rsidRDefault="00C26C9F">
      <w:pPr>
        <w:pStyle w:val="BookBody"/>
      </w:pPr>
      <w:r w:rsidRPr="007775F8">
        <w:rPr>
          <w:szCs w:val="28"/>
        </w:rPr>
        <w:t>Their danger is permanence. Those entrusted with beginnings may need recipients to remain beginners. An institution can survive by endlessly reproducing dependence, interpreting every sign of maturity as disobedience. Milk then ceases to nourish and becomes a ration. The ladder is defended not because ascent continues but because position on it has become power.</w:t>
      </w:r>
    </w:p>
    <w:p w14:paraId="00BB1497" w14:textId="77777777" w:rsidR="00E25538" w:rsidRPr="007775F8" w:rsidRDefault="00C26C9F">
      <w:pPr>
        <w:pStyle w:val="BookBody"/>
      </w:pPr>
      <w:r w:rsidRPr="007775F8">
        <w:rPr>
          <w:szCs w:val="28"/>
        </w:rPr>
        <w:t>The inward movement does not solve the public problem by abolishing forms. Private conviction is no protection against delusion, and claims to immediacy have their own history of domination. What inward fulfillment changes is the criterion by which mediation is understood. The symbol succeeds when it becomes transparent to reality; doctrine succeeds when truth becomes judgment and love; sacrament succeeds when gift becomes self-giving; hierarchy succeeds when receiving becomes transmission without possession.</w:t>
      </w:r>
    </w:p>
    <w:p w14:paraId="2411914A" w14:textId="77777777" w:rsidR="00E25538" w:rsidRPr="007775F8" w:rsidRDefault="00C26C9F">
      <w:pPr>
        <w:pStyle w:val="BookBody"/>
      </w:pPr>
      <w:r w:rsidRPr="007775F8">
        <w:rPr>
          <w:szCs w:val="28"/>
        </w:rPr>
        <w:t>Jesus, Paul, and James name this maturity through lived effects. Paul calls them fruit of the Spirit. James speaks of a person becoming complete and of an implanted word enacted in works. Jesus identifies the tree by its fruit and greatness with service. Their authority is not merely a public apparatus standing between God and others. It is inwardly formed life moving outward because it can do no other.</w:t>
      </w:r>
      <w:r w:rsidRPr="007775F8">
        <w:rPr>
          <w:szCs w:val="28"/>
          <w:vertAlign w:val="superscript"/>
        </w:rPr>
        <w:t>37</w:t>
      </w:r>
    </w:p>
    <w:p w14:paraId="50FF92B5" w14:textId="77777777" w:rsidR="00E25538" w:rsidRPr="007775F8" w:rsidRDefault="00C26C9F">
      <w:pPr>
        <w:pStyle w:val="BookBody"/>
      </w:pPr>
      <w:r w:rsidRPr="007775F8">
        <w:rPr>
          <w:szCs w:val="28"/>
        </w:rPr>
        <w:t>“God” is the best term for this movement only if the term resists becoming a name for consciousness talking to itself. In the Christian grammar reconstructed here, God names the giver who precedes the recipient, the reality that exceeds every symbol, the source whose action makes created action more real, and the good toward which desire is transformed. The movement is inward, but it is not self-generated. It becomes communicable because it becomes embodied.</w:t>
      </w:r>
    </w:p>
    <w:p w14:paraId="77AC1263" w14:textId="77777777" w:rsidR="00E25538" w:rsidRPr="007775F8" w:rsidRDefault="00C26C9F">
      <w:pPr>
        <w:pStyle w:val="BookBody"/>
      </w:pPr>
      <w:r w:rsidRPr="007775F8">
        <w:rPr>
          <w:szCs w:val="28"/>
        </w:rPr>
        <w:t>Grace is indispensable. If fulfillment were an achievement secured by rank, technique, intelligence, or ascetic force, then the mature could claim ownership and arrange others beneath themselves. Grace breaks that economy. What matters most is given freely. Its evidence is not possession but a freedom to give without calculating return.</w:t>
      </w:r>
    </w:p>
    <w:p w14:paraId="1F4A6663" w14:textId="77777777" w:rsidR="00E25538" w:rsidRPr="007775F8" w:rsidRDefault="00C26C9F">
      <w:pPr>
        <w:pStyle w:val="BookBody"/>
      </w:pPr>
      <w:r w:rsidRPr="007775F8">
        <w:rPr>
          <w:szCs w:val="28"/>
        </w:rPr>
        <w:t>Bonaventure’s interiorized hierarchy and Dante’s final vision show two stages of this movement. In Bonaventure, the levels of creation become powers gathered and reordered within the embodied soul. The person does not flee the cosmos but becomes microcosmically capable of its return. In Dante, even that interior architecture reaches its limit. Image, memory, and phantasy fail, while desire and will are moved in accord with divine love.</w:t>
      </w:r>
    </w:p>
    <w:p w14:paraId="0446B8B6" w14:textId="77777777" w:rsidR="00E25538" w:rsidRPr="007775F8" w:rsidRDefault="00C26C9F">
      <w:pPr>
        <w:pStyle w:val="BookBody"/>
      </w:pPr>
      <w:r w:rsidRPr="007775F8">
        <w:rPr>
          <w:szCs w:val="28"/>
        </w:rPr>
        <w:t>At that instant life is not mediated and does not need to be. There is no external symbol to decode, no command struggling against desire, no concept held at a distance from existence. The good is not an object possessed by consciousness. Consciousness participates in the good that gives it life.</w:t>
      </w:r>
    </w:p>
    <w:p w14:paraId="2828E24E" w14:textId="77777777" w:rsidR="00E25538" w:rsidRPr="007775F8" w:rsidRDefault="00C26C9F">
      <w:pPr>
        <w:pStyle w:val="BookBody"/>
      </w:pPr>
      <w:r w:rsidRPr="007775F8">
        <w:rPr>
          <w:szCs w:val="28"/>
        </w:rPr>
        <w:t>Then Dante writes. The return to language is not a fall from the vision but a fruit of it. He gives spheres to readers who need places, arguments to readers who need distinctions, faces to readers who need encounter, and poetry to readers for whom concepts alone remain thin. He does not compel the experience. He makes a public form through which another desire may begin to move.</w:t>
      </w:r>
    </w:p>
    <w:p w14:paraId="437E890D" w14:textId="77777777" w:rsidR="00E25538" w:rsidRPr="007775F8" w:rsidRDefault="00C26C9F">
      <w:pPr>
        <w:pStyle w:val="BookBody"/>
      </w:pPr>
      <w:r w:rsidRPr="007775F8">
        <w:rPr>
          <w:szCs w:val="28"/>
        </w:rPr>
        <w:t>The two challenges thus remain distinct. It is possible that mediation disappears in fulfilled life. It does not follow that a public world can dispense with mediation. A community contains children and elders, beginners and the learned, wounded and powerful persons, rival memories, unequal opportunities, genuine revelations, and confident mistakes. It needs common words and practices, but it must refuse to divinize them. Its mediations must be finite, embodied, corrigible, and judged by whether gift circulates through them.</w:t>
      </w:r>
    </w:p>
    <w:p w14:paraId="685C92D5" w14:textId="77777777" w:rsidR="00E25538" w:rsidRPr="007775F8" w:rsidRDefault="00C26C9F">
      <w:pPr>
        <w:pStyle w:val="SectionHeading"/>
      </w:pPr>
      <w:r w:rsidRPr="007775F8">
        <w:t>The Cathedral Cannot Hold the Sky</w:t>
      </w:r>
    </w:p>
    <w:p w14:paraId="4279F0C9" w14:textId="77777777" w:rsidR="00E25538" w:rsidRPr="007775F8" w:rsidRDefault="00C26C9F">
      <w:pPr>
        <w:pStyle w:val="BookBody"/>
      </w:pPr>
      <w:r w:rsidRPr="007775F8">
        <w:rPr>
          <w:szCs w:val="28"/>
        </w:rPr>
        <w:t>The medieval Christian cosmos was not pagan animation concealed beneath Christian names. Nor was it a set of doctrines suspended above material life. It was a created hierarchy in which levels possessed meaning by receiving from beyond themselves and communicating what they received. Celestial motions, angelic orders, sacramental elements, liturgical offices, buildings, calendars, images, relics, bells, and roads were composed into a world of participation.</w:t>
      </w:r>
    </w:p>
    <w:p w14:paraId="5B172F14" w14:textId="77777777" w:rsidR="00E25538" w:rsidRPr="007775F8" w:rsidRDefault="00C26C9F">
      <w:pPr>
        <w:pStyle w:val="BookBody"/>
      </w:pPr>
      <w:r w:rsidRPr="007775F8">
        <w:rPr>
          <w:szCs w:val="28"/>
        </w:rPr>
        <w:t>That composition did not restore the ancient cosmos unchanged. Creation placed an absolute difference between God and every heavenly power. Aquinas made secondary causes real but dependent, active but unable to close contingency. Dante inhabited the spheres while explaining them as accommodation. Eucharistic presence intensified matter beyond mere symbolism. The cathedral gathered cosmic, historical, bodily, and civic orders into a shared place.</w:t>
      </w:r>
    </w:p>
    <w:p w14:paraId="2375E6DD" w14:textId="77777777" w:rsidR="00E25538" w:rsidRPr="007775F8" w:rsidRDefault="00C26C9F">
      <w:pPr>
        <w:pStyle w:val="BookBody"/>
      </w:pPr>
      <w:r w:rsidRPr="007775F8">
        <w:rPr>
          <w:szCs w:val="28"/>
        </w:rPr>
        <w:t>Its accomplishment was public intelligibility. A world larger than any individual could be encountered through times, objects, movements, and stories held in common. Its accomplishment was also inward formation. The architecture aimed to become memory, judgment, desire, habit, and gift—to produce persons in whom what was publicly mediated could be lived without external compulsion.</w:t>
      </w:r>
    </w:p>
    <w:p w14:paraId="7D266288" w14:textId="77777777" w:rsidR="00E25538" w:rsidRPr="007775F8" w:rsidRDefault="00C26C9F">
      <w:pPr>
        <w:pStyle w:val="BookBody"/>
      </w:pPr>
      <w:r w:rsidRPr="007775F8">
        <w:rPr>
          <w:szCs w:val="28"/>
        </w:rPr>
        <w:t>Its failure was the temptation proper to every successful mediation. Because the forms were powerful, their custodians could identify their own authority with divine order. Because symbols unified, they could exclude. Because matter could be holy, accusation could become bodily danger. Because hierarchy promised the communication of light, rank could disguise the withholding of it.</w:t>
      </w:r>
    </w:p>
    <w:p w14:paraId="449EE8BA" w14:textId="77777777" w:rsidR="00E25538" w:rsidRPr="007775F8" w:rsidRDefault="00C26C9F">
      <w:pPr>
        <w:pStyle w:val="BookBody"/>
      </w:pPr>
      <w:r w:rsidRPr="007775F8">
        <w:rPr>
          <w:szCs w:val="28"/>
        </w:rPr>
        <w:t>The cathedral itself holds the tension. It is built to gather heaven and earth, but it cannot contain either. Sunlight changes across its glass. Bells decay. Calendars disagree. Processions alter their routes. Relics are moved, questioned, divided, and lost. The building requires repair by generations it cannot foresee. Its durability is real, and so is its contingency.</w:t>
      </w:r>
    </w:p>
    <w:p w14:paraId="1F530203" w14:textId="77777777" w:rsidR="00E25538" w:rsidRPr="007775F8" w:rsidRDefault="00C26C9F">
      <w:pPr>
        <w:pStyle w:val="BookBody"/>
      </w:pPr>
      <w:r w:rsidRPr="007775F8">
        <w:rPr>
          <w:szCs w:val="28"/>
        </w:rPr>
        <w:t>That contingency will become harder to absorb. Disputes over universals, causation, sacramental presence, ecclesial authority, and the reach of divine freedom will place new pressure on intrinsic intelligibility. Plague, conflict, reform, and confessional fracture will expose the cost of a public mediation that can no longer command a common world. The heavens will remain beautiful, but the architecture joining their motion to matter, rite, and social order will cease to feel inevitable.</w:t>
      </w:r>
    </w:p>
    <w:p w14:paraId="4E80E9C8" w14:textId="77777777" w:rsidR="00E25538" w:rsidRPr="007775F8" w:rsidRDefault="00C26C9F">
      <w:pPr>
        <w:pStyle w:val="BookBody"/>
      </w:pPr>
      <w:r w:rsidRPr="007775F8">
        <w:rPr>
          <w:szCs w:val="28"/>
        </w:rPr>
        <w:t>The bell at the threshold can therefore sound once more as the chapter closes. It calls bodies into a common time, carries meanings no hearer entirely possesses, and fades into silence. Its vanishing is not failure. The sound has entered those who heard it. Whether it becomes fear, habit, resentment, prayer, generosity, or nothing cannot be determined by the bell.</w:t>
      </w:r>
    </w:p>
    <w:p w14:paraId="42957C71" w14:textId="77777777" w:rsidR="00E25538" w:rsidRPr="007775F8" w:rsidRDefault="00C26C9F">
      <w:pPr>
        <w:pStyle w:val="BookBody"/>
      </w:pPr>
      <w:r w:rsidRPr="007775F8">
        <w:rPr>
          <w:szCs w:val="28"/>
        </w:rPr>
        <w:t>This is the medieval achievement and the unresolved inheritance. Public forms can carry a world toward inward life, but they cannot manufacture fulfillment. Fulfilled life may pass beyond the forms, but love returns to make itself communicable. Between the sounding and the silence lies the fragile architecture of heaven.</w:t>
      </w:r>
    </w:p>
    <w:p w14:paraId="7BD3CC45" w14:textId="77777777" w:rsidR="00E25538" w:rsidRPr="007775F8" w:rsidRDefault="00C26C9F">
      <w:pPr>
        <w:pStyle w:val="NotesHeading"/>
      </w:pPr>
      <w:r w:rsidRPr="007775F8">
        <w:t>Notes</w:t>
      </w:r>
    </w:p>
    <w:p w14:paraId="07506F60" w14:textId="77777777" w:rsidR="00E25538" w:rsidRPr="007775F8" w:rsidRDefault="00C26C9F">
      <w:pPr>
        <w:pStyle w:val="NoteEntry"/>
      </w:pPr>
      <w:r w:rsidRPr="007775F8">
        <w:rPr>
          <w:szCs w:val="28"/>
        </w:rPr>
        <w:t xml:space="preserve">1. Margot E. Fassler, </w:t>
      </w:r>
      <w:r w:rsidRPr="007775F8">
        <w:rPr>
          <w:i/>
          <w:szCs w:val="28"/>
        </w:rPr>
        <w:t>The Virgin of Chartres: Making History through Liturgy and the Arts</w:t>
      </w:r>
      <w:r w:rsidRPr="007775F8">
        <w:rPr>
          <w:szCs w:val="28"/>
        </w:rPr>
        <w:t xml:space="preserve"> (New Haven: Yale University Press, 2010), 65, 111, 165–66, 254, 300; Émile Mâle, </w:t>
      </w:r>
      <w:r w:rsidRPr="007775F8">
        <w:rPr>
          <w:i/>
          <w:szCs w:val="28"/>
        </w:rPr>
        <w:t>The Gothic Image: Religious Art in France of the Thirteenth Century</w:t>
      </w:r>
      <w:r w:rsidRPr="007775F8">
        <w:rPr>
          <w:szCs w:val="28"/>
        </w:rPr>
        <w:t>, trans. Dora Nussey (New York: Harper, 1958), 64–69.</w:t>
      </w:r>
    </w:p>
    <w:p w14:paraId="33CD768A" w14:textId="77777777" w:rsidR="00E25538" w:rsidRPr="007775F8" w:rsidRDefault="00C26C9F">
      <w:pPr>
        <w:pStyle w:val="NoteEntry"/>
      </w:pPr>
      <w:r w:rsidRPr="007775F8">
        <w:rPr>
          <w:szCs w:val="28"/>
        </w:rPr>
        <w:t xml:space="preserve">2. Mâle, </w:t>
      </w:r>
      <w:r w:rsidRPr="007775F8">
        <w:rPr>
          <w:i/>
          <w:szCs w:val="28"/>
        </w:rPr>
        <w:t>Gothic Image</w:t>
      </w:r>
      <w:r w:rsidRPr="007775F8">
        <w:rPr>
          <w:szCs w:val="28"/>
        </w:rPr>
        <w:t>, vii–x, 1–28. Mâle’s synthetic account remains illuminating when read as an interpretation of programs and relations rather than as proof that every viewer received one complete and uniform code.</w:t>
      </w:r>
    </w:p>
    <w:p w14:paraId="6C495C9A" w14:textId="77777777" w:rsidR="00E25538" w:rsidRPr="007775F8" w:rsidRDefault="00C26C9F">
      <w:pPr>
        <w:pStyle w:val="NoteEntry"/>
      </w:pPr>
      <w:r w:rsidRPr="007775F8">
        <w:rPr>
          <w:szCs w:val="28"/>
        </w:rPr>
        <w:t xml:space="preserve">3. C. S. Lewis, </w:t>
      </w:r>
      <w:r w:rsidRPr="007775F8">
        <w:rPr>
          <w:i/>
          <w:szCs w:val="28"/>
        </w:rPr>
        <w:t>The Discarded Image: An Introduction to Medieval and Renaissance Literature</w:t>
      </w:r>
      <w:r w:rsidRPr="007775F8">
        <w:rPr>
          <w:szCs w:val="28"/>
        </w:rPr>
        <w:t xml:space="preserve"> (Cambridge: Cambridge University Press, 1964), 11–19; Edward Grant, </w:t>
      </w:r>
      <w:r w:rsidRPr="007775F8">
        <w:rPr>
          <w:i/>
          <w:szCs w:val="28"/>
        </w:rPr>
        <w:t>Planets, Stars, and Orbs: The Medieval Cosmos, 1200–1687</w:t>
      </w:r>
      <w:r w:rsidRPr="007775F8">
        <w:rPr>
          <w:szCs w:val="28"/>
        </w:rPr>
        <w:t xml:space="preserve"> (Cambridge: Cambridge University Press, 1994), 46–59.</w:t>
      </w:r>
    </w:p>
    <w:p w14:paraId="5572834B" w14:textId="77777777" w:rsidR="00E25538" w:rsidRPr="007775F8" w:rsidRDefault="00C26C9F">
      <w:pPr>
        <w:pStyle w:val="NoteEntry"/>
      </w:pPr>
      <w:r w:rsidRPr="007775F8">
        <w:rPr>
          <w:szCs w:val="28"/>
        </w:rPr>
        <w:t xml:space="preserve">4. Lewis, </w:t>
      </w:r>
      <w:r w:rsidRPr="007775F8">
        <w:rPr>
          <w:i/>
          <w:szCs w:val="28"/>
        </w:rPr>
        <w:t>Discarded Image</w:t>
      </w:r>
      <w:r w:rsidRPr="007775F8">
        <w:rPr>
          <w:szCs w:val="28"/>
        </w:rPr>
        <w:t>, 11–19, 216–23. Lewis distinguishes the learned Model from the wider imaginative backcloth and emphasizes the model’s composite, bookish construction.</w:t>
      </w:r>
    </w:p>
    <w:p w14:paraId="2523BE1F" w14:textId="77777777" w:rsidR="00E25538" w:rsidRPr="007775F8" w:rsidRDefault="00C26C9F">
      <w:pPr>
        <w:pStyle w:val="NoteEntry"/>
      </w:pPr>
      <w:r w:rsidRPr="007775F8">
        <w:rPr>
          <w:szCs w:val="28"/>
        </w:rPr>
        <w:t xml:space="preserve">5. Pseudo-Dionysius, </w:t>
      </w:r>
      <w:r w:rsidRPr="007775F8">
        <w:rPr>
          <w:i/>
          <w:szCs w:val="28"/>
        </w:rPr>
        <w:t>The Complete Works</w:t>
      </w:r>
      <w:r w:rsidRPr="007775F8">
        <w:rPr>
          <w:szCs w:val="28"/>
        </w:rPr>
        <w:t xml:space="preserve">, trans. Colm Luibheid (New York: Paulist Press, 1987), </w:t>
      </w:r>
      <w:r w:rsidRPr="007775F8">
        <w:rPr>
          <w:i/>
          <w:szCs w:val="28"/>
        </w:rPr>
        <w:t>Celestial Hierarchy</w:t>
      </w:r>
      <w:r w:rsidRPr="007775F8">
        <w:rPr>
          <w:szCs w:val="28"/>
        </w:rPr>
        <w:t xml:space="preserve"> I.2–3, 145–47; see also </w:t>
      </w:r>
      <w:r w:rsidRPr="007775F8">
        <w:rPr>
          <w:i/>
          <w:szCs w:val="28"/>
        </w:rPr>
        <w:t>Divine Names</w:t>
      </w:r>
      <w:r w:rsidRPr="007775F8">
        <w:rPr>
          <w:szCs w:val="28"/>
        </w:rPr>
        <w:t xml:space="preserve"> I.4, 52–53.</w:t>
      </w:r>
    </w:p>
    <w:p w14:paraId="674177FC" w14:textId="77777777" w:rsidR="00E25538" w:rsidRPr="007775F8" w:rsidRDefault="00C26C9F">
      <w:pPr>
        <w:pStyle w:val="NoteEntry"/>
      </w:pPr>
      <w:r w:rsidRPr="007775F8">
        <w:rPr>
          <w:szCs w:val="28"/>
        </w:rPr>
        <w:t xml:space="preserve">6. Pseudo-Dionysius, </w:t>
      </w:r>
      <w:r w:rsidRPr="007775F8">
        <w:rPr>
          <w:i/>
          <w:szCs w:val="28"/>
        </w:rPr>
        <w:t>Complete Works</w:t>
      </w:r>
      <w:r w:rsidRPr="007775F8">
        <w:rPr>
          <w:szCs w:val="28"/>
        </w:rPr>
        <w:t xml:space="preserve">, </w:t>
      </w:r>
      <w:r w:rsidRPr="007775F8">
        <w:rPr>
          <w:i/>
          <w:szCs w:val="28"/>
        </w:rPr>
        <w:t>Celestial Hierarchy</w:t>
      </w:r>
      <w:r w:rsidRPr="007775F8">
        <w:rPr>
          <w:szCs w:val="28"/>
        </w:rPr>
        <w:t xml:space="preserve"> III.1–3, 153–55, and VII.2–3, 162–63.</w:t>
      </w:r>
    </w:p>
    <w:p w14:paraId="55A4FEC0" w14:textId="77777777" w:rsidR="00E25538" w:rsidRPr="007775F8" w:rsidRDefault="00C26C9F">
      <w:pPr>
        <w:pStyle w:val="NoteEntry"/>
      </w:pPr>
      <w:r w:rsidRPr="007775F8">
        <w:rPr>
          <w:szCs w:val="28"/>
        </w:rPr>
        <w:t xml:space="preserve">7. Pseudo-Dionysius, </w:t>
      </w:r>
      <w:r w:rsidRPr="007775F8">
        <w:rPr>
          <w:i/>
          <w:szCs w:val="28"/>
        </w:rPr>
        <w:t>Complete Works</w:t>
      </w:r>
      <w:r w:rsidRPr="007775F8">
        <w:rPr>
          <w:szCs w:val="28"/>
        </w:rPr>
        <w:t xml:space="preserve">, </w:t>
      </w:r>
      <w:r w:rsidRPr="007775F8">
        <w:rPr>
          <w:i/>
          <w:szCs w:val="28"/>
        </w:rPr>
        <w:t>Ecclesiastical Hierarchy</w:t>
      </w:r>
      <w:r w:rsidRPr="007775F8">
        <w:rPr>
          <w:szCs w:val="28"/>
        </w:rPr>
        <w:t xml:space="preserve"> I.1–4, 195–99; </w:t>
      </w:r>
      <w:r w:rsidRPr="007775F8">
        <w:rPr>
          <w:i/>
          <w:szCs w:val="28"/>
        </w:rPr>
        <w:t>Celestial Hierarchy</w:t>
      </w:r>
      <w:r w:rsidRPr="007775F8">
        <w:rPr>
          <w:szCs w:val="28"/>
        </w:rPr>
        <w:t xml:space="preserve"> XIII.3, 235–36.</w:t>
      </w:r>
    </w:p>
    <w:p w14:paraId="35CDDD6C" w14:textId="77777777" w:rsidR="00E25538" w:rsidRPr="007775F8" w:rsidRDefault="00C26C9F">
      <w:pPr>
        <w:pStyle w:val="NoteEntry"/>
      </w:pPr>
      <w:r w:rsidRPr="007775F8">
        <w:rPr>
          <w:szCs w:val="28"/>
        </w:rPr>
        <w:t xml:space="preserve">8. Denys Turner, </w:t>
      </w:r>
      <w:r w:rsidRPr="007775F8">
        <w:rPr>
          <w:i/>
          <w:szCs w:val="28"/>
        </w:rPr>
        <w:t>The Darkness of God: Negativity in Christian Mysticism</w:t>
      </w:r>
      <w:r w:rsidRPr="007775F8">
        <w:rPr>
          <w:szCs w:val="28"/>
        </w:rPr>
        <w:t xml:space="preserve"> (Cambridge: Cambridge University Press, 1995), 102–36, especially 112–14, 127–36.</w:t>
      </w:r>
    </w:p>
    <w:p w14:paraId="35B451A0" w14:textId="77777777" w:rsidR="00E25538" w:rsidRPr="007775F8" w:rsidRDefault="00C26C9F">
      <w:pPr>
        <w:pStyle w:val="NoteEntry"/>
      </w:pPr>
      <w:r w:rsidRPr="007775F8">
        <w:rPr>
          <w:szCs w:val="28"/>
        </w:rPr>
        <w:t xml:space="preserve">9. Thomas Aquinas, </w:t>
      </w:r>
      <w:r w:rsidRPr="007775F8">
        <w:rPr>
          <w:i/>
          <w:szCs w:val="28"/>
        </w:rPr>
        <w:t>Summa Theologiae</w:t>
      </w:r>
      <w:r w:rsidRPr="007775F8">
        <w:rPr>
          <w:szCs w:val="28"/>
        </w:rPr>
        <w:t xml:space="preserve"> I, q. 105, a. 5.</w:t>
      </w:r>
    </w:p>
    <w:p w14:paraId="61AC3559" w14:textId="77777777" w:rsidR="00E25538" w:rsidRPr="007775F8" w:rsidRDefault="00C26C9F">
      <w:pPr>
        <w:pStyle w:val="NoteEntry"/>
      </w:pPr>
      <w:r w:rsidRPr="007775F8">
        <w:rPr>
          <w:szCs w:val="28"/>
        </w:rPr>
        <w:t xml:space="preserve">10. Aquinas, </w:t>
      </w:r>
      <w:r w:rsidRPr="007775F8">
        <w:rPr>
          <w:i/>
          <w:szCs w:val="28"/>
        </w:rPr>
        <w:t>Summa Theologiae</w:t>
      </w:r>
      <w:r w:rsidRPr="007775F8">
        <w:rPr>
          <w:szCs w:val="28"/>
        </w:rPr>
        <w:t xml:space="preserve"> I, q. 115, a. 3.</w:t>
      </w:r>
    </w:p>
    <w:p w14:paraId="26878973" w14:textId="77777777" w:rsidR="00E25538" w:rsidRPr="007775F8" w:rsidRDefault="00C26C9F">
      <w:pPr>
        <w:pStyle w:val="NoteEntry"/>
      </w:pPr>
      <w:r w:rsidRPr="007775F8">
        <w:rPr>
          <w:szCs w:val="28"/>
        </w:rPr>
        <w:t xml:space="preserve">11. Aquinas, </w:t>
      </w:r>
      <w:r w:rsidRPr="007775F8">
        <w:rPr>
          <w:i/>
          <w:szCs w:val="28"/>
        </w:rPr>
        <w:t>Summa Theologiae</w:t>
      </w:r>
      <w:r w:rsidRPr="007775F8">
        <w:rPr>
          <w:szCs w:val="28"/>
        </w:rPr>
        <w:t xml:space="preserve"> I, q. 115, a. 4. Aquinas’s account permits bodily inclination while denying that celestial bodies necessitate the intellect and will.</w:t>
      </w:r>
    </w:p>
    <w:p w14:paraId="38B0CCC1" w14:textId="77777777" w:rsidR="00E25538" w:rsidRPr="007775F8" w:rsidRDefault="00C26C9F">
      <w:pPr>
        <w:pStyle w:val="NoteEntry"/>
      </w:pPr>
      <w:r w:rsidRPr="007775F8">
        <w:rPr>
          <w:szCs w:val="28"/>
        </w:rPr>
        <w:t xml:space="preserve">12. Aquinas, </w:t>
      </w:r>
      <w:r w:rsidRPr="007775F8">
        <w:rPr>
          <w:i/>
          <w:szCs w:val="28"/>
        </w:rPr>
        <w:t>Summa Theologiae</w:t>
      </w:r>
      <w:r w:rsidRPr="007775F8">
        <w:rPr>
          <w:szCs w:val="28"/>
        </w:rPr>
        <w:t xml:space="preserve"> I, q. 115, a. 6, and q. 116, aa. 1–4.</w:t>
      </w:r>
    </w:p>
    <w:p w14:paraId="71ABE8FE" w14:textId="77777777" w:rsidR="00E25538" w:rsidRPr="007775F8" w:rsidRDefault="00C26C9F">
      <w:pPr>
        <w:pStyle w:val="NoteEntry"/>
      </w:pPr>
      <w:r w:rsidRPr="007775F8">
        <w:rPr>
          <w:szCs w:val="28"/>
        </w:rPr>
        <w:t xml:space="preserve">13. Grant, </w:t>
      </w:r>
      <w:r w:rsidRPr="007775F8">
        <w:rPr>
          <w:i/>
          <w:szCs w:val="28"/>
        </w:rPr>
        <w:t>Planets, Stars, and Orbs</w:t>
      </w:r>
      <w:r w:rsidRPr="007775F8">
        <w:rPr>
          <w:szCs w:val="28"/>
        </w:rPr>
        <w:t>, 189–421, especially 271–323 and 308–15.</w:t>
      </w:r>
    </w:p>
    <w:p w14:paraId="6B165327" w14:textId="77777777" w:rsidR="00E25538" w:rsidRPr="007775F8" w:rsidRDefault="00C26C9F">
      <w:pPr>
        <w:pStyle w:val="NoteEntry"/>
      </w:pPr>
      <w:r w:rsidRPr="007775F8">
        <w:rPr>
          <w:szCs w:val="28"/>
        </w:rPr>
        <w:t xml:space="preserve">14. Grant, </w:t>
      </w:r>
      <w:r w:rsidRPr="007775F8">
        <w:rPr>
          <w:i/>
          <w:szCs w:val="28"/>
        </w:rPr>
        <w:t>Planets, Stars, and Orbs</w:t>
      </w:r>
      <w:r w:rsidRPr="007775F8">
        <w:rPr>
          <w:szCs w:val="28"/>
        </w:rPr>
        <w:t>, 469–556, especially 469–87 and 526–56.</w:t>
      </w:r>
    </w:p>
    <w:p w14:paraId="5280FB2C" w14:textId="77777777" w:rsidR="00E25538" w:rsidRPr="007775F8" w:rsidRDefault="00C26C9F">
      <w:pPr>
        <w:pStyle w:val="NoteEntry"/>
      </w:pPr>
      <w:r w:rsidRPr="007775F8">
        <w:rPr>
          <w:szCs w:val="28"/>
        </w:rPr>
        <w:t xml:space="preserve">15. Grant, </w:t>
      </w:r>
      <w:r w:rsidRPr="007775F8">
        <w:rPr>
          <w:i/>
          <w:szCs w:val="28"/>
        </w:rPr>
        <w:t>Planets, Stars, and Orbs</w:t>
      </w:r>
      <w:r w:rsidRPr="007775F8">
        <w:rPr>
          <w:szCs w:val="28"/>
        </w:rPr>
        <w:t xml:space="preserve">, 368, 472–87, 557–615; Lewis, </w:t>
      </w:r>
      <w:r w:rsidRPr="007775F8">
        <w:rPr>
          <w:i/>
          <w:szCs w:val="28"/>
        </w:rPr>
        <w:t>Discarded Image</w:t>
      </w:r>
      <w:r w:rsidRPr="007775F8">
        <w:rPr>
          <w:szCs w:val="28"/>
        </w:rPr>
        <w:t>, 92–121.</w:t>
      </w:r>
    </w:p>
    <w:p w14:paraId="3930B880" w14:textId="77777777" w:rsidR="00E25538" w:rsidRPr="007775F8" w:rsidRDefault="00C26C9F">
      <w:pPr>
        <w:pStyle w:val="NoteEntry"/>
      </w:pPr>
      <w:r w:rsidRPr="007775F8">
        <w:rPr>
          <w:szCs w:val="28"/>
        </w:rPr>
        <w:t xml:space="preserve">16. Dante Alighieri, </w:t>
      </w:r>
      <w:r w:rsidRPr="007775F8">
        <w:rPr>
          <w:i/>
          <w:szCs w:val="28"/>
        </w:rPr>
        <w:t>The Divine Comedy</w:t>
      </w:r>
      <w:r w:rsidRPr="007775F8">
        <w:rPr>
          <w:szCs w:val="28"/>
        </w:rPr>
        <w:t xml:space="preserve">, vol. 3, </w:t>
      </w:r>
      <w:r w:rsidRPr="007775F8">
        <w:rPr>
          <w:i/>
          <w:szCs w:val="28"/>
        </w:rPr>
        <w:t>Paradiso</w:t>
      </w:r>
      <w:r w:rsidRPr="007775F8">
        <w:rPr>
          <w:szCs w:val="28"/>
        </w:rPr>
        <w:t>, trans. and commentary by Charles S. Singleton (Princeton: Princeton University Press, 1975), II.112–48.</w:t>
      </w:r>
    </w:p>
    <w:p w14:paraId="1D22E776" w14:textId="77777777" w:rsidR="00E25538" w:rsidRPr="007775F8" w:rsidRDefault="00C26C9F">
      <w:pPr>
        <w:pStyle w:val="NoteEntry"/>
      </w:pPr>
      <w:r w:rsidRPr="007775F8">
        <w:rPr>
          <w:szCs w:val="28"/>
        </w:rPr>
        <w:t xml:space="preserve">17. Dante, </w:t>
      </w:r>
      <w:r w:rsidRPr="007775F8">
        <w:rPr>
          <w:i/>
          <w:szCs w:val="28"/>
        </w:rPr>
        <w:t>Paradiso</w:t>
      </w:r>
      <w:r w:rsidRPr="007775F8">
        <w:rPr>
          <w:szCs w:val="28"/>
        </w:rPr>
        <w:t xml:space="preserve"> IV.37–48; Singleton’s commentary on IV.37–48, in </w:t>
      </w:r>
      <w:r w:rsidRPr="007775F8">
        <w:rPr>
          <w:i/>
          <w:szCs w:val="28"/>
        </w:rPr>
        <w:t>Paradiso: Commentary</w:t>
      </w:r>
      <w:r w:rsidRPr="007775F8">
        <w:rPr>
          <w:szCs w:val="28"/>
        </w:rPr>
        <w:t>, 80–81.</w:t>
      </w:r>
    </w:p>
    <w:p w14:paraId="5F164EFD" w14:textId="77777777" w:rsidR="00E25538" w:rsidRPr="007775F8" w:rsidRDefault="00C26C9F">
      <w:pPr>
        <w:pStyle w:val="NoteEntry"/>
      </w:pPr>
      <w:r w:rsidRPr="007775F8">
        <w:rPr>
          <w:szCs w:val="28"/>
        </w:rPr>
        <w:t xml:space="preserve">18. Dante, </w:t>
      </w:r>
      <w:r w:rsidRPr="007775F8">
        <w:rPr>
          <w:i/>
          <w:szCs w:val="28"/>
        </w:rPr>
        <w:t>Paradiso</w:t>
      </w:r>
      <w:r w:rsidRPr="007775F8">
        <w:rPr>
          <w:szCs w:val="28"/>
        </w:rPr>
        <w:t xml:space="preserve"> XXVIII.94–139; Pseudo-Dionysius, </w:t>
      </w:r>
      <w:r w:rsidRPr="007775F8">
        <w:rPr>
          <w:i/>
          <w:szCs w:val="28"/>
        </w:rPr>
        <w:t>Complete Works</w:t>
      </w:r>
      <w:r w:rsidRPr="007775F8">
        <w:rPr>
          <w:szCs w:val="28"/>
        </w:rPr>
        <w:t xml:space="preserve">, </w:t>
      </w:r>
      <w:r w:rsidRPr="007775F8">
        <w:rPr>
          <w:i/>
          <w:szCs w:val="28"/>
        </w:rPr>
        <w:t>Celestial Hierarchy</w:t>
      </w:r>
      <w:r w:rsidRPr="007775F8">
        <w:rPr>
          <w:szCs w:val="28"/>
        </w:rPr>
        <w:t xml:space="preserve"> VI–IX, 160–74.</w:t>
      </w:r>
    </w:p>
    <w:p w14:paraId="75E137CB" w14:textId="77777777" w:rsidR="00E25538" w:rsidRPr="007775F8" w:rsidRDefault="00C26C9F">
      <w:pPr>
        <w:pStyle w:val="NoteEntry"/>
      </w:pPr>
      <w:r w:rsidRPr="007775F8">
        <w:rPr>
          <w:szCs w:val="28"/>
        </w:rPr>
        <w:t xml:space="preserve">19. Dante, </w:t>
      </w:r>
      <w:r w:rsidRPr="007775F8">
        <w:rPr>
          <w:i/>
          <w:szCs w:val="28"/>
        </w:rPr>
        <w:t>Paradiso</w:t>
      </w:r>
      <w:r w:rsidRPr="007775F8">
        <w:rPr>
          <w:szCs w:val="28"/>
        </w:rPr>
        <w:t xml:space="preserve"> I.67–75; Singleton’s commentary on </w:t>
      </w:r>
      <w:r w:rsidRPr="007775F8">
        <w:rPr>
          <w:i/>
          <w:szCs w:val="28"/>
        </w:rPr>
        <w:t>trasumanar</w:t>
      </w:r>
      <w:r w:rsidRPr="007775F8">
        <w:rPr>
          <w:szCs w:val="28"/>
        </w:rPr>
        <w:t xml:space="preserve"> and descending grace, </w:t>
      </w:r>
      <w:r w:rsidRPr="007775F8">
        <w:rPr>
          <w:i/>
          <w:szCs w:val="28"/>
        </w:rPr>
        <w:t>Paradiso: Commentary</w:t>
      </w:r>
      <w:r w:rsidRPr="007775F8">
        <w:rPr>
          <w:szCs w:val="28"/>
        </w:rPr>
        <w:t>, 18.</w:t>
      </w:r>
    </w:p>
    <w:p w14:paraId="5C265890" w14:textId="77777777" w:rsidR="00E25538" w:rsidRPr="007775F8" w:rsidRDefault="00C26C9F">
      <w:pPr>
        <w:pStyle w:val="NoteEntry"/>
      </w:pPr>
      <w:r w:rsidRPr="007775F8">
        <w:rPr>
          <w:szCs w:val="28"/>
        </w:rPr>
        <w:t xml:space="preserve">20. Dante, </w:t>
      </w:r>
      <w:r w:rsidRPr="007775F8">
        <w:rPr>
          <w:i/>
          <w:szCs w:val="28"/>
        </w:rPr>
        <w:t>Paradiso</w:t>
      </w:r>
      <w:r w:rsidRPr="007775F8">
        <w:rPr>
          <w:szCs w:val="28"/>
        </w:rPr>
        <w:t xml:space="preserve"> XXXIII.115–45.</w:t>
      </w:r>
    </w:p>
    <w:p w14:paraId="462062DB" w14:textId="77777777" w:rsidR="00E25538" w:rsidRPr="007775F8" w:rsidRDefault="00C26C9F">
      <w:pPr>
        <w:pStyle w:val="NoteEntry"/>
      </w:pPr>
      <w:r w:rsidRPr="007775F8">
        <w:rPr>
          <w:szCs w:val="28"/>
        </w:rPr>
        <w:t xml:space="preserve">21. Caroline Walker Bynum, </w:t>
      </w:r>
      <w:r w:rsidRPr="007775F8">
        <w:rPr>
          <w:i/>
          <w:szCs w:val="28"/>
        </w:rPr>
        <w:t>Christian Materiality: An Essay on Religion in Late Medieval Europe</w:t>
      </w:r>
      <w:r w:rsidRPr="007775F8">
        <w:rPr>
          <w:szCs w:val="28"/>
        </w:rPr>
        <w:t xml:space="preserve"> (New York: Zone Books, 2011), 15–35.</w:t>
      </w:r>
    </w:p>
    <w:p w14:paraId="637D3D87" w14:textId="77777777" w:rsidR="00E25538" w:rsidRPr="007775F8" w:rsidRDefault="00C26C9F">
      <w:pPr>
        <w:pStyle w:val="NoteEntry"/>
      </w:pPr>
      <w:r w:rsidRPr="007775F8">
        <w:rPr>
          <w:szCs w:val="28"/>
        </w:rPr>
        <w:t xml:space="preserve">22. Bynum, </w:t>
      </w:r>
      <w:r w:rsidRPr="007775F8">
        <w:rPr>
          <w:i/>
          <w:szCs w:val="28"/>
        </w:rPr>
        <w:t>Christian Materiality</w:t>
      </w:r>
      <w:r w:rsidRPr="007775F8">
        <w:rPr>
          <w:szCs w:val="28"/>
        </w:rPr>
        <w:t>, 37–121, especially 53–65 and 105–21.</w:t>
      </w:r>
    </w:p>
    <w:p w14:paraId="56AE594E" w14:textId="77777777" w:rsidR="00E25538" w:rsidRPr="007775F8" w:rsidRDefault="00C26C9F">
      <w:pPr>
        <w:pStyle w:val="NoteEntry"/>
      </w:pPr>
      <w:r w:rsidRPr="007775F8">
        <w:rPr>
          <w:szCs w:val="28"/>
        </w:rPr>
        <w:t xml:space="preserve">23. Bynum, </w:t>
      </w:r>
      <w:r w:rsidRPr="007775F8">
        <w:rPr>
          <w:i/>
          <w:szCs w:val="28"/>
        </w:rPr>
        <w:t>Christian Materiality</w:t>
      </w:r>
      <w:r w:rsidRPr="007775F8">
        <w:rPr>
          <w:szCs w:val="28"/>
        </w:rPr>
        <w:t>, 125–75, 219–67.</w:t>
      </w:r>
    </w:p>
    <w:p w14:paraId="79A4E970" w14:textId="77777777" w:rsidR="00E25538" w:rsidRPr="007775F8" w:rsidRDefault="00C26C9F">
      <w:pPr>
        <w:pStyle w:val="NoteEntry"/>
      </w:pPr>
      <w:r w:rsidRPr="007775F8">
        <w:rPr>
          <w:szCs w:val="28"/>
        </w:rPr>
        <w:t xml:space="preserve">24. Miri Rubin, </w:t>
      </w:r>
      <w:r w:rsidRPr="007775F8">
        <w:rPr>
          <w:i/>
          <w:szCs w:val="28"/>
        </w:rPr>
        <w:t>Corpus Christi: The Eucharist in Late Medieval Culture</w:t>
      </w:r>
      <w:r w:rsidRPr="007775F8">
        <w:rPr>
          <w:szCs w:val="28"/>
        </w:rPr>
        <w:t xml:space="preserve"> (Cambridge: Cambridge University Press, 1991), 12–49.</w:t>
      </w:r>
    </w:p>
    <w:p w14:paraId="469C614D" w14:textId="77777777" w:rsidR="00E25538" w:rsidRPr="007775F8" w:rsidRDefault="00C26C9F">
      <w:pPr>
        <w:pStyle w:val="NoteEntry"/>
      </w:pPr>
      <w:r w:rsidRPr="007775F8">
        <w:rPr>
          <w:szCs w:val="28"/>
        </w:rPr>
        <w:t xml:space="preserve">25. Rubin, </w:t>
      </w:r>
      <w:r w:rsidRPr="007775F8">
        <w:rPr>
          <w:i/>
          <w:szCs w:val="28"/>
        </w:rPr>
        <w:t>Corpus Christi</w:t>
      </w:r>
      <w:r w:rsidRPr="007775F8">
        <w:rPr>
          <w:szCs w:val="28"/>
        </w:rPr>
        <w:t>, 49–82, 83–163, especially 108–29 and 147–63.</w:t>
      </w:r>
    </w:p>
    <w:p w14:paraId="784DAB4C" w14:textId="77777777" w:rsidR="00E25538" w:rsidRPr="007775F8" w:rsidRDefault="00C26C9F">
      <w:pPr>
        <w:pStyle w:val="NoteEntry"/>
      </w:pPr>
      <w:r w:rsidRPr="007775F8">
        <w:rPr>
          <w:szCs w:val="28"/>
        </w:rPr>
        <w:t xml:space="preserve">26. Rubin, </w:t>
      </w:r>
      <w:r w:rsidRPr="007775F8">
        <w:rPr>
          <w:i/>
          <w:szCs w:val="28"/>
        </w:rPr>
        <w:t>Corpus Christi</w:t>
      </w:r>
      <w:r w:rsidRPr="007775F8">
        <w:rPr>
          <w:szCs w:val="28"/>
        </w:rPr>
        <w:t>, 164–212.</w:t>
      </w:r>
    </w:p>
    <w:p w14:paraId="56B18B21" w14:textId="77777777" w:rsidR="00E25538" w:rsidRPr="007775F8" w:rsidRDefault="00C26C9F">
      <w:pPr>
        <w:pStyle w:val="NoteEntry"/>
      </w:pPr>
      <w:r w:rsidRPr="007775F8">
        <w:rPr>
          <w:szCs w:val="28"/>
        </w:rPr>
        <w:t xml:space="preserve">27. Rubin, </w:t>
      </w:r>
      <w:r w:rsidRPr="007775F8">
        <w:rPr>
          <w:i/>
          <w:szCs w:val="28"/>
        </w:rPr>
        <w:t>Corpus Christi</w:t>
      </w:r>
      <w:r w:rsidRPr="007775F8">
        <w:rPr>
          <w:szCs w:val="28"/>
        </w:rPr>
        <w:t>, 213–69, 288–369.</w:t>
      </w:r>
    </w:p>
    <w:p w14:paraId="74334907" w14:textId="77777777" w:rsidR="00E25538" w:rsidRPr="007775F8" w:rsidRDefault="00C26C9F">
      <w:pPr>
        <w:pStyle w:val="NoteEntry"/>
      </w:pPr>
      <w:r w:rsidRPr="007775F8">
        <w:rPr>
          <w:szCs w:val="28"/>
        </w:rPr>
        <w:t xml:space="preserve">28. William Durandus, </w:t>
      </w:r>
      <w:r w:rsidRPr="007775F8">
        <w:rPr>
          <w:i/>
          <w:szCs w:val="28"/>
        </w:rPr>
        <w:t>The Symbolism of Churches and Church Ornaments: A Translation of the First Book of the Rationale Divinorum Officiorum</w:t>
      </w:r>
      <w:r w:rsidRPr="007775F8">
        <w:rPr>
          <w:szCs w:val="28"/>
        </w:rPr>
        <w:t>, trans. John Mason Neale and Benjamin Webb (Leeds: T. W. Green, 1843), 15–25.</w:t>
      </w:r>
    </w:p>
    <w:p w14:paraId="6E857BCA" w14:textId="77777777" w:rsidR="00E25538" w:rsidRPr="007775F8" w:rsidRDefault="00C26C9F">
      <w:pPr>
        <w:pStyle w:val="NoteEntry"/>
      </w:pPr>
      <w:r w:rsidRPr="007775F8">
        <w:rPr>
          <w:szCs w:val="28"/>
        </w:rPr>
        <w:t xml:space="preserve">29. Durandus, </w:t>
      </w:r>
      <w:r w:rsidRPr="007775F8">
        <w:rPr>
          <w:i/>
          <w:szCs w:val="28"/>
        </w:rPr>
        <w:t>Symbolism of Churches</w:t>
      </w:r>
      <w:r w:rsidRPr="007775F8">
        <w:rPr>
          <w:szCs w:val="28"/>
        </w:rPr>
        <w:t>, 16–17, 177–79.</w:t>
      </w:r>
    </w:p>
    <w:p w14:paraId="11EAE41B" w14:textId="77777777" w:rsidR="00E25538" w:rsidRPr="007775F8" w:rsidRDefault="00C26C9F">
      <w:pPr>
        <w:pStyle w:val="NoteEntry"/>
      </w:pPr>
      <w:r w:rsidRPr="007775F8">
        <w:rPr>
          <w:szCs w:val="28"/>
        </w:rPr>
        <w:t xml:space="preserve">30. Durandus, </w:t>
      </w:r>
      <w:r w:rsidRPr="007775F8">
        <w:rPr>
          <w:i/>
          <w:szCs w:val="28"/>
        </w:rPr>
        <w:t>Symbolism of Churches</w:t>
      </w:r>
      <w:r w:rsidRPr="007775F8">
        <w:rPr>
          <w:szCs w:val="28"/>
        </w:rPr>
        <w:t>, 71–82, especially 71–73.</w:t>
      </w:r>
    </w:p>
    <w:p w14:paraId="7B3D8CB0" w14:textId="77777777" w:rsidR="00E25538" w:rsidRPr="007775F8" w:rsidRDefault="00C26C9F">
      <w:pPr>
        <w:pStyle w:val="NoteEntry"/>
      </w:pPr>
      <w:r w:rsidRPr="007775F8">
        <w:rPr>
          <w:szCs w:val="28"/>
        </w:rPr>
        <w:t xml:space="preserve">31. Fassler, </w:t>
      </w:r>
      <w:r w:rsidRPr="007775F8">
        <w:rPr>
          <w:i/>
          <w:szCs w:val="28"/>
        </w:rPr>
        <w:t>Virgin of Chartres</w:t>
      </w:r>
      <w:r w:rsidRPr="007775F8">
        <w:rPr>
          <w:szCs w:val="28"/>
        </w:rPr>
        <w:t>, 55–132, 156–204.</w:t>
      </w:r>
    </w:p>
    <w:p w14:paraId="034B3493" w14:textId="77777777" w:rsidR="00E25538" w:rsidRPr="007775F8" w:rsidRDefault="00C26C9F">
      <w:pPr>
        <w:pStyle w:val="NoteEntry"/>
      </w:pPr>
      <w:r w:rsidRPr="007775F8">
        <w:rPr>
          <w:szCs w:val="28"/>
        </w:rPr>
        <w:t xml:space="preserve">32. Mâle, </w:t>
      </w:r>
      <w:r w:rsidRPr="007775F8">
        <w:rPr>
          <w:i/>
          <w:szCs w:val="28"/>
        </w:rPr>
        <w:t>Gothic Image</w:t>
      </w:r>
      <w:r w:rsidRPr="007775F8">
        <w:rPr>
          <w:szCs w:val="28"/>
        </w:rPr>
        <w:t xml:space="preserve">, 64–69; Fassler, </w:t>
      </w:r>
      <w:r w:rsidRPr="007775F8">
        <w:rPr>
          <w:i/>
          <w:szCs w:val="28"/>
        </w:rPr>
        <w:t>Virgin of Chartres</w:t>
      </w:r>
      <w:r w:rsidRPr="007775F8">
        <w:rPr>
          <w:szCs w:val="28"/>
        </w:rPr>
        <w:t>, 242–67, 282–300.</w:t>
      </w:r>
    </w:p>
    <w:p w14:paraId="772CAFF5" w14:textId="77777777" w:rsidR="00E25538" w:rsidRPr="007775F8" w:rsidRDefault="00C26C9F">
      <w:pPr>
        <w:pStyle w:val="NoteEntry"/>
      </w:pPr>
      <w:r w:rsidRPr="007775F8">
        <w:rPr>
          <w:szCs w:val="28"/>
        </w:rPr>
        <w:t xml:space="preserve">33. Diana Webb, </w:t>
      </w:r>
      <w:r w:rsidRPr="007775F8">
        <w:rPr>
          <w:i/>
          <w:szCs w:val="28"/>
        </w:rPr>
        <w:t>Medieval European Pilgrimage, c. 700–c. 1500</w:t>
      </w:r>
      <w:r w:rsidRPr="007775F8">
        <w:rPr>
          <w:szCs w:val="28"/>
        </w:rPr>
        <w:t xml:space="preserve"> (Basingstoke: Palgrave, 2002), xi–xiv, 114–53.</w:t>
      </w:r>
    </w:p>
    <w:p w14:paraId="086751EE" w14:textId="77777777" w:rsidR="00E25538" w:rsidRPr="007775F8" w:rsidRDefault="00C26C9F">
      <w:pPr>
        <w:pStyle w:val="NoteEntry"/>
      </w:pPr>
      <w:r w:rsidRPr="007775F8">
        <w:rPr>
          <w:szCs w:val="28"/>
        </w:rPr>
        <w:t xml:space="preserve">34. Webb, </w:t>
      </w:r>
      <w:r w:rsidRPr="007775F8">
        <w:rPr>
          <w:i/>
          <w:szCs w:val="28"/>
        </w:rPr>
        <w:t>Medieval European Pilgrimage</w:t>
      </w:r>
      <w:r w:rsidRPr="007775F8">
        <w:rPr>
          <w:szCs w:val="28"/>
        </w:rPr>
        <w:t xml:space="preserve">, 1–43, 154–81; Fassler, </w:t>
      </w:r>
      <w:r w:rsidRPr="007775F8">
        <w:rPr>
          <w:i/>
          <w:szCs w:val="28"/>
        </w:rPr>
        <w:t>Virgin of Chartres</w:t>
      </w:r>
      <w:r w:rsidRPr="007775F8">
        <w:rPr>
          <w:szCs w:val="28"/>
        </w:rPr>
        <w:t>, 333–34.</w:t>
      </w:r>
    </w:p>
    <w:p w14:paraId="7EBECEAE" w14:textId="77777777" w:rsidR="00E25538" w:rsidRPr="007775F8" w:rsidRDefault="00C26C9F">
      <w:pPr>
        <w:pStyle w:val="NoteEntry"/>
      </w:pPr>
      <w:r w:rsidRPr="007775F8">
        <w:rPr>
          <w:szCs w:val="28"/>
        </w:rPr>
        <w:t xml:space="preserve">35. R. I. Moore, </w:t>
      </w:r>
      <w:r w:rsidRPr="007775F8">
        <w:rPr>
          <w:i/>
          <w:szCs w:val="28"/>
        </w:rPr>
        <w:t>The Formation of a Persecuting Society: Authority and Deviance in Western Europe, 950–1250</w:t>
      </w:r>
      <w:r w:rsidRPr="007775F8">
        <w:rPr>
          <w:szCs w:val="28"/>
        </w:rPr>
        <w:t>, 2nd ed. (Malden, MA: Blackwell, 2007), 1–11, 19–58, 143–96.</w:t>
      </w:r>
    </w:p>
    <w:p w14:paraId="790BE464" w14:textId="77777777" w:rsidR="00E25538" w:rsidRPr="007775F8" w:rsidRDefault="00C26C9F">
      <w:pPr>
        <w:pStyle w:val="NoteEntry"/>
      </w:pPr>
      <w:r w:rsidRPr="007775F8">
        <w:rPr>
          <w:szCs w:val="28"/>
        </w:rPr>
        <w:t xml:space="preserve">36. Rubin, </w:t>
      </w:r>
      <w:r w:rsidRPr="007775F8">
        <w:rPr>
          <w:i/>
          <w:szCs w:val="28"/>
        </w:rPr>
        <w:t>Corpus Christi</w:t>
      </w:r>
      <w:r w:rsidRPr="007775F8">
        <w:rPr>
          <w:szCs w:val="28"/>
        </w:rPr>
        <w:t xml:space="preserve">, 108–29, 213–69, 288–369; Moore, </w:t>
      </w:r>
      <w:r w:rsidRPr="007775F8">
        <w:rPr>
          <w:i/>
          <w:szCs w:val="28"/>
        </w:rPr>
        <w:t>Formation of a Persecuting Society</w:t>
      </w:r>
      <w:r w:rsidRPr="007775F8">
        <w:rPr>
          <w:szCs w:val="28"/>
        </w:rPr>
        <w:t>, 169–83.</w:t>
      </w:r>
    </w:p>
    <w:p w14:paraId="5845C1D8" w14:textId="77777777" w:rsidR="00E25538" w:rsidRPr="007775F8" w:rsidRDefault="00C26C9F">
      <w:pPr>
        <w:pStyle w:val="NoteEntry"/>
      </w:pPr>
      <w:r w:rsidRPr="007775F8">
        <w:rPr>
          <w:szCs w:val="28"/>
        </w:rPr>
        <w:t>37. Galatians 5:22–23; James 1:4, 17–27 and 2:14–26; Matthew 7:16–20 and 20:25–28.</w:t>
      </w:r>
    </w:p>
    <w:p w14:paraId="072A5C81" w14:textId="77777777" w:rsidR="00F93551" w:rsidRDefault="00DD7D58">
      <w:pPr>
        <w:pStyle w:val="PartHeading"/>
      </w:pPr>
      <w:bookmarkStart w:id="11" w:name="toc_part_9"/>
      <w:r>
        <w:t>Part III</w:t>
      </w:r>
      <w:r>
        <w:br/>
      </w:r>
      <w:r>
        <w:rPr>
          <w:sz w:val="40"/>
        </w:rPr>
        <w:t>Fracture and the Last Living Matter</w:t>
      </w:r>
      <w:bookmarkEnd w:id="11"/>
    </w:p>
    <w:p w14:paraId="7F2B7CF4" w14:textId="77777777" w:rsidR="0078634B" w:rsidRPr="0078634B" w:rsidRDefault="0078634B" w:rsidP="0078634B">
      <w:pPr>
        <w:pStyle w:val="ChapterHeading"/>
      </w:pPr>
      <w:bookmarkStart w:id="12" w:name="toc_chapter_9"/>
      <w:r>
        <w:rPr>
          <w:sz w:val="28"/>
        </w:rPr>
        <w:t>Chapter 9</w:t>
      </w:r>
      <w:r>
        <w:rPr>
          <w:sz w:val="28"/>
        </w:rPr>
        <w:br/>
      </w:r>
      <w:r>
        <w:t>Contingency and the Fracture of Presence</w:t>
      </w:r>
      <w:bookmarkEnd w:id="12"/>
    </w:p>
    <w:p w14:paraId="42659068" w14:textId="77777777" w:rsidR="0078634B" w:rsidRPr="0078634B" w:rsidRDefault="0078634B" w:rsidP="0078634B">
      <w:pPr>
        <w:pStyle w:val="SectionHeading"/>
      </w:pPr>
      <w:r w:rsidRPr="0078634B">
        <w:rPr>
          <w:bCs/>
          <w:szCs w:val="28"/>
        </w:rPr>
        <w:t>The Cross in the Field</w:t>
      </w:r>
    </w:p>
    <w:p w14:paraId="4D61B1AF" w14:textId="77777777" w:rsidR="0078634B" w:rsidRPr="0078634B" w:rsidRDefault="0078634B" w:rsidP="0078634B">
      <w:pPr>
        <w:pStyle w:val="BookBody"/>
      </w:pPr>
      <w:r w:rsidRPr="0078634B">
        <w:rPr>
          <w:szCs w:val="28"/>
        </w:rPr>
        <w:t>In February 1532 four men entered the parish church at Dovercourt in Essex after dark. Their object was not money. They loosened a great rood from its place above the screen, carried it out of the church, and burned it in a field. The image had been credited with miraculous power. It was said that no one could shut the church door upon it: the door would open, or the sainted figure would somehow resist confinement. To its defenders, the rood was a holy likeness through which divine favor had become locally near. To the men who destroyed it, the same object was a lie made of timber, paint, and priestly interest. Three of them were later executed. The broken and burned image had become evidence in yet another order, the order of law.</w:t>
      </w:r>
      <w:r w:rsidRPr="0078634B">
        <w:rPr>
          <w:szCs w:val="28"/>
          <w:vertAlign w:val="superscript"/>
        </w:rPr>
        <w:t>1</w:t>
      </w:r>
    </w:p>
    <w:p w14:paraId="37EA607D" w14:textId="77777777" w:rsidR="0078634B" w:rsidRPr="0078634B" w:rsidRDefault="0078634B" w:rsidP="0078634B">
      <w:pPr>
        <w:pStyle w:val="BookBody"/>
      </w:pPr>
      <w:r w:rsidRPr="0078634B">
        <w:rPr>
          <w:szCs w:val="28"/>
        </w:rPr>
        <w:t>The episode compresses this chapter into a single object. Nothing material about the wood could settle what the wood was. It might be a participant in holiness, an occasion of memory, a dangerous idol, a commodity available for plunder, or the corpus delicti of a capital crime. Nor did the alternatives belong to private taste. Each description implied a different church, a different account of matter, a different discipline of the senses, and a different authority capable of naming the real.</w:t>
      </w:r>
    </w:p>
    <w:p w14:paraId="3584740D" w14:textId="77777777" w:rsidR="0078634B" w:rsidRPr="0078634B" w:rsidRDefault="0078634B" w:rsidP="0078634B">
      <w:pPr>
        <w:pStyle w:val="BookBody"/>
      </w:pPr>
      <w:r w:rsidRPr="0078634B">
        <w:rPr>
          <w:szCs w:val="28"/>
        </w:rPr>
        <w:t>The Dovercourt rood was not an isolated casualty. Shrines were dismantled, relics dispersed, pilgrimage sites suppressed, images tested for fraudulent mechanisms, and celebrated objects carried to public fires. At Boxley in Kent, the moving eyes and lips of a famous crucifix were displayed as the effects of wires. The relic called the Blood of Hailes was exposed by royal visitors as a manufactured substance rather than Christ’s blood. The shrine of Thomas Becket was destroyed; the cult of the saint was proscribed; the offerings and jewels of Walsingham were removed; and the image of Our Lady was sent toward London and burning.</w:t>
      </w:r>
      <w:r w:rsidRPr="0078634B">
        <w:rPr>
          <w:szCs w:val="28"/>
          <w:vertAlign w:val="superscript"/>
        </w:rPr>
        <w:t>2</w:t>
      </w:r>
    </w:p>
    <w:p w14:paraId="3564EBFE" w14:textId="77777777" w:rsidR="0078634B" w:rsidRPr="0078634B" w:rsidRDefault="0078634B" w:rsidP="0078634B">
      <w:pPr>
        <w:pStyle w:val="BookBody"/>
      </w:pPr>
      <w:r w:rsidRPr="0078634B">
        <w:rPr>
          <w:szCs w:val="28"/>
        </w:rPr>
        <w:t>Yet even destruction confessed the object’s public force. Reformers did not spend so much effort on things that no longer mattered. A rood was attacked because it gathered gestures, stories, offerings, paths, and expectations around itself. A shrine could draw bodies across a region. An altar organized sight and movement within a church. A consecrated host could command kneeling, bells, processions, fear, hunger, and dispute. When such objects were renamed, moved, or broken, the world around them changed shape.</w:t>
      </w:r>
    </w:p>
    <w:p w14:paraId="7BBE3DDF" w14:textId="77777777" w:rsidR="0078634B" w:rsidRPr="0078634B" w:rsidRDefault="0078634B" w:rsidP="0078634B">
      <w:pPr>
        <w:pStyle w:val="BookBody"/>
      </w:pPr>
      <w:r w:rsidRPr="0078634B">
        <w:rPr>
          <w:szCs w:val="28"/>
        </w:rPr>
        <w:t>Eamon Duffy records a grimly literal form of religious testing in which hostile observers pricked images to see whether they bled. The act mocked miracle stories, but it also staged a new rule of evidence. If the object did not answer the knife, its silence would expose it as “stock” or “stone.”</w:t>
      </w:r>
      <w:r w:rsidRPr="0078634B">
        <w:rPr>
          <w:szCs w:val="28"/>
          <w:vertAlign w:val="superscript"/>
        </w:rPr>
        <w:t>3</w:t>
      </w:r>
      <w:r w:rsidRPr="0078634B">
        <w:rPr>
          <w:szCs w:val="28"/>
        </w:rPr>
        <w:t xml:space="preserve"> The test was theologically loaded. A defender of images did not normally claim that carved wood possessed life in the way a body did. An image mediated through resemblance, dedication, liturgical setting, memory, and use. The knife therefore did not merely uncover a neutral fact. It imposed one account of how material truth must appear.</w:t>
      </w:r>
    </w:p>
    <w:p w14:paraId="4C58829B" w14:textId="77777777" w:rsidR="0078634B" w:rsidRPr="0078634B" w:rsidRDefault="0078634B" w:rsidP="0078634B">
      <w:pPr>
        <w:pStyle w:val="BookBody"/>
      </w:pPr>
      <w:r w:rsidRPr="0078634B">
        <w:rPr>
          <w:szCs w:val="28"/>
        </w:rPr>
        <w:t>This is why the Reformation cannot be narrated as the hour at which Europe discovered that statues were only statues. The question was not whether wood remained wood. Medieval theologians had not forgotten that. The question was whether wood could be drawn into a relation that exceeded its composition, whether such a relation was given or invented, and who could judge the difference. The same difficulty surrounded water, oil, bones, bread, wine, bells, wells, feast days, and storms. Matter did not cease to exist. Its capacity to bear a publicly shared presence became disputed.</w:t>
      </w:r>
    </w:p>
    <w:p w14:paraId="7A97520A" w14:textId="77777777" w:rsidR="0078634B" w:rsidRPr="0078634B" w:rsidRDefault="0078634B" w:rsidP="0078634B">
      <w:pPr>
        <w:pStyle w:val="BookBody"/>
      </w:pPr>
      <w:r w:rsidRPr="0078634B">
        <w:rPr>
          <w:szCs w:val="28"/>
        </w:rPr>
        <w:t>Robert Scribner described late-medieval German religion as an “economy of the sacred”: a field of relations in which sacred power was approached through the calendar, sacraments, blessings, images, processions, holy water, local patrons, and remembered acts. These practices linked human beings not only to God but to neighbors, fields, animals, weather, illness, and the dead. They made what Scribner called cosmic order in daily life.</w:t>
      </w:r>
      <w:r w:rsidRPr="0078634B">
        <w:rPr>
          <w:szCs w:val="28"/>
          <w:vertAlign w:val="superscript"/>
        </w:rPr>
        <w:t>4</w:t>
      </w:r>
      <w:r w:rsidRPr="0078634B">
        <w:rPr>
          <w:szCs w:val="28"/>
        </w:rPr>
        <w:t xml:space="preserve"> The phrase does not imply that the order was harmonious. An economy includes scarcity, rivalry, control, and unequal access. It does imply that worship was not sealed inside an interior region called belief. It helped organize the practical world.</w:t>
      </w:r>
    </w:p>
    <w:p w14:paraId="1A3352C1" w14:textId="77777777" w:rsidR="0078634B" w:rsidRPr="0078634B" w:rsidRDefault="0078634B" w:rsidP="0078634B">
      <w:pPr>
        <w:pStyle w:val="BookBody"/>
      </w:pPr>
      <w:r w:rsidRPr="0078634B">
        <w:rPr>
          <w:szCs w:val="28"/>
        </w:rPr>
        <w:t>At Dovercourt that world did not vanish in the flames. It fractured into incompatible descriptions. The rood became holier, more hateful, more politically charged, and more materially exposed at the same time. Its destruction marks not the death of presence but the loss of a common grammar for recognizing it.</w:t>
      </w:r>
    </w:p>
    <w:p w14:paraId="3DFA792D" w14:textId="77777777" w:rsidR="0078634B" w:rsidRPr="0078634B" w:rsidRDefault="0078634B" w:rsidP="0078634B">
      <w:pPr>
        <w:pStyle w:val="SectionHeading"/>
      </w:pPr>
      <w:r w:rsidRPr="0078634B">
        <w:rPr>
          <w:bCs/>
          <w:szCs w:val="28"/>
        </w:rPr>
        <w:t>Contingency Inside the Architecture</w:t>
      </w:r>
    </w:p>
    <w:p w14:paraId="4D077CA1" w14:textId="77777777" w:rsidR="0078634B" w:rsidRPr="0078634B" w:rsidRDefault="0078634B" w:rsidP="0078634B">
      <w:pPr>
        <w:pStyle w:val="BookBody"/>
      </w:pPr>
      <w:r w:rsidRPr="0078634B">
        <w:rPr>
          <w:szCs w:val="28"/>
        </w:rPr>
        <w:t>The previous chapter ended beneath a medieval bell. Its sound gathered town and field into a time that was astronomical, agricultural, civic, and liturgical at once. The architecture that supported such composition was never complete. It contained arguments over celestial causes, sacramental power, religious images, clerical authority, divine freedom, and the limits of human knowledge. Chapter 9 begins inside those arguments.</w:t>
      </w:r>
    </w:p>
    <w:p w14:paraId="3344F8B1" w14:textId="77777777" w:rsidR="0078634B" w:rsidRPr="0078634B" w:rsidRDefault="0078634B" w:rsidP="0078634B">
      <w:pPr>
        <w:pStyle w:val="BookBody"/>
      </w:pPr>
      <w:r w:rsidRPr="0078634B">
        <w:rPr>
          <w:szCs w:val="28"/>
        </w:rPr>
        <w:t>That location matters because the familiar story of rupture is too clean. In the simplest version, a harmonious medieval cosmos was broken first by nominalism and then by Protestantism. Universals became names, creation became arbitrary, sacraments became signs, images became idols, and a world radiant with purpose became mute matter. Modernity then appeared as the rational management of what theology had emptied.</w:t>
      </w:r>
    </w:p>
    <w:p w14:paraId="78056DB9" w14:textId="77777777" w:rsidR="0078634B" w:rsidRPr="0078634B" w:rsidRDefault="0078634B" w:rsidP="0078634B">
      <w:pPr>
        <w:pStyle w:val="BookBody"/>
      </w:pPr>
      <w:r w:rsidRPr="0078634B">
        <w:rPr>
          <w:szCs w:val="28"/>
        </w:rPr>
        <w:t>Every step in that sequence contains a historical pressure, but the sequence as a whole becomes a fable. The medieval world was not univocal. William of Ockham did not teach that creation was chaotic. Luther did not make the Eucharist absent. Calvin did not deny that creatures could become instruments of grace. Zwingli did not reduce the Supper to a bare recollection performed by isolated minds. Catholic reform did not merely preserve an untouched past. Iconoclasm did not proceed everywhere with the same theology or force. Providential interpretation intensified in some Protestant settings even as shrines were stripped. The sacred was narrowed in one practice, amplified in another, relocated in a third, and fought over in all of them.</w:t>
      </w:r>
    </w:p>
    <w:p w14:paraId="034F40BB" w14:textId="77777777" w:rsidR="0078634B" w:rsidRPr="0078634B" w:rsidRDefault="0078634B" w:rsidP="0078634B">
      <w:pPr>
        <w:pStyle w:val="BookBody"/>
      </w:pPr>
      <w:r w:rsidRPr="0078634B">
        <w:rPr>
          <w:szCs w:val="28"/>
        </w:rPr>
        <w:t>The useful word is not disenchantment but contingency. Contingency names the created world’s dependence: things exist but need not have existed; they possess real forms and powers but do not contain the reason for their being. Christian thought had long insisted on this difference between Creator and creation. The late-medieval question was how strongly the intelligibility of the existing order followed from God’s nature, and how much it depended on a will that no created pattern could bind.</w:t>
      </w:r>
    </w:p>
    <w:p w14:paraId="1272F66A" w14:textId="77777777" w:rsidR="0078634B" w:rsidRPr="0078634B" w:rsidRDefault="0078634B" w:rsidP="0078634B">
      <w:pPr>
        <w:pStyle w:val="BookBody"/>
      </w:pPr>
      <w:r w:rsidRPr="0078634B">
        <w:rPr>
          <w:szCs w:val="28"/>
        </w:rPr>
        <w:t>The issue did not begin with Ockham, nor did it remain confined to scholastic classrooms. It entered debates over grace, merit, sacraments, ecclesiastical authority, natural causes, and the reliability of signs. If God was free with respect to every created mediation, no created mediation could claim necessity in its own right. That conclusion could protect divine transcendence from institutional possession. It could also make the world’s order appear less intrinsically legible. The same theological caution that refused to trap God in a chain of causes could place greater pressure on revelation, covenant, command, and instituted promise.</w:t>
      </w:r>
    </w:p>
    <w:p w14:paraId="5F6407FD" w14:textId="77777777" w:rsidR="0078634B" w:rsidRPr="0078634B" w:rsidRDefault="0078634B" w:rsidP="0078634B">
      <w:pPr>
        <w:pStyle w:val="BookBody"/>
      </w:pPr>
      <w:r w:rsidRPr="0078634B">
        <w:rPr>
          <w:szCs w:val="28"/>
        </w:rPr>
        <w:t>This pressure would later meet conflicts that had their own sources: disputes over the sale and administration of sacred benefits, humanist criticism, printing, urban politics, princely power, clerical reform, apocalyptic expectation, local grievances, and new readings of Scripture. Nominalism did not cause the Reformation as one falling tile causes the next. The relation is looser and more consequential. A world already thinking hard about divine freedom encountered reformers who asked which forms God had actually promised to inhabit.</w:t>
      </w:r>
    </w:p>
    <w:p w14:paraId="1B9370B2" w14:textId="77777777" w:rsidR="0078634B" w:rsidRPr="0078634B" w:rsidRDefault="0078634B" w:rsidP="0078634B">
      <w:pPr>
        <w:pStyle w:val="SectionHeading"/>
      </w:pPr>
      <w:r w:rsidRPr="0078634B">
        <w:rPr>
          <w:bCs/>
          <w:szCs w:val="28"/>
        </w:rPr>
        <w:t>One Power, More Than One Order</w:t>
      </w:r>
    </w:p>
    <w:p w14:paraId="025712D7" w14:textId="77777777" w:rsidR="0078634B" w:rsidRPr="0078634B" w:rsidRDefault="0078634B" w:rsidP="0078634B">
      <w:pPr>
        <w:pStyle w:val="BookBody"/>
      </w:pPr>
      <w:r w:rsidRPr="0078634B">
        <w:rPr>
          <w:szCs w:val="28"/>
        </w:rPr>
        <w:t>Ockham’s distinction between God’s absolute and ordained power is often treated as a machine for producing arbitrary worlds. The texts resist that picture. In the first question of his Sixth Quodlibet, Ockham explains that the two powers do not divide God into two agencies. They distinguish ways of speaking about one divine capacity. God can do whatever does not involve contradiction; this is the reach named by absolute power. God acts within the order he has freely instituted; this is ordained power. Once the order is given, action according to it is not disorderly or deceptive. God cannot act “inordinately,” because any divine act is either within the established order or belongs to another order God could establish.</w:t>
      </w:r>
      <w:r w:rsidRPr="0078634B">
        <w:rPr>
          <w:szCs w:val="28"/>
          <w:vertAlign w:val="superscript"/>
        </w:rPr>
        <w:t>5</w:t>
      </w:r>
    </w:p>
    <w:p w14:paraId="617A8218" w14:textId="77777777" w:rsidR="0078634B" w:rsidRPr="0078634B" w:rsidRDefault="0078634B" w:rsidP="0078634B">
      <w:pPr>
        <w:pStyle w:val="BookBody"/>
      </w:pPr>
      <w:r w:rsidRPr="0078634B">
        <w:rPr>
          <w:szCs w:val="28"/>
        </w:rPr>
        <w:t>The distinction is counterfactual before it is miraculous. It asks us to separate what is necessary in itself from what is necessary given an institution. Fire burns under the present order. Grace is given through appointed means under the present order. A sacrament carries a promise because God has attached the promise to it. None of these relations constrains God from above, as though an independent cosmic law governed the Creator. Yet the absence of such constraint does not turn ordinary experience into a lottery. The point of an ordained order is precisely that creatures can rely on what has been instituted.</w:t>
      </w:r>
    </w:p>
    <w:p w14:paraId="33DDB135" w14:textId="77777777" w:rsidR="0078634B" w:rsidRPr="0078634B" w:rsidRDefault="0078634B" w:rsidP="0078634B">
      <w:pPr>
        <w:pStyle w:val="BookBody"/>
      </w:pPr>
      <w:r w:rsidRPr="0078634B">
        <w:rPr>
          <w:szCs w:val="28"/>
        </w:rPr>
        <w:t xml:space="preserve">This is where a common caricature should be refused. Ockham’s absolute power does not name a reserve of arbitrary interruptions constantly threatening the actual world. As discussions in </w:t>
      </w:r>
      <w:r w:rsidRPr="0078634B">
        <w:rPr>
          <w:i/>
          <w:szCs w:val="28"/>
        </w:rPr>
        <w:t>The Cambridge Companion to Ockham</w:t>
      </w:r>
      <w:r w:rsidRPr="0078634B">
        <w:rPr>
          <w:szCs w:val="28"/>
        </w:rPr>
        <w:t xml:space="preserve"> emphasize, everything God actually does is ordained in the broad sense that it belongs to some divine ordering. Absolute power identifies possibilities that are not contradictions but are not part of the order God has in fact willed. God could have instituted otherwise; it does not follow that the institutions now given are unreal.</w:t>
      </w:r>
      <w:r w:rsidRPr="0078634B">
        <w:rPr>
          <w:szCs w:val="28"/>
          <w:vertAlign w:val="superscript"/>
        </w:rPr>
        <w:t>6</w:t>
      </w:r>
    </w:p>
    <w:p w14:paraId="5AE40A9B" w14:textId="77777777" w:rsidR="0078634B" w:rsidRPr="0078634B" w:rsidRDefault="0078634B" w:rsidP="0078634B">
      <w:pPr>
        <w:pStyle w:val="BookBody"/>
      </w:pPr>
      <w:r w:rsidRPr="0078634B">
        <w:rPr>
          <w:szCs w:val="28"/>
        </w:rPr>
        <w:t>The distinction nevertheless changes the weight carried by an institution. Its efficacy cannot be inferred simply from the intrinsic nobility of a created form. It depends finally on divine appointment. In a question on the forgiveness of guilt, Ockham can therefore imagine God remitting guilt without the infusion of created grace. Under the established order, grace has a real role. Under absolute power, God is not metaphysically forced to employ that secondary cause.</w:t>
      </w:r>
      <w:r w:rsidRPr="0078634B">
        <w:rPr>
          <w:szCs w:val="28"/>
          <w:vertAlign w:val="superscript"/>
        </w:rPr>
        <w:t>7</w:t>
      </w:r>
      <w:r w:rsidRPr="0078634B">
        <w:rPr>
          <w:szCs w:val="28"/>
        </w:rPr>
        <w:t xml:space="preserve"> The thought experiment protects freedom by loosening an identification between God’s action and a particular created mechanism.</w:t>
      </w:r>
    </w:p>
    <w:p w14:paraId="7977B9AB" w14:textId="77777777" w:rsidR="0078634B" w:rsidRPr="0078634B" w:rsidRDefault="0078634B" w:rsidP="0078634B">
      <w:pPr>
        <w:pStyle w:val="BookBody"/>
      </w:pPr>
      <w:r w:rsidRPr="0078634B">
        <w:rPr>
          <w:szCs w:val="28"/>
        </w:rPr>
        <w:t>The result is not the abolition of mediation. It is the denial that mediation owns the gift. In this respect Ockham’s distinction can sound like a severe version of a truth already present in Dionysian hierarchy and sacramental theology: every created means receives its power. But there is a difference of emphasis. A participatory account tends to ask how creatures can bear likeness, causality, and purpose because they come from God. Ockham repeatedly asks what must be affirmed if no created structure can prescribe how God must act. The first movement thickens relations of participation; the second tests their contingency.</w:t>
      </w:r>
    </w:p>
    <w:p w14:paraId="011ABB67" w14:textId="77777777" w:rsidR="0078634B" w:rsidRPr="0078634B" w:rsidRDefault="0078634B" w:rsidP="0078634B">
      <w:pPr>
        <w:pStyle w:val="BookBody"/>
      </w:pPr>
      <w:r w:rsidRPr="0078634B">
        <w:rPr>
          <w:szCs w:val="28"/>
        </w:rPr>
        <w:t>That test can be spiritually clarifying. If God could save without this instrument, the instrument cannot convert grace into property. Priest, rite, habit, image, and philosophical explanation must remain subordinate to divine freedom. A church that treats its forms as possessions can be judged by the very contingency it teaches. No created office is God. No sacramental theory exhausts the gift. No cosmology binds the giver.</w:t>
      </w:r>
    </w:p>
    <w:p w14:paraId="79940FA5" w14:textId="77777777" w:rsidR="0078634B" w:rsidRPr="0078634B" w:rsidRDefault="0078634B" w:rsidP="0078634B">
      <w:pPr>
        <w:pStyle w:val="BookBody"/>
      </w:pPr>
      <w:r w:rsidRPr="0078634B">
        <w:rPr>
          <w:szCs w:val="28"/>
        </w:rPr>
        <w:t xml:space="preserve">The same test can also make public order more dependent on positive authorization. If a mediation is not naturally or metaphysically necessary, one must ask whether it has actually been instituted. Scripture, covenant, and command become correspondingly important. A practice defended by inherited fittingness may appear fragile beside a practice supported by an explicit word of Christ. The question shifts from </w:t>
      </w:r>
      <w:r w:rsidRPr="0078634B">
        <w:rPr>
          <w:i/>
          <w:szCs w:val="28"/>
        </w:rPr>
        <w:t>What can this creature participate in?</w:t>
      </w:r>
      <w:r w:rsidRPr="0078634B">
        <w:rPr>
          <w:szCs w:val="28"/>
        </w:rPr>
        <w:t xml:space="preserve"> toward </w:t>
      </w:r>
      <w:r w:rsidRPr="0078634B">
        <w:rPr>
          <w:i/>
          <w:szCs w:val="28"/>
        </w:rPr>
        <w:t>What has God promised to do here?</w:t>
      </w:r>
    </w:p>
    <w:p w14:paraId="402913BF" w14:textId="77777777" w:rsidR="0078634B" w:rsidRPr="0078634B" w:rsidRDefault="0078634B" w:rsidP="0078634B">
      <w:pPr>
        <w:pStyle w:val="BookBody"/>
      </w:pPr>
      <w:r w:rsidRPr="0078634B">
        <w:rPr>
          <w:szCs w:val="28"/>
        </w:rPr>
        <w:t>Ockham’s nominalism should be described with equal care. His rejection of real universals outside the mind does not leave the world populated by unrelated atoms. Horses still resemble horses; fire still heats; causes still act; propositions can still be true. What Ockham denies is that a universal such as humanity or animality must exist as a common thing shared by numerically distinct individuals. Universality belongs to signs and concepts capable of standing for many singulars. The existing world remains ordered, but the order does not require an additional universal entity in each class of beings.</w:t>
      </w:r>
      <w:r w:rsidRPr="0078634B">
        <w:rPr>
          <w:szCs w:val="28"/>
          <w:vertAlign w:val="superscript"/>
        </w:rPr>
        <w:t>8</w:t>
      </w:r>
    </w:p>
    <w:p w14:paraId="02E74D7F" w14:textId="77777777" w:rsidR="0078634B" w:rsidRPr="0078634B" w:rsidRDefault="0078634B" w:rsidP="0078634B">
      <w:pPr>
        <w:pStyle w:val="BookBody"/>
      </w:pPr>
      <w:r w:rsidRPr="0078634B">
        <w:rPr>
          <w:szCs w:val="28"/>
        </w:rPr>
        <w:t>This ontological economy reduces the number of things a theory must posit. It also changes the imagination of intelligibility. Relations, intentions, and common natures cannot always be treated as structures inhabiting things in the manner of their sensible properties. Some belong to the work of signification and thought. That does not make them fictional. It does mean that the path from a singular thing to its universal meaning passes more explicitly through a knowing and sign-using mind.</w:t>
      </w:r>
    </w:p>
    <w:p w14:paraId="7E94C312" w14:textId="77777777" w:rsidR="0078634B" w:rsidRPr="0078634B" w:rsidRDefault="0078634B" w:rsidP="0078634B">
      <w:pPr>
        <w:pStyle w:val="BookBody"/>
      </w:pPr>
      <w:r w:rsidRPr="0078634B">
        <w:rPr>
          <w:szCs w:val="28"/>
        </w:rPr>
        <w:t>Later centuries would develop atomisms, mechanisms, and voluntarisms that should not be read backward into Ockham. Scholars have repeatedly warned against making him the solitary father of a modern world he neither envisioned nor desired.</w:t>
      </w:r>
      <w:r w:rsidRPr="0078634B">
        <w:rPr>
          <w:szCs w:val="28"/>
          <w:vertAlign w:val="superscript"/>
        </w:rPr>
        <w:t>9</w:t>
      </w:r>
      <w:r w:rsidRPr="0078634B">
        <w:rPr>
          <w:szCs w:val="28"/>
        </w:rPr>
        <w:t xml:space="preserve"> His theology remains Christian, sacramental, ecclesial, and committed to an actual order. But his distinctions place a durable pressure within the medieval architecture: no observed order reveals all that God could do, no created cause is indispensable to divine action, and no universal needs to be a second thing dwelling inside singulars.</w:t>
      </w:r>
    </w:p>
    <w:p w14:paraId="2C0C83C0" w14:textId="77777777" w:rsidR="0078634B" w:rsidRPr="0078634B" w:rsidRDefault="0078634B" w:rsidP="0078634B">
      <w:pPr>
        <w:pStyle w:val="BookBody"/>
      </w:pPr>
      <w:r w:rsidRPr="0078634B">
        <w:rPr>
          <w:szCs w:val="28"/>
        </w:rPr>
        <w:t>Hans Blumenberg used the phrase “theological absolutism” for the crisis generated when divine sovereignty seemed to outrun human access to the rationality of creation. His account is valuable if it names a problem, not if it becomes a genealogy in which Ockham produces modernity by himself. Blumenberg’s larger argument opposes the claim that the modern age is merely Christian theology with its sacred contents removed. Modern self-assertion, in his account, answered questions intensified by late-medieval theology; it was not simply stolen religious substance wearing secular clothes.</w:t>
      </w:r>
      <w:r w:rsidRPr="0078634B">
        <w:rPr>
          <w:szCs w:val="28"/>
          <w:vertAlign w:val="superscript"/>
        </w:rPr>
        <w:t>10</w:t>
      </w:r>
      <w:r w:rsidRPr="0078634B">
        <w:rPr>
          <w:szCs w:val="28"/>
        </w:rPr>
        <w:t xml:space="preserve"> The distinction helps here. Continuity of problems does not require a single line of causation.</w:t>
      </w:r>
    </w:p>
    <w:p w14:paraId="7727310B" w14:textId="77777777" w:rsidR="0078634B" w:rsidRPr="0078634B" w:rsidRDefault="0078634B" w:rsidP="0078634B">
      <w:pPr>
        <w:pStyle w:val="BookBody"/>
      </w:pPr>
      <w:r w:rsidRPr="0078634B">
        <w:rPr>
          <w:szCs w:val="28"/>
        </w:rPr>
        <w:t>The world after Ockham was not less real. It was more visibly dependent on a freedom exceeding every picture of its order. The question that would become explosive in the sixteenth century was which dependencies could be trusted in common.</w:t>
      </w:r>
    </w:p>
    <w:p w14:paraId="35915A19" w14:textId="77777777" w:rsidR="0078634B" w:rsidRPr="0078634B" w:rsidRDefault="0078634B" w:rsidP="0078634B">
      <w:pPr>
        <w:pStyle w:val="SectionHeading"/>
      </w:pPr>
      <w:r w:rsidRPr="0078634B">
        <w:rPr>
          <w:bCs/>
          <w:szCs w:val="28"/>
        </w:rPr>
        <w:t>The Host Becomes a Question</w:t>
      </w:r>
    </w:p>
    <w:p w14:paraId="243A4886" w14:textId="77777777" w:rsidR="0078634B" w:rsidRPr="0078634B" w:rsidRDefault="0078634B" w:rsidP="0078634B">
      <w:pPr>
        <w:pStyle w:val="BookBody"/>
      </w:pPr>
      <w:r w:rsidRPr="0078634B">
        <w:rPr>
          <w:szCs w:val="28"/>
        </w:rPr>
        <w:t>No object placed more pressure on that question than the consecrated host. In late-medieval worship the host was bread and not-bread, visible accident and invisible substance, food and sacrifice, Christ’s body and a small white disc elevated before distant eyes. Bells announced the moment of consecration. Bodies knelt. Eyes sought a glimpse. Processions carried the host beyond the altar and through streets, while miracle stories gathered around hosts that bled, survived fire, changed appearance, or punished abuse.</w:t>
      </w:r>
      <w:r w:rsidRPr="0078634B">
        <w:rPr>
          <w:szCs w:val="28"/>
          <w:vertAlign w:val="superscript"/>
        </w:rPr>
        <w:t>11</w:t>
      </w:r>
    </w:p>
    <w:p w14:paraId="6AFD158B" w14:textId="77777777" w:rsidR="0078634B" w:rsidRPr="0078634B" w:rsidRDefault="0078634B" w:rsidP="0078634B">
      <w:pPr>
        <w:pStyle w:val="BookBody"/>
      </w:pPr>
      <w:r w:rsidRPr="0078634B">
        <w:rPr>
          <w:szCs w:val="28"/>
        </w:rPr>
        <w:t>Elevation had turned vision itself into a form of approach. Many laypeople communicated sacramentally only at required intervals, but they could hear Mass often and see the raised host. Architecture directed that desire. Squints cut through chancel walls opened lines of sight toward the altar; screens both separated and framed; lights marked the place of reservation; bells carried the consecratory instant beyond the vision of those present. The host was a material point from which several sensory paths radiated.</w:t>
      </w:r>
    </w:p>
    <w:p w14:paraId="0A305FAC" w14:textId="77777777" w:rsidR="0078634B" w:rsidRPr="0078634B" w:rsidRDefault="0078634B" w:rsidP="0078634B">
      <w:pPr>
        <w:pStyle w:val="BookBody"/>
      </w:pPr>
      <w:r w:rsidRPr="0078634B">
        <w:rPr>
          <w:szCs w:val="28"/>
        </w:rPr>
        <w:t>Those paths joined more than individual devotion. Masses were endowed for the dead, offered for particular needs, and multiplied at side altars. Guilds and fraternities maintained lights and observances. Corpus Christi placed the sacrament within civic sequence, often arranging bodies by office and rank as the procession moved. The Eucharist did not simply occupy the center of doctrine. It coordinated economies of memory, charity, prestige, intercession, and government.</w:t>
      </w:r>
    </w:p>
    <w:p w14:paraId="7CD30BCB" w14:textId="77777777" w:rsidR="0078634B" w:rsidRPr="0078634B" w:rsidRDefault="0078634B" w:rsidP="0078634B">
      <w:pPr>
        <w:pStyle w:val="BookBody"/>
      </w:pPr>
      <w:r w:rsidRPr="0078634B">
        <w:rPr>
          <w:szCs w:val="28"/>
        </w:rPr>
        <w:t>The doctrine of transubstantiation did not mean that bread became a divine material in the manner imagined by every hostile parody. It named a conversion of substance while the sensible appearances of bread and wine remained. The metaphysical precision arose partly to protect the claim that Christ was truly present without making ordinary eating a gross consumption of flesh. Yet devotional practice could exceed scholastic distinctions. The host became a center of visual desire, civic procession, endowment, anxiety, exclusion, and accusation. Miri Rubin has shown how Corpus Christi could create solidarity while sharpening boundaries against those, especially Jews, imagined as enemies of the sacrament.</w:t>
      </w:r>
      <w:r w:rsidRPr="0078634B">
        <w:rPr>
          <w:szCs w:val="28"/>
          <w:vertAlign w:val="superscript"/>
        </w:rPr>
        <w:t>12</w:t>
      </w:r>
    </w:p>
    <w:p w14:paraId="4778616F" w14:textId="77777777" w:rsidR="0078634B" w:rsidRPr="0078634B" w:rsidRDefault="0078634B" w:rsidP="0078634B">
      <w:pPr>
        <w:pStyle w:val="BookBody"/>
      </w:pPr>
      <w:r w:rsidRPr="0078634B">
        <w:rPr>
          <w:szCs w:val="28"/>
        </w:rPr>
        <w:t>The host therefore held together several levels of the public world. It joined Last Supper, crucifixion, risen body, priestly action, urban ceremony, gifts for the dead, neighborhood order, and the matter of bread. Gary Macy calls the late-medieval inheritance a complex of interlocking theology and practice rather than one doctrine applied uniformly from above. The sixteenth-century dispute dismantled that complex into questions that had once been held together: What was present? Where was it present? By whose words? For whom? Was the Mass a sacrifice offered by a priest, a testament received by faith, a communal meal, a memorial, a spiritual feeding, or some combination that excluded the others?</w:t>
      </w:r>
      <w:r w:rsidRPr="0078634B">
        <w:rPr>
          <w:szCs w:val="28"/>
          <w:vertAlign w:val="superscript"/>
        </w:rPr>
        <w:t>13</w:t>
      </w:r>
    </w:p>
    <w:p w14:paraId="703EAE5F" w14:textId="77777777" w:rsidR="0078634B" w:rsidRPr="0078634B" w:rsidRDefault="0078634B" w:rsidP="0078634B">
      <w:pPr>
        <w:pStyle w:val="BookBody"/>
      </w:pPr>
      <w:r w:rsidRPr="0078634B">
        <w:rPr>
          <w:szCs w:val="28"/>
        </w:rPr>
        <w:t>These were not refinements within an untouched ceremony. Ordinary people saw answers in changed frequency, changed furniture, changed posture, changed admission, changed language, and changed sound. The high altar might remain, be simplified, be removed, or be replaced by a table. The priest might face the altar, the people, or a different liturgical arrangement. The laity might receive the cup as well as the bread. Communion might become less frequent in some Reformed churches even as preaching and discipline around it intensified. Images might remain beside the sacrament in Lutheran lands and disappear in Reformed ones.</w:t>
      </w:r>
      <w:r w:rsidRPr="0078634B">
        <w:rPr>
          <w:szCs w:val="28"/>
          <w:vertAlign w:val="superscript"/>
        </w:rPr>
        <w:t>14</w:t>
      </w:r>
    </w:p>
    <w:p w14:paraId="2FB4648E" w14:textId="77777777" w:rsidR="0078634B" w:rsidRPr="0078634B" w:rsidRDefault="0078634B" w:rsidP="0078634B">
      <w:pPr>
        <w:pStyle w:val="BookBody"/>
      </w:pPr>
      <w:r w:rsidRPr="0078634B">
        <w:rPr>
          <w:szCs w:val="28"/>
        </w:rPr>
        <w:t>The dispute was also a dispute over scale. Could Christ’s presence attach to the reserved element outside the act of eating? Could the Mass benefit an absent or dead person? Could one priest’s action become a good offered for another? Could the sacrament sanctify a route through town, or was it instituted only for a gathered meal? Every answer drew a boundary around the promise. Practices once coordinated within one eucharistic world were sorted into command and invention, use and abuse, sacrament and spectacle.</w:t>
      </w:r>
    </w:p>
    <w:p w14:paraId="368260BF" w14:textId="77777777" w:rsidR="0078634B" w:rsidRPr="0078634B" w:rsidRDefault="0078634B" w:rsidP="0078634B">
      <w:pPr>
        <w:pStyle w:val="BookBody"/>
      </w:pPr>
      <w:r w:rsidRPr="0078634B">
        <w:rPr>
          <w:szCs w:val="28"/>
        </w:rPr>
        <w:t>The host became a question because its old public density no longer guaranteed agreement. Yet the alternatives were not presence and absence. They were rival accounts of how Christ’s promise becomes present without being possessed by matter, priest, institution, memory, or mind.</w:t>
      </w:r>
    </w:p>
    <w:p w14:paraId="42C64BF7" w14:textId="77777777" w:rsidR="0078634B" w:rsidRPr="0078634B" w:rsidRDefault="0078634B" w:rsidP="0078634B">
      <w:pPr>
        <w:pStyle w:val="SectionHeading"/>
      </w:pPr>
      <w:r w:rsidRPr="0078634B">
        <w:rPr>
          <w:bCs/>
          <w:szCs w:val="28"/>
        </w:rPr>
        <w:t>Luther's Promise in the Bread</w:t>
      </w:r>
    </w:p>
    <w:p w14:paraId="4C5D0EA2" w14:textId="77777777" w:rsidR="0078634B" w:rsidRPr="0078634B" w:rsidRDefault="0078634B" w:rsidP="0078634B">
      <w:pPr>
        <w:pStyle w:val="BookBody"/>
      </w:pPr>
      <w:r w:rsidRPr="0078634B">
        <w:rPr>
          <w:szCs w:val="28"/>
        </w:rPr>
        <w:t xml:space="preserve">Luther attacked the late-medieval Mass with language capable of sounding like demolition. In </w:t>
      </w:r>
      <w:r w:rsidRPr="0078634B">
        <w:rPr>
          <w:i/>
          <w:szCs w:val="28"/>
        </w:rPr>
        <w:t>The Babylonian Captivity of the Church</w:t>
      </w:r>
      <w:r w:rsidRPr="0078634B">
        <w:rPr>
          <w:szCs w:val="28"/>
        </w:rPr>
        <w:t xml:space="preserve"> he rejected the denial of the cup to the laity, challenged transubstantiation as a required explanation, and condemned the treatment of the Mass as a work or sacrifice offered to acquire benefits for the living and the dead. The commercial and juridical machinery surrounding endowed masses seemed to him to turn gift into transaction. Yet his center was not absence. It was promise.</w:t>
      </w:r>
      <w:r w:rsidRPr="0078634B">
        <w:rPr>
          <w:szCs w:val="28"/>
          <w:vertAlign w:val="superscript"/>
        </w:rPr>
        <w:t>15</w:t>
      </w:r>
    </w:p>
    <w:p w14:paraId="290736C4" w14:textId="77777777" w:rsidR="0078634B" w:rsidRPr="0078634B" w:rsidRDefault="0078634B" w:rsidP="0078634B">
      <w:pPr>
        <w:pStyle w:val="BookBody"/>
      </w:pPr>
      <w:r w:rsidRPr="0078634B">
        <w:rPr>
          <w:szCs w:val="28"/>
        </w:rPr>
        <w:t>“Given for you” and “shed for you” made the sacrament a testament. Bread and wine were not human offerings climbing toward God but signs joined to Christ’s word descending toward the believer. Faith did not manufacture the gift. It received what the promise gave. Luther’s criticism of sacrificial language therefore reoriented the action: from a priestly work rendered to God toward Christ’s bequest delivered to those who hear and eat.</w:t>
      </w:r>
    </w:p>
    <w:p w14:paraId="14CCD5D9" w14:textId="77777777" w:rsidR="0078634B" w:rsidRPr="0078634B" w:rsidRDefault="0078634B" w:rsidP="0078634B">
      <w:pPr>
        <w:pStyle w:val="BookBody"/>
      </w:pPr>
      <w:r w:rsidRPr="0078634B">
        <w:rPr>
          <w:szCs w:val="28"/>
        </w:rPr>
        <w:t>This reorientation could be called a theology of institution in Ockham’s broad sense, though Luther’s sources and aims were his own. The bread bears Christ not because matter contains an automatic ladder to divinity, and not because a metaphysical account has made the conversion intelligible. It bears Christ because Christ’s words appoint it. The promise is external to the believer and therefore able to address fear, doubt, and self-accusation. One does not climb through the sign into a hidden order. One is met by a word attached to a creature.</w:t>
      </w:r>
    </w:p>
    <w:p w14:paraId="113494BE" w14:textId="77777777" w:rsidR="0078634B" w:rsidRPr="0078634B" w:rsidRDefault="0078634B" w:rsidP="0078634B">
      <w:pPr>
        <w:pStyle w:val="BookBody"/>
      </w:pPr>
      <w:r w:rsidRPr="0078634B">
        <w:rPr>
          <w:szCs w:val="28"/>
        </w:rPr>
        <w:t>Luther consequently defended Christ’s bodily presence with extraordinary tenacity. Against Zwingli he refused to make “is” mean only “signifies.” He rejected transubstantiation as a philosophical necessity while affirming that Christ gives his true body and blood in, with, and under bread and wine. The elements were not empty tokens waiting for memory to animate them. Nor did the unworthiness of a communicant erase Christ’s presence. The sacrament’s objectivity rested on divine speech, not on the intensity of individual experience.</w:t>
      </w:r>
      <w:r w:rsidRPr="0078634B">
        <w:rPr>
          <w:szCs w:val="28"/>
          <w:vertAlign w:val="superscript"/>
        </w:rPr>
        <w:t>16</w:t>
      </w:r>
    </w:p>
    <w:p w14:paraId="293AE543" w14:textId="77777777" w:rsidR="0078634B" w:rsidRPr="0078634B" w:rsidRDefault="0078634B" w:rsidP="0078634B">
      <w:pPr>
        <w:pStyle w:val="BookBody"/>
      </w:pPr>
      <w:r w:rsidRPr="0078634B">
        <w:rPr>
          <w:szCs w:val="28"/>
        </w:rPr>
        <w:t>The material world in this account is neither self-sufficient nor evacuated. Bread remains bread and becomes the bearer of a promise it cannot generate. Divine freedom and material specificity meet in institution. A creature is most trustworthy not when its intrinsic structure discloses every level of being, but when God has pledged to use it. Presence is concentrated.</w:t>
      </w:r>
    </w:p>
    <w:p w14:paraId="537A0392" w14:textId="77777777" w:rsidR="0078634B" w:rsidRPr="0078634B" w:rsidRDefault="0078634B" w:rsidP="0078634B">
      <w:pPr>
        <w:pStyle w:val="BookBody"/>
      </w:pPr>
      <w:r w:rsidRPr="0078634B">
        <w:rPr>
          <w:szCs w:val="28"/>
        </w:rPr>
        <w:t>The concentration had destructive implications for the old sacramental ecology. If Christ’s promise identifies the sacrament, practices without such authorization could be condemned as additions, evasions, or abuses. Private masses, eucharistic commerce, reservation for adoration, and sacrificial understandings came under attack. The host was drawn back toward eating and drinking in a gathered congregation. The audible words of institution became more important than the visual climax of elevation.</w:t>
      </w:r>
    </w:p>
    <w:p w14:paraId="0AE7D5C7" w14:textId="77777777" w:rsidR="0078634B" w:rsidRPr="0078634B" w:rsidRDefault="0078634B" w:rsidP="0078634B">
      <w:pPr>
        <w:pStyle w:val="BookBody"/>
      </w:pPr>
      <w:r w:rsidRPr="0078634B">
        <w:rPr>
          <w:szCs w:val="28"/>
        </w:rPr>
        <w:t>Yet Lutheran reform was not simply a campaign for empty churches. Luther opposed Karlstadt’s precipitate iconoclasm at Wittenberg and insisted that images were not dangerous in themselves. An image could aid memory or instruction; idolatry arose from false trust and use. Ceremonies such as candles, vestments, music, and inherited calendar readings could remain where they did not bind conscience or obscure the gospel. Thomas Schattauer’s account of Lutheran eucharistic practice accordingly describes change from sacrifice to Supper, but also a cautious and uneven adaptation of inherited forms.</w:t>
      </w:r>
      <w:r w:rsidRPr="0078634B">
        <w:rPr>
          <w:szCs w:val="28"/>
          <w:vertAlign w:val="superscript"/>
        </w:rPr>
        <w:t>17</w:t>
      </w:r>
    </w:p>
    <w:p w14:paraId="7B00EFAF" w14:textId="77777777" w:rsidR="0078634B" w:rsidRPr="0078634B" w:rsidRDefault="0078634B" w:rsidP="0078634B">
      <w:pPr>
        <w:pStyle w:val="BookBody"/>
      </w:pPr>
      <w:r w:rsidRPr="0078634B">
        <w:rPr>
          <w:szCs w:val="28"/>
        </w:rPr>
        <w:t>This combination matters. The Lutheran church did not cross a universal threshold from sacrament to symbol, matter to meaning, or ritual to inwardness. It redistributed weight among word, element, faith, congregation, and inherited ceremony. Music could intensify; vernacular preaching could reorganize attention; altarpieces could survive and acquire new programs; the cup could return to the laity; the elevation could disappear while bodily presence remained.</w:t>
      </w:r>
    </w:p>
    <w:p w14:paraId="6DF7F5D9" w14:textId="77777777" w:rsidR="0078634B" w:rsidRPr="0078634B" w:rsidRDefault="0078634B" w:rsidP="0078634B">
      <w:pPr>
        <w:pStyle w:val="BookBody"/>
      </w:pPr>
      <w:r w:rsidRPr="0078634B">
        <w:rPr>
          <w:szCs w:val="28"/>
        </w:rPr>
        <w:t>For a parishioner, the same bread now belonged to another story. It was no longer to be carried as a civic body through Corpus Christi streets or accumulated through privately endowed masses. It was to be eaten as Christ’s testament within an assembly hearing the promise. The change narrowed one geography of presence and deepened another. The host did not become less real. Its reality became inseparable from a disputed sentence.</w:t>
      </w:r>
    </w:p>
    <w:p w14:paraId="5C9F679D" w14:textId="77777777" w:rsidR="0078634B" w:rsidRPr="0078634B" w:rsidRDefault="0078634B" w:rsidP="0078634B">
      <w:pPr>
        <w:pStyle w:val="SectionHeading"/>
      </w:pPr>
      <w:r w:rsidRPr="0078634B">
        <w:rPr>
          <w:bCs/>
          <w:szCs w:val="28"/>
        </w:rPr>
        <w:t>Three Suppers, No Common Table</w:t>
      </w:r>
    </w:p>
    <w:p w14:paraId="6A56CD85" w14:textId="77777777" w:rsidR="0078634B" w:rsidRPr="0078634B" w:rsidRDefault="0078634B" w:rsidP="0078634B">
      <w:pPr>
        <w:pStyle w:val="BookBody"/>
      </w:pPr>
      <w:r w:rsidRPr="0078634B">
        <w:rPr>
          <w:szCs w:val="28"/>
        </w:rPr>
        <w:t xml:space="preserve">The breach between Luther and Zwingli showed how little the word </w:t>
      </w:r>
      <w:r w:rsidRPr="0078634B">
        <w:rPr>
          <w:i/>
          <w:szCs w:val="28"/>
        </w:rPr>
        <w:t>reform</w:t>
      </w:r>
      <w:r w:rsidRPr="0078634B">
        <w:rPr>
          <w:szCs w:val="28"/>
        </w:rPr>
        <w:t xml:space="preserve"> could guarantee a common sacramental world. At Marburg in 1529 the two reformers agreed on many articles but not on the Supper. Their disagreement is often arranged as a simple opposition between literal and symbolic meanings. That opposition obscures the different forms of presence each man was trying to defend.</w:t>
      </w:r>
    </w:p>
    <w:p w14:paraId="1F175F34" w14:textId="77777777" w:rsidR="0078634B" w:rsidRPr="0078634B" w:rsidRDefault="0078634B" w:rsidP="0078634B">
      <w:pPr>
        <w:pStyle w:val="BookBody"/>
      </w:pPr>
      <w:r w:rsidRPr="0078634B">
        <w:rPr>
          <w:szCs w:val="28"/>
        </w:rPr>
        <w:t>Zwingli insisted that Christ’s ascended body was at the right hand of the Father and could not be locally enclosed in bread. “This is my body” should be read sacramentally: the bread signifies the body and the action commemorates Christ’s once-for-all death. But commemoration was not a weak mental copy of an absent event. In Zwingli’s mature account the Supper joined word, visible sign, thanksgiving, confession, memory, and the corporate body of believers. Carrie Euler stresses that the bread and wine were not empty memorials. They resembled what they signified and were affectively and spiritually joined to the reality confessed by the community.</w:t>
      </w:r>
      <w:r w:rsidRPr="0078634B">
        <w:rPr>
          <w:szCs w:val="28"/>
          <w:vertAlign w:val="superscript"/>
        </w:rPr>
        <w:t>18</w:t>
      </w:r>
    </w:p>
    <w:p w14:paraId="5EAC1958" w14:textId="77777777" w:rsidR="0078634B" w:rsidRPr="0078634B" w:rsidRDefault="0078634B" w:rsidP="0078634B">
      <w:pPr>
        <w:pStyle w:val="BookBody"/>
      </w:pPr>
      <w:r w:rsidRPr="0078634B">
        <w:rPr>
          <w:szCs w:val="28"/>
        </w:rPr>
        <w:t>This account changed the direction of sacramental attention. Luther located Christ’s body with the elements because the promise said so. Zwingli located Christ’s body in heaven and treated the elements as signs that publicly bound believers to the saving event and to one another. The Supper made a confession visible. Its efficacy could not be isolated as a physical power residing in consecrated matter.</w:t>
      </w:r>
    </w:p>
    <w:p w14:paraId="0B551B71" w14:textId="77777777" w:rsidR="0078634B" w:rsidRPr="0078634B" w:rsidRDefault="0078634B" w:rsidP="0078634B">
      <w:pPr>
        <w:pStyle w:val="BookBody"/>
      </w:pPr>
      <w:r w:rsidRPr="0078634B">
        <w:rPr>
          <w:szCs w:val="28"/>
        </w:rPr>
        <w:t>Heinrich Bullinger inherited Zwingli’s refusal of a bodily presence in the bread but spoke strongly of a spiritual, divine, and life-giving presence. The Holy Spirit did not leave worshipers with mere recollection. The sacrament confirmed and enacted communion with Christ. Here again a material sign was not nothing. It was trustworthy within the action God had authorized, but the location and mode of the gift were carefully distinguished from the substance of bread.</w:t>
      </w:r>
      <w:r w:rsidRPr="0078634B">
        <w:rPr>
          <w:szCs w:val="28"/>
          <w:vertAlign w:val="superscript"/>
        </w:rPr>
        <w:t>19</w:t>
      </w:r>
    </w:p>
    <w:p w14:paraId="5B0A62B0" w14:textId="77777777" w:rsidR="0078634B" w:rsidRPr="0078634B" w:rsidRDefault="0078634B" w:rsidP="0078634B">
      <w:pPr>
        <w:pStyle w:val="BookBody"/>
      </w:pPr>
      <w:r w:rsidRPr="0078634B">
        <w:rPr>
          <w:szCs w:val="28"/>
        </w:rPr>
        <w:t>Calvin developed a third account. He rejected both a local enclosure of Christ’s body in the elements and a reduction of the sacrament to human remembrance. The Spirit was the bond of participation. Bread and wine were instruments through which God truly offered what they signified; believers were lifted to Christ, not because their imaginations escaped matter, but because the Spirit joined what spatial distance divided. Calvin could therefore say that Christ himself was the matter or substance of the Supper while denying that his body descended into the bread.</w:t>
      </w:r>
      <w:r w:rsidRPr="0078634B">
        <w:rPr>
          <w:szCs w:val="28"/>
          <w:vertAlign w:val="superscript"/>
        </w:rPr>
        <w:t>20</w:t>
      </w:r>
    </w:p>
    <w:p w14:paraId="3878F352" w14:textId="77777777" w:rsidR="0078634B" w:rsidRPr="0078634B" w:rsidRDefault="0078634B" w:rsidP="0078634B">
      <w:pPr>
        <w:pStyle w:val="BookBody"/>
      </w:pPr>
      <w:r w:rsidRPr="0078634B">
        <w:rPr>
          <w:szCs w:val="28"/>
        </w:rPr>
        <w:t>The language of ascent in Calvin reverses the late-medieval elevation of the host. Eyes no longer seek Christ by watching a consecrated disc raised above the altar. Hearts are lifted toward the ascended Christ, while the elements seal and communicate the promise. The motion is spiritual without being unreal. Indeed Calvin’s argument depends on the Spirit’s power to effect a union beyond the capacities of local bodies.</w:t>
      </w:r>
    </w:p>
    <w:p w14:paraId="131B7486" w14:textId="77777777" w:rsidR="0078634B" w:rsidRPr="0078634B" w:rsidRDefault="0078634B" w:rsidP="0078634B">
      <w:pPr>
        <w:pStyle w:val="BookBody"/>
      </w:pPr>
      <w:r w:rsidRPr="0078634B">
        <w:rPr>
          <w:szCs w:val="28"/>
        </w:rPr>
        <w:t>Reformed practice gave this theology a social edge. Communion was embedded within worship centered on Scripture, prayer, and psalmody. Admission could require catechetical knowledge, moral examination, and reconciliation. The table that appeared less sacred as an object could become more demanding as a communal threshold. Raymond Mentzer’s account of Reformed liturgies shows how fencing the table and supervising conduct made the Supper an instrument of ecclesial discipline as well as spiritual nourishment.</w:t>
      </w:r>
      <w:r w:rsidRPr="0078634B">
        <w:rPr>
          <w:szCs w:val="28"/>
          <w:vertAlign w:val="superscript"/>
        </w:rPr>
        <w:t>21</w:t>
      </w:r>
    </w:p>
    <w:p w14:paraId="1F51E317" w14:textId="77777777" w:rsidR="0078634B" w:rsidRPr="0078634B" w:rsidRDefault="0078634B" w:rsidP="0078634B">
      <w:pPr>
        <w:pStyle w:val="BookBody"/>
      </w:pPr>
      <w:r w:rsidRPr="0078634B">
        <w:rPr>
          <w:szCs w:val="28"/>
        </w:rPr>
        <w:t>Thus a simplified rite was not necessarily a privatized one. The removal of altars, images, vestments, elevations, and side chapels could be accompanied by intensified oversight of bodies and relationships. A parishioner was asked not simply, “What do you believe happens to the bread?” but “Do you understand the faith, live without public scandal, and stand reconciled to your neighbor?” Less sacral density in the object could mean more confessional density in the congregation.</w:t>
      </w:r>
    </w:p>
    <w:p w14:paraId="2381BBDB" w14:textId="77777777" w:rsidR="0078634B" w:rsidRPr="0078634B" w:rsidRDefault="0078634B" w:rsidP="0078634B">
      <w:pPr>
        <w:pStyle w:val="BookBody"/>
      </w:pPr>
      <w:r w:rsidRPr="0078634B">
        <w:rPr>
          <w:szCs w:val="28"/>
        </w:rPr>
        <w:t>The divisions also reorganized time. Zwingli’s Zurich observed the Supper only at appointed times during the year rather than making the Mass the repeated center of daily worship. Calvin desired more frequent communion than Geneva’s civic authorities allowed, but the quarterly pattern that prevailed made each celebration an exceptional act of corporate accounting. Lutheran territories retained more of the inherited liturgical year and a stronger sacramental frequency. Catholic reform defended transubstantiation, sacrifice, and adoration while also disciplining abuses and regularizing practice through Trent and its reception.</w:t>
      </w:r>
      <w:r w:rsidRPr="0078634B">
        <w:rPr>
          <w:szCs w:val="28"/>
          <w:vertAlign w:val="superscript"/>
        </w:rPr>
        <w:t>22</w:t>
      </w:r>
    </w:p>
    <w:p w14:paraId="43107383" w14:textId="77777777" w:rsidR="0078634B" w:rsidRPr="0078634B" w:rsidRDefault="0078634B" w:rsidP="0078634B">
      <w:pPr>
        <w:pStyle w:val="BookBody"/>
      </w:pPr>
      <w:r w:rsidRPr="0078634B">
        <w:rPr>
          <w:szCs w:val="28"/>
        </w:rPr>
        <w:t>One town could therefore hear that Christ’s body was truly in the Supper, another that believers truly participated by the Spirit, another that the meal was a public memorial and pledge, and another that bread and wine became Christ’s body and blood by consecration. All appealed to Christ. All used bread and wine. All denied that they were inventing a new religion. Yet they could not eat together.</w:t>
      </w:r>
    </w:p>
    <w:p w14:paraId="692C2FD8" w14:textId="77777777" w:rsidR="0078634B" w:rsidRPr="0078634B" w:rsidRDefault="0078634B" w:rsidP="0078634B">
      <w:pPr>
        <w:pStyle w:val="BookBody"/>
      </w:pPr>
      <w:r w:rsidRPr="0078634B">
        <w:rPr>
          <w:szCs w:val="28"/>
        </w:rPr>
        <w:t>The broken table is one of the decisive material facts of the period. Doctrinal disagreement became visible as separated congregations, rival buildings, barred communicants, changed gestures, and competing calendars. Christianity did not withdraw from matter. It multiplied incompatible ways in which matter could be Christian.</w:t>
      </w:r>
    </w:p>
    <w:p w14:paraId="5F3467B4" w14:textId="77777777" w:rsidR="0078634B" w:rsidRPr="0078634B" w:rsidRDefault="0078634B" w:rsidP="0078634B">
      <w:pPr>
        <w:pStyle w:val="SectionHeading"/>
      </w:pPr>
      <w:r w:rsidRPr="0078634B">
        <w:rPr>
          <w:bCs/>
          <w:szCs w:val="28"/>
        </w:rPr>
        <w:t>When an Image Becomes an Idol</w:t>
      </w:r>
    </w:p>
    <w:p w14:paraId="787B565A" w14:textId="77777777" w:rsidR="0078634B" w:rsidRPr="0078634B" w:rsidRDefault="0078634B" w:rsidP="0078634B">
      <w:pPr>
        <w:pStyle w:val="BookBody"/>
      </w:pPr>
      <w:r w:rsidRPr="0078634B">
        <w:rPr>
          <w:szCs w:val="28"/>
        </w:rPr>
        <w:t xml:space="preserve">Carlos Eire begins </w:t>
      </w:r>
      <w:r w:rsidRPr="0078634B">
        <w:rPr>
          <w:i/>
          <w:szCs w:val="28"/>
        </w:rPr>
        <w:t>War Against the Idols</w:t>
      </w:r>
      <w:r w:rsidRPr="0078634B">
        <w:rPr>
          <w:szCs w:val="28"/>
        </w:rPr>
        <w:t xml:space="preserve"> with a transformation in religious naming. Practices that earlier critics might have called excessive, superstitious, or corrupt were attacked by Reformed Protestants as idolatry: not flawed worship but false worship. Where reformers gained sufficient power, the change in name authorized material action—images broken or burned, relics destroyed, sanctuaries profaned, altars overturned, and consecrated hosts subjected to acts meant to expose their impotence.</w:t>
      </w:r>
      <w:r w:rsidRPr="0078634B">
        <w:rPr>
          <w:szCs w:val="28"/>
          <w:vertAlign w:val="superscript"/>
        </w:rPr>
        <w:t>23</w:t>
      </w:r>
    </w:p>
    <w:p w14:paraId="2EACC577" w14:textId="77777777" w:rsidR="0078634B" w:rsidRPr="0078634B" w:rsidRDefault="0078634B" w:rsidP="0078634B">
      <w:pPr>
        <w:pStyle w:val="BookBody"/>
      </w:pPr>
      <w:r w:rsidRPr="0078634B">
        <w:rPr>
          <w:szCs w:val="28"/>
        </w:rPr>
        <w:t>“Idol” was never a neutral description of an object. It was a judgment about a relation. Catholics condemned idolatry too; they denied that honor shown to a saint through an image terminated in wood or stone. Reformed critics replied that bodily gestures, offerings, processions, and expectations told another story. To kneel before an image, to seek healing at a shrine, or to treat a relic as a channel of power appeared to give the creature what belonged to God.</w:t>
      </w:r>
    </w:p>
    <w:p w14:paraId="352028FE" w14:textId="77777777" w:rsidR="0078634B" w:rsidRPr="0078634B" w:rsidRDefault="0078634B" w:rsidP="0078634B">
      <w:pPr>
        <w:pStyle w:val="BookBody"/>
      </w:pPr>
      <w:r w:rsidRPr="0078634B">
        <w:rPr>
          <w:szCs w:val="28"/>
        </w:rPr>
        <w:t>The dispute therefore concerned reverence as much as representation. An image could be defended as a book for the unlearned, a memorial, a likeness, an adornment, or an instrument that raised affection toward its prototype. The critic could answer that such explanations could not govern how the object actually functioned. Gifts accumulated; bodies knelt; miracles were reported; local identity attached itself to a particular figure. A conceptual distinction between honor and worship did not prevent devotion from appearing materially indistinguishable from idolatry.</w:t>
      </w:r>
    </w:p>
    <w:p w14:paraId="2DD16C0B" w14:textId="77777777" w:rsidR="0078634B" w:rsidRPr="0078634B" w:rsidRDefault="0078634B" w:rsidP="0078634B">
      <w:pPr>
        <w:pStyle w:val="BookBody"/>
      </w:pPr>
      <w:r w:rsidRPr="0078634B">
        <w:rPr>
          <w:szCs w:val="28"/>
        </w:rPr>
        <w:t>Eire calls idolatry a fighting word because it presupposes a definition of true and false religion that the object itself cannot supply. The rood at Dovercourt did not carry an inscription saying whether veneration passed through it or stopped at it. Its meaning lived in practices and in judgments about those practices. When judges, bishops, magistrates, preachers, parishioners, and clandestine iconoclasts disagreed, the object became the site of jurisdiction.</w:t>
      </w:r>
      <w:r w:rsidRPr="0078634B">
        <w:rPr>
          <w:szCs w:val="28"/>
          <w:vertAlign w:val="superscript"/>
        </w:rPr>
        <w:t>24</w:t>
      </w:r>
    </w:p>
    <w:p w14:paraId="562ABEAE" w14:textId="77777777" w:rsidR="0078634B" w:rsidRPr="0078634B" w:rsidRDefault="0078634B" w:rsidP="0078634B">
      <w:pPr>
        <w:pStyle w:val="BookBody"/>
      </w:pPr>
      <w:r w:rsidRPr="0078634B">
        <w:rPr>
          <w:szCs w:val="28"/>
        </w:rPr>
        <w:t>Luther’s response to image destruction at Wittenberg reveals that Protestant iconoclasm was never one movement. Karlstadt sought rapid material purification. Luther argued that idols must first be expelled from hearts by preaching. Images could then be left, removed, or used without trust; coercive destruction risked replacing evangelical freedom with another law. He could condemn cultic abuse while retaining crucifixes, paintings, music, and liturgical furnishings.</w:t>
      </w:r>
      <w:r w:rsidRPr="0078634B">
        <w:rPr>
          <w:szCs w:val="28"/>
          <w:vertAlign w:val="superscript"/>
        </w:rPr>
        <w:t>25</w:t>
      </w:r>
    </w:p>
    <w:p w14:paraId="40E20D80" w14:textId="77777777" w:rsidR="0078634B" w:rsidRPr="0078634B" w:rsidRDefault="0078634B" w:rsidP="0078634B">
      <w:pPr>
        <w:pStyle w:val="BookBody"/>
      </w:pPr>
      <w:r w:rsidRPr="0078634B">
        <w:rPr>
          <w:szCs w:val="28"/>
        </w:rPr>
        <w:t>Zwingli and the Swiss Reformed tradition drew the boundary more sharply. Worship should rest on divine command rather than human invention. If God had prohibited images in worship, good intentions could not rescue them. Zurich’s reform of worship removed images under civic authority, turning iconoclasm from spontaneous attack into an ordered program. In Bern, Basel, Geneva, and other cities, the process took distinct political forms, but the stripped and whitewashed church became a characteristic Reformed environment.</w:t>
      </w:r>
      <w:r w:rsidRPr="0078634B">
        <w:rPr>
          <w:szCs w:val="28"/>
          <w:vertAlign w:val="superscript"/>
        </w:rPr>
        <w:t>26</w:t>
      </w:r>
    </w:p>
    <w:p w14:paraId="3B2CBDBE" w14:textId="77777777" w:rsidR="0078634B" w:rsidRPr="0078634B" w:rsidRDefault="0078634B" w:rsidP="0078634B">
      <w:pPr>
        <w:pStyle w:val="BookBody"/>
      </w:pPr>
      <w:r w:rsidRPr="0078634B">
        <w:rPr>
          <w:szCs w:val="28"/>
        </w:rPr>
        <w:t>Whitewash did more than subtract pictures. It created a new visual field. Walls no longer gathered the intercession of saints, donor memory, local legend, and sacred history into a crowded simultaneity. The pulpit, table, text, and assembled congregation acquired greater relative force. Words became visible against the absence of images. Space taught transcendence by refusing forms thought to localize or multiply holiness.</w:t>
      </w:r>
    </w:p>
    <w:p w14:paraId="3E77FE7C" w14:textId="77777777" w:rsidR="0078634B" w:rsidRPr="0078634B" w:rsidRDefault="0078634B" w:rsidP="0078634B">
      <w:pPr>
        <w:pStyle w:val="BookBody"/>
      </w:pPr>
      <w:r w:rsidRPr="0078634B">
        <w:rPr>
          <w:szCs w:val="28"/>
        </w:rPr>
        <w:t>This apparent dematerialization could be intensely material in practice. Statues had to be lowered with ropes, broken with tools, transported, sold, burned, buried, or reused. Metal was weighed. Jewels entered treasuries. Vestments became fabric. Altars became building stone or tables. Monastic roofs, bells, timber, and lead entered markets and households. Walsham’s account of the English landscape shows local people participating in the dismantling of Hailes Abbey and other religious houses through salvage and appropriation. New theology moved through old materials.</w:t>
      </w:r>
      <w:r w:rsidRPr="0078634B">
        <w:rPr>
          <w:szCs w:val="28"/>
          <w:vertAlign w:val="superscript"/>
        </w:rPr>
        <w:t>27</w:t>
      </w:r>
    </w:p>
    <w:p w14:paraId="1C6ABA6F" w14:textId="77777777" w:rsidR="0078634B" w:rsidRPr="0078634B" w:rsidRDefault="0078634B" w:rsidP="0078634B">
      <w:pPr>
        <w:pStyle w:val="BookBody"/>
      </w:pPr>
      <w:r w:rsidRPr="0078634B">
        <w:rPr>
          <w:szCs w:val="28"/>
        </w:rPr>
        <w:t>The fate of fragments complicates every clean story. A stone once kissed as part of a shrine might appear in a wall. A carved saint might be hidden behind plaster and found generations later. A holy well might lose official blessing yet retain a reputation for healing. A bell might continue to order time after the prayers attached to its sound had changed. Destruction could end a cult, but reuse allowed matter to carry memory silently into another regime.</w:t>
      </w:r>
    </w:p>
    <w:p w14:paraId="457EF091" w14:textId="77777777" w:rsidR="0078634B" w:rsidRPr="0078634B" w:rsidRDefault="0078634B" w:rsidP="0078634B">
      <w:pPr>
        <w:pStyle w:val="BookBody"/>
      </w:pPr>
      <w:r w:rsidRPr="0078634B">
        <w:rPr>
          <w:szCs w:val="28"/>
        </w:rPr>
        <w:t>Catholic images also changed under the pressure of reform. The Council of Trent affirmed their legitimate use while insisting on teaching, order, and the removal of superstition and indecency. Post-Tridentine churches were not untouched survivals of the fifteenth century. They intensified some forms of sacred visibility, disciplined others, and placed renewed emphasis on clerical supervision and doctrinal clarity. Confessionalization produced different material programs on both sides of the divide.</w:t>
      </w:r>
    </w:p>
    <w:p w14:paraId="31DFC604" w14:textId="77777777" w:rsidR="0078634B" w:rsidRPr="0078634B" w:rsidRDefault="0078634B" w:rsidP="0078634B">
      <w:pPr>
        <w:pStyle w:val="BookBody"/>
      </w:pPr>
      <w:r w:rsidRPr="0078634B">
        <w:rPr>
          <w:szCs w:val="28"/>
        </w:rPr>
        <w:t>An object’s ontological status could now depend upon the jurisdiction through which it traveled. A statue honored in one territory might be destroyed across a border. A painting accepted in a Lutheran church might be forbidden in a Reformed one. A relic authenticated by a Catholic bishop might serve a Protestant polemicist as proof of fraud. Europe did not move together from enchantment to disenchantment. It became a patchwork in which the sacredness of things changed at gates, rivers, successions, visitations, and military occupations.</w:t>
      </w:r>
    </w:p>
    <w:p w14:paraId="70BC4B09" w14:textId="77777777" w:rsidR="0078634B" w:rsidRPr="0078634B" w:rsidRDefault="0078634B" w:rsidP="0078634B">
      <w:pPr>
        <w:pStyle w:val="BookBody"/>
      </w:pPr>
      <w:r w:rsidRPr="0078634B">
        <w:rPr>
          <w:szCs w:val="28"/>
        </w:rPr>
        <w:t>The violence directed at images was thus neither proof that matter had become meaningless nor a mere surface expression of doctrine. It was a struggle over matter’s admissible relations. Reformers destroyed images because created things could command love falsely. Defenders protected them because created things could communicate memory and presence truly. Both sides assumed that the training of perception had eternal consequences.</w:t>
      </w:r>
    </w:p>
    <w:p w14:paraId="02979255" w14:textId="77777777" w:rsidR="0078634B" w:rsidRPr="0078634B" w:rsidRDefault="0078634B" w:rsidP="0078634B">
      <w:pPr>
        <w:pStyle w:val="SectionHeading"/>
      </w:pPr>
      <w:r w:rsidRPr="0078634B">
        <w:rPr>
          <w:bCs/>
          <w:szCs w:val="28"/>
        </w:rPr>
        <w:t>The Shrine After Its Suppression</w:t>
      </w:r>
    </w:p>
    <w:p w14:paraId="0BD57650" w14:textId="77777777" w:rsidR="0078634B" w:rsidRPr="0078634B" w:rsidRDefault="0078634B" w:rsidP="0078634B">
      <w:pPr>
        <w:pStyle w:val="BookBody"/>
      </w:pPr>
      <w:r w:rsidRPr="0078634B">
        <w:rPr>
          <w:szCs w:val="28"/>
        </w:rPr>
        <w:t>Walsingham offers another material witness. Before suppression its roads gathered pilgrims toward a replica of the Holy House of Nazareth, an image of the Virgin, relics, wells, offerings, lodging, trade, and stories of healing. The site condensed distant sacred history into an English landscape. Nazareth could be approached in Norfolk not because the two places were confused, but because devotion made one place participate in the memory of another.</w:t>
      </w:r>
      <w:r w:rsidRPr="0078634B">
        <w:rPr>
          <w:szCs w:val="28"/>
          <w:vertAlign w:val="superscript"/>
        </w:rPr>
        <w:t>28</w:t>
      </w:r>
    </w:p>
    <w:p w14:paraId="17288DB8" w14:textId="77777777" w:rsidR="0078634B" w:rsidRPr="0078634B" w:rsidRDefault="0078634B" w:rsidP="0078634B">
      <w:pPr>
        <w:pStyle w:val="BookBody"/>
      </w:pPr>
      <w:r w:rsidRPr="0078634B">
        <w:rPr>
          <w:szCs w:val="28"/>
        </w:rPr>
        <w:t>The suppression of the shrine in 1538 attempted to sever those relations. The image was removed. Treasures were confiscated. Priory property passed into new hands. Pilgrimage was condemned as superstition and deception. Yet a decree could abolish an institution more quickly than it could erase a landscape. Roads remained. Ruins remained. Wells remained. Names and memories remained. Later Catholic longing, Protestant warning, antiquarian curiosity, tourism, and renewed pilgrimage would lay different maps over the same ground.</w:t>
      </w:r>
    </w:p>
    <w:p w14:paraId="09D18E39" w14:textId="77777777" w:rsidR="0078634B" w:rsidRPr="0078634B" w:rsidRDefault="0078634B" w:rsidP="0078634B">
      <w:pPr>
        <w:pStyle w:val="BookBody"/>
      </w:pPr>
      <w:r w:rsidRPr="0078634B">
        <w:rPr>
          <w:szCs w:val="28"/>
        </w:rPr>
        <w:t xml:space="preserve">Walsham’s </w:t>
      </w:r>
      <w:r w:rsidRPr="0078634B">
        <w:rPr>
          <w:i/>
          <w:szCs w:val="28"/>
        </w:rPr>
        <w:t>Reformation of the Landscape</w:t>
      </w:r>
      <w:r w:rsidRPr="0078634B">
        <w:rPr>
          <w:szCs w:val="28"/>
        </w:rPr>
        <w:t xml:space="preserve"> argues against imagining sacred geography as a medieval layer simply scraped away by modernity. Reformation produced a prolonged politics of memory. Reformers retold places as scenes of fraud or deliverance; Catholics remembered destruction as sacrilege; local communities adapted inherited sites to new uses; natural features retained practices that official theology could neither fully authorize nor extinguish.</w:t>
      </w:r>
      <w:r w:rsidRPr="0078634B">
        <w:rPr>
          <w:szCs w:val="28"/>
          <w:vertAlign w:val="superscript"/>
        </w:rPr>
        <w:t>29</w:t>
      </w:r>
    </w:p>
    <w:p w14:paraId="4749E8C0" w14:textId="77777777" w:rsidR="0078634B" w:rsidRPr="0078634B" w:rsidRDefault="0078634B" w:rsidP="0078634B">
      <w:pPr>
        <w:pStyle w:val="BookBody"/>
      </w:pPr>
      <w:r w:rsidRPr="0078634B">
        <w:rPr>
          <w:szCs w:val="28"/>
        </w:rPr>
        <w:t>Holy wells show the unevenness. Their water remained capable of cooling, washing, and pleasing regardless of confession. A healing reputation might persist through custom even when invocation of a saint was removed. Some wells were reinterpreted providentially, medicinally, historically, or recreationally. The physical continuity did not guarantee stable meaning. It made the conflict of meanings durable.</w:t>
      </w:r>
    </w:p>
    <w:p w14:paraId="7972ED3E" w14:textId="77777777" w:rsidR="0078634B" w:rsidRPr="0078634B" w:rsidRDefault="0078634B" w:rsidP="0078634B">
      <w:pPr>
        <w:pStyle w:val="BookBody"/>
      </w:pPr>
      <w:r w:rsidRPr="0078634B">
        <w:rPr>
          <w:szCs w:val="28"/>
        </w:rPr>
        <w:t>Pilgrimage also migrated. Protestant identity formed its own sacred histories of martyrs, providential deliverances, reforming monarchs, and places rescued from idolatry. Print carried readers toward distant scenes without requiring bodily travel. Catholics continued or revived journeys where political conditions allowed. The pilgrim map did not simply fade; roads were closed, redirected, allegorized, and reopened.</w:t>
      </w:r>
    </w:p>
    <w:p w14:paraId="490463CD" w14:textId="77777777" w:rsidR="0078634B" w:rsidRPr="0078634B" w:rsidRDefault="0078634B" w:rsidP="0078634B">
      <w:pPr>
        <w:pStyle w:val="BookBody"/>
      </w:pPr>
      <w:r w:rsidRPr="0078634B">
        <w:rPr>
          <w:szCs w:val="28"/>
        </w:rPr>
        <w:t>The stripped shrine reveals a central pattern of this chapter. Presence becomes memory before it becomes absence. A removed image leaves an empty niche that teaches what has been removed. A ruined abbey can proclaim victory over superstition and evoke loss in the same view. A reused stone belongs materially to a new house while carrying the form of an old devotion. Reformation makes matter historical in a sharpened way: not merely the bearer of a sacred presence, but the witness of its contested withdrawal.</w:t>
      </w:r>
    </w:p>
    <w:p w14:paraId="4875881D" w14:textId="77777777" w:rsidR="0078634B" w:rsidRPr="0078634B" w:rsidRDefault="0078634B" w:rsidP="0078634B">
      <w:pPr>
        <w:pStyle w:val="BookBody"/>
      </w:pPr>
      <w:r w:rsidRPr="0078634B">
        <w:rPr>
          <w:szCs w:val="28"/>
        </w:rPr>
        <w:t>That historical density could support opposite futures. To a Protestant, the ruin demonstrated liberation from priestly fraud. To a Catholic, it testified to desecration and endurance. To an owner, it was property. To an antiquary, evidence. To a neighboring family, familiar ground. The world remained readable, but no longer in one ecclesial language.</w:t>
      </w:r>
    </w:p>
    <w:p w14:paraId="5FF395CD" w14:textId="77777777" w:rsidR="0078634B" w:rsidRPr="0078634B" w:rsidRDefault="0078634B" w:rsidP="0078634B">
      <w:pPr>
        <w:pStyle w:val="SectionHeading"/>
      </w:pPr>
      <w:r w:rsidRPr="0078634B">
        <w:rPr>
          <w:bCs/>
          <w:szCs w:val="28"/>
        </w:rPr>
        <w:t>A Calendar Can Divide a Village</w:t>
      </w:r>
    </w:p>
    <w:p w14:paraId="1EC6CE70" w14:textId="77777777" w:rsidR="0078634B" w:rsidRPr="0078634B" w:rsidRDefault="0078634B" w:rsidP="0078634B">
      <w:pPr>
        <w:pStyle w:val="BookBody"/>
      </w:pPr>
      <w:r w:rsidRPr="0078634B">
        <w:rPr>
          <w:szCs w:val="28"/>
        </w:rPr>
        <w:t>The fracture of presence was also a fracture of time. A calendar is easy to mistake for a list of dates. In late-medieval Europe it was closer to a choreography of memory, labor, fasting, feasting, obligation, weather, and local identity. The great cycle from Advent through Christmas, Lent, Easter, Ascension, Pentecost, Trinity, and Corpus Christi intertwined with saints’ days, parish dedications, Rogations, harvest pressures, fairs, guild observances, and rites for the dead.</w:t>
      </w:r>
      <w:r w:rsidRPr="0078634B">
        <w:rPr>
          <w:szCs w:val="28"/>
          <w:vertAlign w:val="superscript"/>
        </w:rPr>
        <w:t>30</w:t>
      </w:r>
    </w:p>
    <w:p w14:paraId="4BEA66EB" w14:textId="77777777" w:rsidR="0078634B" w:rsidRPr="0078634B" w:rsidRDefault="0078634B" w:rsidP="0078634B">
      <w:pPr>
        <w:pStyle w:val="BookBody"/>
      </w:pPr>
      <w:r w:rsidRPr="0078634B">
        <w:rPr>
          <w:szCs w:val="28"/>
        </w:rPr>
        <w:t>Scribner’s German materials make the breadth of that ordering visible. The calendar coordinated human relations with the sacred, with neighbors, and with the natural world. A Corpus Christi procession redrew communal boundaries; a Rogation moved prayer through fields; blessed objects entered household and agricultural practice; feast days alternated restraint and release. These rites did not merely represent cosmic order. Repetition made the order bodily plausible.</w:t>
      </w:r>
      <w:r w:rsidRPr="0078634B">
        <w:rPr>
          <w:szCs w:val="28"/>
          <w:vertAlign w:val="superscript"/>
        </w:rPr>
        <w:t>31</w:t>
      </w:r>
    </w:p>
    <w:p w14:paraId="7A7B231A" w14:textId="77777777" w:rsidR="0078634B" w:rsidRPr="0078634B" w:rsidRDefault="0078634B" w:rsidP="0078634B">
      <w:pPr>
        <w:pStyle w:val="BookBody"/>
      </w:pPr>
      <w:r w:rsidRPr="0078634B">
        <w:rPr>
          <w:szCs w:val="28"/>
        </w:rPr>
        <w:t>Reform altered time by altering what could legitimately recur. Saints’ days might be reduced or abolished. Corpus Christi might disappear. Processions could be forbidden. Masses for particular emergencies or for the dead could cease. Church dedications could lose their ritual prominence. The weekly sermon and catechism could intensify. Civic commemorations of reform, military deliverance, or a ruler’s accession could take new places in the year.</w:t>
      </w:r>
    </w:p>
    <w:p w14:paraId="60FEA590" w14:textId="77777777" w:rsidR="0078634B" w:rsidRPr="0078634B" w:rsidRDefault="0078634B" w:rsidP="0078634B">
      <w:pPr>
        <w:pStyle w:val="BookBody"/>
      </w:pPr>
      <w:r w:rsidRPr="0078634B">
        <w:rPr>
          <w:szCs w:val="28"/>
        </w:rPr>
        <w:t>The change was not uniform even within Protestantism. Susan Karant-Nunn shows Lutherans retaining portions of the inherited calendar, lectionary, music, candles, and ceremony while stripping away ideas of propitiatory sacrifice and meritorious observance. The test was not always whether a form was old, but whether it was made necessary for salvation or obscured the promise. Reformed churches often pursued a more drastic simplification, concentrating time around Sunday worship and a smaller set of scripturally authorized observances.</w:t>
      </w:r>
      <w:r w:rsidRPr="0078634B">
        <w:rPr>
          <w:szCs w:val="28"/>
          <w:vertAlign w:val="superscript"/>
        </w:rPr>
        <w:t>32</w:t>
      </w:r>
    </w:p>
    <w:p w14:paraId="24226EBD" w14:textId="77777777" w:rsidR="0078634B" w:rsidRPr="0078634B" w:rsidRDefault="0078634B" w:rsidP="0078634B">
      <w:pPr>
        <w:pStyle w:val="BookBody"/>
      </w:pPr>
      <w:r w:rsidRPr="0078634B">
        <w:rPr>
          <w:szCs w:val="28"/>
        </w:rPr>
        <w:t>Consider a village whose patronal feast had joined liturgy, hospitality, trade, memory of the dead, youthful festivity, and a procession through fields. Its suppression did not remove one false proposition. It detached activities that had been synchronized. Trade might survive as a fair. Drinking might survive as disorder condemned by reformers. Agricultural timing would remain. The saint’s story might retreat into household memory. The church building would remain under a new dedication or none. What had been one feast became several activities with different permissions.</w:t>
      </w:r>
    </w:p>
    <w:p w14:paraId="57FF11F0" w14:textId="77777777" w:rsidR="0078634B" w:rsidRPr="0078634B" w:rsidRDefault="0078634B" w:rsidP="0078634B">
      <w:pPr>
        <w:pStyle w:val="BookBody"/>
      </w:pPr>
      <w:r w:rsidRPr="0078634B">
        <w:rPr>
          <w:szCs w:val="28"/>
        </w:rPr>
        <w:t>Funerals show a similar recomposition. Late-medieval rites surrounded dying and burial with holy water, oil, bells, lights, masses, prayers for souls, confraternal obligations, and a geography of consecrated ground. Lutheran reform removed or recast many of these mediations while retaining confession, communion, pastoral presence, burial, song, and proclamation. Karant-Nunn describes the minister’s role becoming more explicitly pastoral and homiletic as other ritual agents—holy water, oil, prayers for release from purgatory—lost their function.</w:t>
      </w:r>
      <w:r w:rsidRPr="0078634B">
        <w:rPr>
          <w:szCs w:val="28"/>
          <w:vertAlign w:val="superscript"/>
        </w:rPr>
        <w:t>33</w:t>
      </w:r>
    </w:p>
    <w:p w14:paraId="6F6016C0" w14:textId="77777777" w:rsidR="0078634B" w:rsidRPr="0078634B" w:rsidRDefault="0078634B" w:rsidP="0078634B">
      <w:pPr>
        <w:pStyle w:val="BookBody"/>
      </w:pPr>
      <w:r w:rsidRPr="0078634B">
        <w:rPr>
          <w:szCs w:val="28"/>
        </w:rPr>
        <w:t>The funeral sermon then acquired public indispensability. It interpreted the death, instructed the living, commemorated the deceased within acceptable limits, and disciplined grief through doctrine. This was not a retreat from ritual to pure belief. It was a new ritual arrangement, with the preached word occupying space once shared by several material and intercessory practices.</w:t>
      </w:r>
      <w:r w:rsidRPr="0078634B">
        <w:rPr>
          <w:szCs w:val="28"/>
          <w:vertAlign w:val="superscript"/>
        </w:rPr>
        <w:t>34</w:t>
      </w:r>
    </w:p>
    <w:p w14:paraId="5455B989" w14:textId="77777777" w:rsidR="0078634B" w:rsidRPr="0078634B" w:rsidRDefault="0078634B" w:rsidP="0078634B">
      <w:pPr>
        <w:pStyle w:val="BookBody"/>
      </w:pPr>
      <w:r w:rsidRPr="0078634B">
        <w:rPr>
          <w:szCs w:val="28"/>
        </w:rPr>
        <w:t>The reformed calendar therefore created presences of its own. Scripture became audible on new schedules. Psalms ordered communal sound. Catechism entered household and parish routine. Fast days could be called in response to calamity. Days of thanksgiving could commemorate deliverance. Martyrs and reformers, even when not invoked as intercessors, inhabited collective memory through print, preaching, anniversaries, and images in Lutheran settings.</w:t>
      </w:r>
    </w:p>
    <w:p w14:paraId="77BBAB49" w14:textId="77777777" w:rsidR="0078634B" w:rsidRPr="0078634B" w:rsidRDefault="0078634B" w:rsidP="0078634B">
      <w:pPr>
        <w:pStyle w:val="BookBody"/>
      </w:pPr>
      <w:r w:rsidRPr="0078634B">
        <w:rPr>
          <w:szCs w:val="28"/>
        </w:rPr>
        <w:t>Still, the loss of a common calendar mattered. When one confession celebrated what another condemned, neighbors no longer inhabited the same sacred year even if they shared weather and harvest. A bell could summon one group to worship and remind another of exclusion. A market date inherited from a saint’s feast could survive after the saint’s cult became illegal. The same day could be holy, ordinary, or idolatrous depending on the household and jurisdiction.</w:t>
      </w:r>
    </w:p>
    <w:p w14:paraId="75A70CA6" w14:textId="77777777" w:rsidR="0078634B" w:rsidRPr="0078634B" w:rsidRDefault="0078634B" w:rsidP="0078634B">
      <w:pPr>
        <w:pStyle w:val="BookBody"/>
      </w:pPr>
      <w:r w:rsidRPr="0078634B">
        <w:rPr>
          <w:szCs w:val="28"/>
        </w:rPr>
        <w:t>Time became confessional territory. The boundary did not always run cleanly between villages. It could pass through families, guilds, neighborhoods, and individual lives shaped under more than one regime. Political change could restore images and feasts, remove them again, and require bodies to learn successive choreographies. The English reversals under Henry VIII, Edward VI, Mary I, and Elizabeth I made church interiors and calendars visibly unstable within a single generation.</w:t>
      </w:r>
    </w:p>
    <w:p w14:paraId="249D2355" w14:textId="77777777" w:rsidR="0078634B" w:rsidRPr="0078634B" w:rsidRDefault="0078634B" w:rsidP="0078634B">
      <w:pPr>
        <w:pStyle w:val="BookBody"/>
      </w:pPr>
      <w:r w:rsidRPr="0078634B">
        <w:rPr>
          <w:szCs w:val="28"/>
        </w:rPr>
        <w:t>This instability did not make ritual superficial. It demonstrated ritual’s depth. People could comply outwardly, resist secretly, improvise, forget, remember, or discover that repeated action had changed what felt possible. A calendar enters the body before it becomes an argument. To reform time was to reform expectation.</w:t>
      </w:r>
    </w:p>
    <w:p w14:paraId="3B61446D" w14:textId="77777777" w:rsidR="0078634B" w:rsidRPr="0078634B" w:rsidRDefault="0078634B" w:rsidP="0078634B">
      <w:pPr>
        <w:pStyle w:val="SectionHeading"/>
      </w:pPr>
      <w:r w:rsidRPr="0078634B">
        <w:rPr>
          <w:bCs/>
          <w:szCs w:val="28"/>
        </w:rPr>
        <w:t>Providence Without a Common Interpreter</w:t>
      </w:r>
    </w:p>
    <w:p w14:paraId="1D8AED8E" w14:textId="77777777" w:rsidR="0078634B" w:rsidRPr="0078634B" w:rsidRDefault="0078634B" w:rsidP="0078634B">
      <w:pPr>
        <w:pStyle w:val="BookBody"/>
      </w:pPr>
      <w:r w:rsidRPr="0078634B">
        <w:rPr>
          <w:szCs w:val="28"/>
        </w:rPr>
        <w:t xml:space="preserve">If stripped churches proved that Protestant reform could narrow the sacred locations of matter, providence proves that it could also enlarge the field of divine action. Alexandra Walsham begins </w:t>
      </w:r>
      <w:r w:rsidRPr="0078634B">
        <w:rPr>
          <w:i/>
          <w:szCs w:val="28"/>
        </w:rPr>
        <w:t>Providence in Early Modern England</w:t>
      </w:r>
      <w:r w:rsidRPr="0078634B">
        <w:rPr>
          <w:szCs w:val="28"/>
        </w:rPr>
        <w:t xml:space="preserve"> from a premise that directly opposes any instant disenchantment: early modern Protestants saw history as the surface on which God traced purposes and nature as a place in which providence instructed, warned, punished, and preserved. Puritans were not the only people who spoke this way. They were, in Walsham’s formulation, the hotter sort of a much broader providential culture.</w:t>
      </w:r>
      <w:r w:rsidRPr="0078634B">
        <w:rPr>
          <w:szCs w:val="28"/>
          <w:vertAlign w:val="superscript"/>
        </w:rPr>
        <w:t>35</w:t>
      </w:r>
    </w:p>
    <w:p w14:paraId="75C81FE6" w14:textId="77777777" w:rsidR="0078634B" w:rsidRPr="0078634B" w:rsidRDefault="0078634B" w:rsidP="0078634B">
      <w:pPr>
        <w:pStyle w:val="BookBody"/>
      </w:pPr>
      <w:r w:rsidRPr="0078634B">
        <w:rPr>
          <w:szCs w:val="28"/>
        </w:rPr>
        <w:t>The world could become less sacramental and more providential at once. A well might no longer carry a saint’s healing presence; a flood could become a divine warning to the nation. An image might be only painted wood; the sudden death of an image-breaker or a defender of images might become a judgment. Consecrated objects lost authorized powers while storms, fires, plagues, monstrous births, escapes, military victories, and political reversals acquired urgent theological meanings.</w:t>
      </w:r>
    </w:p>
    <w:p w14:paraId="197CA70E" w14:textId="77777777" w:rsidR="0078634B" w:rsidRPr="0078634B" w:rsidRDefault="0078634B" w:rsidP="0078634B">
      <w:pPr>
        <w:pStyle w:val="BookBody"/>
      </w:pPr>
      <w:r w:rsidRPr="0078634B">
        <w:rPr>
          <w:szCs w:val="28"/>
        </w:rPr>
        <w:t>This was not a simple exchange of miracle for natural law. Protestant writers often denied that post-apostolic miracles continued in the Catholic sense while filling print with wonders and special providences. The difference lay partly in agency and authorization. A miracle attached to a shrine could seem to validate an illicit cult and locate sacred power in an object. A providential event referred beyond itself to God’s government of history, usually without becoming a stable instrument available for repeated human use.</w:t>
      </w:r>
    </w:p>
    <w:p w14:paraId="5E217829" w14:textId="77777777" w:rsidR="0078634B" w:rsidRPr="0078634B" w:rsidRDefault="0078634B" w:rsidP="0078634B">
      <w:pPr>
        <w:pStyle w:val="BookBody"/>
      </w:pPr>
      <w:r w:rsidRPr="0078634B">
        <w:rPr>
          <w:szCs w:val="28"/>
        </w:rPr>
        <w:t>Providence thus protected divine freedom from technique. One could pray for rain, repent during plague, and thank God for deliverance, but one could not possess the storm as a sacramental mechanism. The event arrived as address. Its meaning demanded moral response rather than control.</w:t>
      </w:r>
    </w:p>
    <w:p w14:paraId="450B9FF3" w14:textId="77777777" w:rsidR="0078634B" w:rsidRPr="0078634B" w:rsidRDefault="0078634B" w:rsidP="0078634B">
      <w:pPr>
        <w:pStyle w:val="BookBody"/>
      </w:pPr>
      <w:r w:rsidRPr="0078634B">
        <w:rPr>
          <w:szCs w:val="28"/>
        </w:rPr>
        <w:t>Yet the address needed interpreters. A preacher in Sussex in 1598 called plague, fire, murder, strange sickness, famine, flood, ruin, and unseasonable weather sermons of repentance. Walsham’s chapter on public calamities shows ministers and pamphleteers describing disasters as visible sermons, legible characters, and divine documents. Afflicted communities were urged to read the event, repent, give relief, repair moral failures, and reform public conduct.</w:t>
      </w:r>
      <w:r w:rsidRPr="0078634B">
        <w:rPr>
          <w:szCs w:val="28"/>
          <w:vertAlign w:val="superscript"/>
        </w:rPr>
        <w:t>36</w:t>
      </w:r>
    </w:p>
    <w:p w14:paraId="6A040C0F" w14:textId="77777777" w:rsidR="0078634B" w:rsidRPr="0078634B" w:rsidRDefault="0078634B" w:rsidP="0078634B">
      <w:pPr>
        <w:pStyle w:val="BookBody"/>
      </w:pPr>
      <w:r w:rsidRPr="0078634B">
        <w:rPr>
          <w:szCs w:val="28"/>
        </w:rPr>
        <w:t>The metaphor of reading is revealing. Creation remains a book, but its grammar is no longer secured by a single sacramental institution. A calamity can be read by Catholic, conformist Protestant, puritan, sectarian, skeptic, victim, and political enemy. Agreement that God governs the event does not guarantee agreement about what God says.</w:t>
      </w:r>
    </w:p>
    <w:p w14:paraId="384F9309" w14:textId="77777777" w:rsidR="0078634B" w:rsidRPr="0078634B" w:rsidRDefault="0078634B" w:rsidP="0078634B">
      <w:pPr>
        <w:pStyle w:val="BookBody"/>
      </w:pPr>
      <w:r w:rsidRPr="0078634B">
        <w:rPr>
          <w:szCs w:val="28"/>
        </w:rPr>
        <w:t>When church bells melted in a Surrey fire on the anniversary of Elizabeth I’s accession, some observers construed the coincidence as a judgment upon the Protestant settlement. A Protestant minister answered that the bells had been cast and consecrated before the Reformation, turning the same material detail against the Catholic inference. Walsham’s example is small but exact. Fire, date, bell, queen, and confession formed a sentence whose meaning changed with the reader.</w:t>
      </w:r>
      <w:r w:rsidRPr="0078634B">
        <w:rPr>
          <w:szCs w:val="28"/>
          <w:vertAlign w:val="superscript"/>
        </w:rPr>
        <w:t>37</w:t>
      </w:r>
    </w:p>
    <w:p w14:paraId="5FC89636" w14:textId="77777777" w:rsidR="0078634B" w:rsidRPr="0078634B" w:rsidRDefault="0078634B" w:rsidP="0078634B">
      <w:pPr>
        <w:pStyle w:val="BookBody"/>
      </w:pPr>
      <w:r w:rsidRPr="0078634B">
        <w:rPr>
          <w:szCs w:val="28"/>
        </w:rPr>
        <w:t>Such disputes did not weaken providentialism by making it private. They made interpretation a public contest conducted through sermons, ballads, cheap print, rumor, official prayers, and state policy. News widened the audience of calamity. A flood in one county could admonish readers in another. A strange birth could be printed as warning. A military victory could certify national election. The event became more mobile in representation even as its material causes remained local.</w:t>
      </w:r>
    </w:p>
    <w:p w14:paraId="2D377C92" w14:textId="77777777" w:rsidR="0078634B" w:rsidRPr="0078634B" w:rsidRDefault="0078634B" w:rsidP="0078634B">
      <w:pPr>
        <w:pStyle w:val="BookBody"/>
      </w:pPr>
      <w:r w:rsidRPr="0078634B">
        <w:rPr>
          <w:szCs w:val="28"/>
        </w:rPr>
        <w:t>This mobility created a new problem of scale. The saint’s shrine had concentrated stories around a place that pilgrims could approach. Providential print dispersed sacred interpretation across a kingdom. A reader did not need to touch the object or stand where the event occurred. Woodcut and testimony presented an absent wonder for judgment. The public world was composed increasingly by reports whose credibility could itself become contested.</w:t>
      </w:r>
    </w:p>
    <w:p w14:paraId="44B2B68B" w14:textId="77777777" w:rsidR="0078634B" w:rsidRPr="0078634B" w:rsidRDefault="0078634B" w:rsidP="0078634B">
      <w:pPr>
        <w:pStyle w:val="BookBody"/>
      </w:pPr>
      <w:r w:rsidRPr="0078634B">
        <w:rPr>
          <w:szCs w:val="28"/>
        </w:rPr>
        <w:t>Credulity and skepticism therefore grew together. Polemicists mocked the other confession’s miracles while defending their own providences. Reports were weighed by witnesses, social reputation, political usefulness, conformity with doctrine, and the perceived moral fitness of the outcome. Monsters, prophecies, apparitions, and strange weather could be divine signs, natural rarities, frauds, or demonic deceptions. The multiplication of print did not settle which category applied.</w:t>
      </w:r>
      <w:r w:rsidRPr="0078634B">
        <w:rPr>
          <w:szCs w:val="28"/>
          <w:vertAlign w:val="superscript"/>
        </w:rPr>
        <w:t>38</w:t>
      </w:r>
    </w:p>
    <w:p w14:paraId="1711D39B" w14:textId="77777777" w:rsidR="0078634B" w:rsidRPr="0078634B" w:rsidRDefault="0078634B" w:rsidP="0078634B">
      <w:pPr>
        <w:pStyle w:val="BookBody"/>
      </w:pPr>
      <w:r w:rsidRPr="0078634B">
        <w:rPr>
          <w:szCs w:val="28"/>
        </w:rPr>
        <w:t>Providence supplies the clearest reason to avoid saying that Reformation emptied the cosmos. God remained immediately active. The devil remained active. Nature could punish, warn, preserve, and disclose. Moral and physical causality remained connected in sermons and popular understanding. Scribner notes that reform could attack the material efficacy of certain sacred objects while preserving belief in natural disasters as signs of divine anger and in a populated spirit world.</w:t>
      </w:r>
      <w:r w:rsidRPr="0078634B">
        <w:rPr>
          <w:szCs w:val="28"/>
          <w:vertAlign w:val="superscript"/>
        </w:rPr>
        <w:t>39</w:t>
      </w:r>
    </w:p>
    <w:p w14:paraId="21EFA45F" w14:textId="77777777" w:rsidR="0078634B" w:rsidRPr="0078634B" w:rsidRDefault="0078634B" w:rsidP="0078634B">
      <w:pPr>
        <w:pStyle w:val="BookBody"/>
      </w:pPr>
      <w:r w:rsidRPr="0078634B">
        <w:rPr>
          <w:szCs w:val="28"/>
        </w:rPr>
        <w:t>What loosened was public readability. The old order had never guaranteed agreement, but shrine, calendar, priesthood, sacrament, and jurisdiction had provided a thick apparatus for recognizing signs. Confessional fracture multiplied authoritative grammars. A fire could call everyone to repentance while dividing them over the sin to be repented. A victory could manifest God’s favor to one party and God’s temporary permission to another. Providence was common; its sentence was not.</w:t>
      </w:r>
    </w:p>
    <w:p w14:paraId="018199CC" w14:textId="77777777" w:rsidR="0078634B" w:rsidRPr="0078634B" w:rsidRDefault="0078634B" w:rsidP="0078634B">
      <w:pPr>
        <w:pStyle w:val="SectionHeading"/>
      </w:pPr>
      <w:r w:rsidRPr="0078634B">
        <w:rPr>
          <w:bCs/>
          <w:szCs w:val="28"/>
        </w:rPr>
        <w:t>One Church, Several Worlds</w:t>
      </w:r>
    </w:p>
    <w:p w14:paraId="63F5CCF2" w14:textId="77777777" w:rsidR="0078634B" w:rsidRPr="0078634B" w:rsidRDefault="0078634B" w:rsidP="0078634B">
      <w:pPr>
        <w:pStyle w:val="BookBody"/>
      </w:pPr>
      <w:r w:rsidRPr="0078634B">
        <w:rPr>
          <w:szCs w:val="28"/>
        </w:rPr>
        <w:t>Imagine a parish church through three generations. The grandparents remember the high altar, rood loft, saints’ lights, side chapels, obits, guild processions, holy water, Easter sepulcher, Corpus Christi, and prayers for the dead. Their children watch commissioners inventory plate and vestments, remove images, destroy an altar, cancel an endowment, and require an English service. Under another sovereign some objects return; under the next they disappear again. The grandchildren inherit whitewashed walls, a pulpit, a communion table, new psalms, new sermons, and stories about what once stood in the niches.</w:t>
      </w:r>
    </w:p>
    <w:p w14:paraId="67C455B3" w14:textId="77777777" w:rsidR="0078634B" w:rsidRPr="0078634B" w:rsidRDefault="0078634B" w:rsidP="0078634B">
      <w:pPr>
        <w:pStyle w:val="BookBody"/>
      </w:pPr>
      <w:r w:rsidRPr="0078634B">
        <w:rPr>
          <w:szCs w:val="28"/>
        </w:rPr>
        <w:t>The building has not moved. Rain strikes the same roof. The dead remain beneath the floor. Sun enters the same windows, though the glass may be broken or replaced. But almost every relation composing the church has changed. The east end no longer centers repeated sacrifice. The screen no longer bears the same image. The table appears for communion under new rules. A tomb no longer requests intercessory prayer in the same way. A wall painting survives as a pale disturbance under plaster. The church is materially continuous and ontologically divided.</w:t>
      </w:r>
    </w:p>
    <w:p w14:paraId="7218AE02" w14:textId="77777777" w:rsidR="0078634B" w:rsidRPr="0078634B" w:rsidRDefault="0078634B" w:rsidP="0078634B">
      <w:pPr>
        <w:pStyle w:val="BookBody"/>
      </w:pPr>
      <w:r w:rsidRPr="0078634B">
        <w:rPr>
          <w:szCs w:val="28"/>
        </w:rPr>
        <w:t>That phrase does not mean that several universes occupy the building as private fantasies. The worlds are institutional, practical, and embodied. They are made by law, architecture, speech, prohibition, memory, and action. They determine who may minister, what counts as worship, which objects may remain, what a communicant receives, where the dead are located in relation to the living, and how sacred history touches the present.</w:t>
      </w:r>
    </w:p>
    <w:p w14:paraId="37D877D7" w14:textId="77777777" w:rsidR="0078634B" w:rsidRPr="0078634B" w:rsidRDefault="0078634B" w:rsidP="0078634B">
      <w:pPr>
        <w:pStyle w:val="BookBody"/>
      </w:pPr>
      <w:r w:rsidRPr="0078634B">
        <w:rPr>
          <w:szCs w:val="28"/>
        </w:rPr>
        <w:t>The divided church also corrects a history written only through theologians. Ockham, Luther, Zwingli, Calvin, Trent, and episcopal formularies matter because concepts authorized practices. But reception was never automatic. Parishioners complied, negotiated, concealed, destroyed, appropriated, complained, forgot, and combined. A theology of pure worship met the cost of refurnishing. A prohibition met a beloved image. A new calendar met agricultural routine. A confession met a mixed marriage. Popular culture was not inert matter upon which elite ideas acted; it was one of the places in which reform acquired, changed, or lost force.</w:t>
      </w:r>
      <w:r w:rsidRPr="0078634B">
        <w:rPr>
          <w:szCs w:val="28"/>
          <w:vertAlign w:val="superscript"/>
        </w:rPr>
        <w:t>40</w:t>
      </w:r>
    </w:p>
    <w:p w14:paraId="067A495A" w14:textId="77777777" w:rsidR="0078634B" w:rsidRPr="0078634B" w:rsidRDefault="0078634B" w:rsidP="0078634B">
      <w:pPr>
        <w:pStyle w:val="BookBody"/>
      </w:pPr>
      <w:r w:rsidRPr="0078634B">
        <w:rPr>
          <w:szCs w:val="28"/>
        </w:rPr>
        <w:t>Nor should the conflict be romanticized as a contest between living folk religion and abstract reform. Late-medieval practices could be coercive, commercialized, exclusionary, and burdensome. Reform could expose fraud, return the cup, widen access to Scripture, challenge clerical possession of grace, and demand intelligible worship. It could also seize property, criminalize memory, discipline bodies, and authorize destruction. Catholic reform could correct abuses and deepen devotion while hardening confessional boundaries. The fracture redistributed both gifts and injuries.</w:t>
      </w:r>
    </w:p>
    <w:p w14:paraId="1C5CB7CC" w14:textId="77777777" w:rsidR="0078634B" w:rsidRPr="0078634B" w:rsidRDefault="0078634B" w:rsidP="0078634B">
      <w:pPr>
        <w:pStyle w:val="BookBody"/>
      </w:pPr>
      <w:r w:rsidRPr="0078634B">
        <w:rPr>
          <w:szCs w:val="28"/>
        </w:rPr>
        <w:t>Martyrdom made the incompatibility bodily final. Catholics, Lutherans, Reformed Protestants, Anabaptists, and others accepted death rather than perform what opponents considered a small outward conformity. Brad Gregory has shown that martyrs from rival confessions interpreted suffering through incompatible truth claims while sharing a Christian willingness to die for them.</w:t>
      </w:r>
      <w:r w:rsidRPr="0078634B">
        <w:rPr>
          <w:szCs w:val="28"/>
          <w:vertAlign w:val="superscript"/>
        </w:rPr>
        <w:t>41</w:t>
      </w:r>
      <w:r w:rsidRPr="0078634B">
        <w:rPr>
          <w:szCs w:val="28"/>
        </w:rPr>
        <w:t xml:space="preserve"> The stake did not prove that religion had become inward. It proved that an outward gesture—attending Mass, receiving communion, baptizing, swearing, kneeling—could disclose the world in which one believed one stood.</w:t>
      </w:r>
    </w:p>
    <w:p w14:paraId="2C03C622" w14:textId="77777777" w:rsidR="0078634B" w:rsidRPr="0078634B" w:rsidRDefault="0078634B" w:rsidP="0078634B">
      <w:pPr>
        <w:pStyle w:val="BookBody"/>
      </w:pPr>
      <w:r w:rsidRPr="0078634B">
        <w:rPr>
          <w:szCs w:val="28"/>
        </w:rPr>
        <w:t>One church could therefore shelter several worlds across time and several memories at once. Its stones did not dictate which world was true. They limited, carried, and recorded the struggle. Matter became the archive of incompatible presences.</w:t>
      </w:r>
    </w:p>
    <w:p w14:paraId="27D4C299" w14:textId="77777777" w:rsidR="0078634B" w:rsidRPr="0078634B" w:rsidRDefault="0078634B" w:rsidP="0078634B">
      <w:pPr>
        <w:pStyle w:val="SectionHeading"/>
      </w:pPr>
      <w:r w:rsidRPr="0078634B">
        <w:rPr>
          <w:bCs/>
          <w:szCs w:val="28"/>
        </w:rPr>
        <w:t>The World Does Not Become Empty</w:t>
      </w:r>
    </w:p>
    <w:p w14:paraId="283A1C8F" w14:textId="77777777" w:rsidR="0078634B" w:rsidRPr="0078634B" w:rsidRDefault="0078634B" w:rsidP="0078634B">
      <w:pPr>
        <w:pStyle w:val="BookBody"/>
      </w:pPr>
      <w:r w:rsidRPr="0078634B">
        <w:rPr>
          <w:szCs w:val="28"/>
        </w:rPr>
        <w:t>The death of the living cosmos did not occur at Dovercourt, Wittenberg, Zurich, Geneva, Walsingham, or Trent. The phrase would be false if it suggested a single execution. What happened was slower and less complete: relations that had made divine presence publicly sensible were separated from one another and reassigned to rival authorities.</w:t>
      </w:r>
    </w:p>
    <w:p w14:paraId="58665D89" w14:textId="77777777" w:rsidR="0078634B" w:rsidRPr="0078634B" w:rsidRDefault="0078634B" w:rsidP="0078634B">
      <w:pPr>
        <w:pStyle w:val="BookBody"/>
      </w:pPr>
      <w:r w:rsidRPr="0078634B">
        <w:rPr>
          <w:szCs w:val="28"/>
        </w:rPr>
        <w:t>Ockham’s distinction between absolute and ordained power did not dissolve creation. It clarified that no created order is necessary to God and that instituted relations remain reliable because they are willed. His nominalism did not deny causes or similarities. It refused to multiply common entities beyond singular things and the signs by which minds know them. The resulting pressure was not nihilism but a more acute contingency.</w:t>
      </w:r>
    </w:p>
    <w:p w14:paraId="6A1F2476" w14:textId="77777777" w:rsidR="0078634B" w:rsidRPr="0078634B" w:rsidRDefault="0078634B" w:rsidP="0078634B">
      <w:pPr>
        <w:pStyle w:val="BookBody"/>
      </w:pPr>
      <w:r w:rsidRPr="0078634B">
        <w:rPr>
          <w:szCs w:val="28"/>
        </w:rPr>
        <w:t>The Reformations did not convert one sacramental Europe into one symbolic Europe. Luther concentrated presence in promise joined to bread and wine. Zwingli made the Supper a visible confession and communal remembrance ordered toward the ascended Christ. Bullinger affirmed a life-giving spiritual presence. Calvin made the Spirit the bond of real participation. Catholic reform defended conversion, sacrifice, adoration, and sacred art while submitting practice to new disciplines. The shared host became several suppers.</w:t>
      </w:r>
    </w:p>
    <w:p w14:paraId="47C6BEF3" w14:textId="77777777" w:rsidR="0078634B" w:rsidRPr="0078634B" w:rsidRDefault="0078634B" w:rsidP="0078634B">
      <w:pPr>
        <w:pStyle w:val="BookBody"/>
      </w:pPr>
      <w:r w:rsidRPr="0078634B">
        <w:rPr>
          <w:szCs w:val="28"/>
        </w:rPr>
        <w:t>Iconoclasm did not prove that matter was dead. It proved that matter’s religious relations were dangerous enough to break with hammers and police with law. The white wall, stripped altar, hidden statue, plundered abbey, and repurposed stone became agents in new environments. Presence was removed, remembered, accused, and relocated.</w:t>
      </w:r>
    </w:p>
    <w:p w14:paraId="2E984253" w14:textId="77777777" w:rsidR="0078634B" w:rsidRPr="0078634B" w:rsidRDefault="0078634B" w:rsidP="0078634B">
      <w:pPr>
        <w:pStyle w:val="BookBody"/>
      </w:pPr>
      <w:r w:rsidRPr="0078634B">
        <w:rPr>
          <w:szCs w:val="28"/>
        </w:rPr>
        <w:t>The calendar did not become secular all at once. Feasts disappeared, survived, or changed meaning. Sermons, catechisms, fasts, thanksgivings, and confessional anniversaries formed other rhythms. Providence extended divine interpretation into disaster and news even as it exposed the lack of a common interpreter. The world remained full of address.</w:t>
      </w:r>
    </w:p>
    <w:p w14:paraId="22354006" w14:textId="77777777" w:rsidR="0078634B" w:rsidRPr="0078634B" w:rsidRDefault="0078634B" w:rsidP="0078634B">
      <w:pPr>
        <w:pStyle w:val="BookBody"/>
      </w:pPr>
      <w:r w:rsidRPr="0078634B">
        <w:rPr>
          <w:szCs w:val="28"/>
        </w:rPr>
        <w:t>Blumenberg is useful at this point because he refuses to describe modernity as a simple transfer of intact theological contents into secular forms. Theological crisis left questions to which new forms of human self-assertion would respond: Can order be trusted? Can nature be known without access to a hidden divine rationale? Can human action secure a habitable world under conditions of contingency?</w:t>
      </w:r>
      <w:r w:rsidRPr="0078634B">
        <w:rPr>
          <w:szCs w:val="28"/>
          <w:vertAlign w:val="superscript"/>
        </w:rPr>
        <w:t>42</w:t>
      </w:r>
      <w:r w:rsidRPr="0078634B">
        <w:rPr>
          <w:szCs w:val="28"/>
        </w:rPr>
        <w:t xml:space="preserve"> These questions belong to the afterlife of the fracture, not to a victory of unbelief over belief.</w:t>
      </w:r>
    </w:p>
    <w:p w14:paraId="6FE5DFCC" w14:textId="77777777" w:rsidR="0078634B" w:rsidRPr="0078634B" w:rsidRDefault="0078634B" w:rsidP="0078634B">
      <w:pPr>
        <w:pStyle w:val="BookBody"/>
      </w:pPr>
      <w:r w:rsidRPr="0078634B">
        <w:rPr>
          <w:szCs w:val="28"/>
        </w:rPr>
        <w:t>The loss was a loss of commonness. A sacred presence could remain intense within a confession while becoming invisible or idolatrous to its neighbor. A material witness could no longer rely on one public chain of interpretation from cosmos to church, rite, object, body, and final end. Purposes did not vanish from things, but they became harder to read without first declaring an allegiance.</w:t>
      </w:r>
    </w:p>
    <w:p w14:paraId="60C78919" w14:textId="77777777" w:rsidR="0078634B" w:rsidRPr="0078634B" w:rsidRDefault="0078634B" w:rsidP="0078634B">
      <w:pPr>
        <w:pStyle w:val="BookBody"/>
      </w:pPr>
      <w:r w:rsidRPr="0078634B">
        <w:rPr>
          <w:szCs w:val="28"/>
        </w:rPr>
        <w:t>This fragmentation created a new desire. If inherited sacramental correspondences had become confessional claims, perhaps nature contained other signatures that could be learned and used. If official religion narrowed legitimate channels between spirit and matter, perhaps ancient wisdom, planetary affinity, music, image, herb, imagination, and talisman could reopen them. Renaissance magic would not be a simple survival of the medieval world. It would be an effort—learned, technical, ambitious, and unstable—to reactivate participation after the fracture of presence.</w:t>
      </w:r>
    </w:p>
    <w:p w14:paraId="61E364D0" w14:textId="77777777" w:rsidR="0078634B" w:rsidRPr="0078634B" w:rsidRDefault="0078634B" w:rsidP="0078634B">
      <w:pPr>
        <w:pStyle w:val="BookBody"/>
      </w:pPr>
      <w:r w:rsidRPr="0078634B">
        <w:rPr>
          <w:szCs w:val="28"/>
        </w:rPr>
        <w:t>The broken rood leaves that possibility in the field. Once a holy image, then an idol, then ash and legal evidence, it shows matter passing through rival worlds without becoming nothing. The cosmos dies by losing a shared form of life before it loses every claim to live.</w:t>
      </w:r>
    </w:p>
    <w:p w14:paraId="6B9F6C82" w14:textId="77777777" w:rsidR="0078634B" w:rsidRPr="0078634B" w:rsidRDefault="0078634B" w:rsidP="0078634B">
      <w:pPr>
        <w:pStyle w:val="NotesHeading"/>
      </w:pPr>
      <w:r w:rsidRPr="0078634B">
        <w:rPr>
          <w:bCs/>
          <w:szCs w:val="28"/>
        </w:rPr>
        <w:t>Notes</w:t>
      </w:r>
    </w:p>
    <w:p w14:paraId="5E12951C" w14:textId="77777777" w:rsidR="0078634B" w:rsidRPr="0078634B" w:rsidRDefault="0078634B" w:rsidP="0078634B">
      <w:pPr>
        <w:pStyle w:val="NoteEntry"/>
      </w:pPr>
      <w:r w:rsidRPr="0078634B">
        <w:rPr>
          <w:szCs w:val="28"/>
        </w:rPr>
        <w:t xml:space="preserve">1. Alexandra Walsham, </w:t>
      </w:r>
      <w:r w:rsidRPr="0078634B">
        <w:rPr>
          <w:i/>
          <w:szCs w:val="28"/>
        </w:rPr>
        <w:t>The Reformation of the Landscape: Religion, Identity, and Memory in Early Modern Britain and Ireland</w:t>
      </w:r>
      <w:r w:rsidRPr="0078634B">
        <w:rPr>
          <w:szCs w:val="28"/>
        </w:rPr>
        <w:t xml:space="preserve"> (Oxford: Oxford University Press, 2011), 117; Eamon Duffy, </w:t>
      </w:r>
      <w:r w:rsidRPr="0078634B">
        <w:rPr>
          <w:i/>
          <w:szCs w:val="28"/>
        </w:rPr>
        <w:t>The Stripping of the Altars: Traditional Religion in England, c. 1400–c. 1580</w:t>
      </w:r>
      <w:r w:rsidRPr="0078634B">
        <w:rPr>
          <w:szCs w:val="28"/>
        </w:rPr>
        <w:t>, 2nd ed. (New Haven: Yale University Press, 2005), 381.</w:t>
      </w:r>
    </w:p>
    <w:p w14:paraId="09EF43F1" w14:textId="77777777" w:rsidR="0078634B" w:rsidRPr="0078634B" w:rsidRDefault="0078634B" w:rsidP="0078634B">
      <w:pPr>
        <w:pStyle w:val="NoteEntry"/>
      </w:pPr>
      <w:r w:rsidRPr="0078634B">
        <w:rPr>
          <w:szCs w:val="28"/>
        </w:rPr>
        <w:t xml:space="preserve">2. Walsham, </w:t>
      </w:r>
      <w:r w:rsidRPr="0078634B">
        <w:rPr>
          <w:i/>
          <w:szCs w:val="28"/>
        </w:rPr>
        <w:t>Reformation of the Landscape</w:t>
      </w:r>
      <w:r w:rsidRPr="0078634B">
        <w:rPr>
          <w:szCs w:val="28"/>
        </w:rPr>
        <w:t>, 95–97, 117–23.</w:t>
      </w:r>
    </w:p>
    <w:p w14:paraId="3B0E3630" w14:textId="77777777" w:rsidR="0078634B" w:rsidRPr="0078634B" w:rsidRDefault="0078634B" w:rsidP="0078634B">
      <w:pPr>
        <w:pStyle w:val="NoteEntry"/>
      </w:pPr>
      <w:r w:rsidRPr="0078634B">
        <w:rPr>
          <w:szCs w:val="28"/>
        </w:rPr>
        <w:t xml:space="preserve">3. Duffy, </w:t>
      </w:r>
      <w:r w:rsidRPr="0078634B">
        <w:rPr>
          <w:i/>
          <w:szCs w:val="28"/>
        </w:rPr>
        <w:t>Stripping of the Altars</w:t>
      </w:r>
      <w:r w:rsidRPr="0078634B">
        <w:rPr>
          <w:szCs w:val="28"/>
        </w:rPr>
        <w:t>, 381.</w:t>
      </w:r>
    </w:p>
    <w:p w14:paraId="2B41ADC6" w14:textId="77777777" w:rsidR="0078634B" w:rsidRPr="0078634B" w:rsidRDefault="0078634B" w:rsidP="0078634B">
      <w:pPr>
        <w:pStyle w:val="NoteEntry"/>
      </w:pPr>
      <w:r w:rsidRPr="0078634B">
        <w:rPr>
          <w:szCs w:val="28"/>
        </w:rPr>
        <w:t xml:space="preserve">4. Robert W. Scribner, </w:t>
      </w:r>
      <w:r w:rsidRPr="0078634B">
        <w:rPr>
          <w:i/>
          <w:szCs w:val="28"/>
        </w:rPr>
        <w:t>Popular Culture and Popular Movements in Reformation Germany</w:t>
      </w:r>
      <w:r w:rsidRPr="0078634B">
        <w:rPr>
          <w:szCs w:val="28"/>
        </w:rPr>
        <w:t xml:space="preserve"> (London: Hambledon Press, 1987), 1–15.</w:t>
      </w:r>
    </w:p>
    <w:p w14:paraId="11B452B5" w14:textId="77777777" w:rsidR="0078634B" w:rsidRPr="0078634B" w:rsidRDefault="0078634B" w:rsidP="0078634B">
      <w:pPr>
        <w:pStyle w:val="NoteEntry"/>
      </w:pPr>
      <w:r w:rsidRPr="0078634B">
        <w:rPr>
          <w:szCs w:val="28"/>
        </w:rPr>
        <w:t xml:space="preserve">5. William of Ockham, </w:t>
      </w:r>
      <w:r w:rsidRPr="0078634B">
        <w:rPr>
          <w:i/>
          <w:szCs w:val="28"/>
        </w:rPr>
        <w:t>Quodlibetal Questions</w:t>
      </w:r>
      <w:r w:rsidRPr="0078634B">
        <w:rPr>
          <w:szCs w:val="28"/>
        </w:rPr>
        <w:t>, vols. 1–2, trans. Alfred J. Freddoso and Francis E. Kelley (New Haven: Yale University Press, 1991), Sixth Quodlibet, q. 1, 491–93.</w:t>
      </w:r>
    </w:p>
    <w:p w14:paraId="4DD5B20F" w14:textId="77777777" w:rsidR="0078634B" w:rsidRPr="0078634B" w:rsidRDefault="0078634B" w:rsidP="0078634B">
      <w:pPr>
        <w:pStyle w:val="NoteEntry"/>
      </w:pPr>
      <w:r w:rsidRPr="0078634B">
        <w:rPr>
          <w:szCs w:val="28"/>
        </w:rPr>
        <w:t xml:space="preserve">6. Paul Vincent Spade, ed., </w:t>
      </w:r>
      <w:r w:rsidRPr="0078634B">
        <w:rPr>
          <w:i/>
          <w:szCs w:val="28"/>
        </w:rPr>
        <w:t>The Cambridge Companion to Ockham</w:t>
      </w:r>
      <w:r w:rsidRPr="0078634B">
        <w:rPr>
          <w:szCs w:val="28"/>
        </w:rPr>
        <w:t xml:space="preserve"> (Cambridge: Cambridge University Press, 1999), 369–70.</w:t>
      </w:r>
    </w:p>
    <w:p w14:paraId="1A1CCE28" w14:textId="77777777" w:rsidR="0078634B" w:rsidRPr="0078634B" w:rsidRDefault="0078634B" w:rsidP="0078634B">
      <w:pPr>
        <w:pStyle w:val="NoteEntry"/>
      </w:pPr>
      <w:r w:rsidRPr="0078634B">
        <w:rPr>
          <w:szCs w:val="28"/>
        </w:rPr>
        <w:t xml:space="preserve">7. Ockham, </w:t>
      </w:r>
      <w:r w:rsidRPr="0078634B">
        <w:rPr>
          <w:i/>
          <w:szCs w:val="28"/>
        </w:rPr>
        <w:t>Quodlibetal Questions</w:t>
      </w:r>
      <w:r w:rsidRPr="0078634B">
        <w:rPr>
          <w:szCs w:val="28"/>
        </w:rPr>
        <w:t>, Sixth Quodlibet, q. 4, 500.</w:t>
      </w:r>
    </w:p>
    <w:p w14:paraId="5E1D8CCD" w14:textId="77777777" w:rsidR="0078634B" w:rsidRPr="0078634B" w:rsidRDefault="0078634B" w:rsidP="0078634B">
      <w:pPr>
        <w:pStyle w:val="NoteEntry"/>
      </w:pPr>
      <w:r w:rsidRPr="0078634B">
        <w:rPr>
          <w:szCs w:val="28"/>
        </w:rPr>
        <w:t xml:space="preserve">8. Spade, ed., </w:t>
      </w:r>
      <w:r w:rsidRPr="0078634B">
        <w:rPr>
          <w:i/>
          <w:szCs w:val="28"/>
        </w:rPr>
        <w:t>Cambridge Companion to Ockham</w:t>
      </w:r>
      <w:r w:rsidRPr="0078634B">
        <w:rPr>
          <w:szCs w:val="28"/>
        </w:rPr>
        <w:t>, 100–108.</w:t>
      </w:r>
    </w:p>
    <w:p w14:paraId="2EAF7E1F" w14:textId="77777777" w:rsidR="0078634B" w:rsidRPr="0078634B" w:rsidRDefault="0078634B" w:rsidP="0078634B">
      <w:pPr>
        <w:pStyle w:val="NoteEntry"/>
      </w:pPr>
      <w:r w:rsidRPr="0078634B">
        <w:rPr>
          <w:szCs w:val="28"/>
        </w:rPr>
        <w:t xml:space="preserve">9. Spade, ed., </w:t>
      </w:r>
      <w:r w:rsidRPr="0078634B">
        <w:rPr>
          <w:i/>
          <w:szCs w:val="28"/>
        </w:rPr>
        <w:t>Cambridge Companion to Ockham</w:t>
      </w:r>
      <w:r w:rsidRPr="0078634B">
        <w:rPr>
          <w:szCs w:val="28"/>
        </w:rPr>
        <w:t>, 149, 350–70.</w:t>
      </w:r>
    </w:p>
    <w:p w14:paraId="1D864973" w14:textId="77777777" w:rsidR="0078634B" w:rsidRPr="0078634B" w:rsidRDefault="0078634B" w:rsidP="0078634B">
      <w:pPr>
        <w:pStyle w:val="NoteEntry"/>
      </w:pPr>
      <w:r w:rsidRPr="0078634B">
        <w:rPr>
          <w:szCs w:val="28"/>
        </w:rPr>
        <w:t xml:space="preserve">10. Hans Blumenberg, </w:t>
      </w:r>
      <w:r w:rsidRPr="0078634B">
        <w:rPr>
          <w:i/>
          <w:szCs w:val="28"/>
        </w:rPr>
        <w:t>The Legitimacy of the Modern Age</w:t>
      </w:r>
      <w:r w:rsidRPr="0078634B">
        <w:rPr>
          <w:szCs w:val="28"/>
        </w:rPr>
        <w:t>, trans. Robert M. Wallace (Cambridge, MA: MIT Press, 1983), xiii–xix, 149–72.</w:t>
      </w:r>
    </w:p>
    <w:p w14:paraId="43BC809E" w14:textId="77777777" w:rsidR="0078634B" w:rsidRPr="0078634B" w:rsidRDefault="0078634B" w:rsidP="0078634B">
      <w:pPr>
        <w:pStyle w:val="NoteEntry"/>
      </w:pPr>
      <w:r w:rsidRPr="0078634B">
        <w:rPr>
          <w:szCs w:val="28"/>
        </w:rPr>
        <w:t xml:space="preserve">11. Duffy, </w:t>
      </w:r>
      <w:r w:rsidRPr="0078634B">
        <w:rPr>
          <w:i/>
          <w:szCs w:val="28"/>
        </w:rPr>
        <w:t>Stripping of the Altars</w:t>
      </w:r>
      <w:r w:rsidRPr="0078634B">
        <w:rPr>
          <w:szCs w:val="28"/>
        </w:rPr>
        <w:t xml:space="preserve">, 24–40; Miri Rubin, </w:t>
      </w:r>
      <w:r w:rsidRPr="0078634B">
        <w:rPr>
          <w:i/>
          <w:szCs w:val="28"/>
        </w:rPr>
        <w:t>Corpus Christi: The Eucharist in Late Medieval Culture</w:t>
      </w:r>
      <w:r w:rsidRPr="0078634B">
        <w:rPr>
          <w:szCs w:val="28"/>
        </w:rPr>
        <w:t xml:space="preserve"> (Cambridge: Cambridge University Press, 1991), 49–82.</w:t>
      </w:r>
    </w:p>
    <w:p w14:paraId="319EFDF3" w14:textId="77777777" w:rsidR="0078634B" w:rsidRPr="0078634B" w:rsidRDefault="0078634B" w:rsidP="0078634B">
      <w:pPr>
        <w:pStyle w:val="NoteEntry"/>
      </w:pPr>
      <w:r w:rsidRPr="0078634B">
        <w:rPr>
          <w:szCs w:val="28"/>
        </w:rPr>
        <w:t xml:space="preserve">12. Rubin, </w:t>
      </w:r>
      <w:r w:rsidRPr="0078634B">
        <w:rPr>
          <w:i/>
          <w:szCs w:val="28"/>
        </w:rPr>
        <w:t>Corpus Christi</w:t>
      </w:r>
      <w:r w:rsidRPr="0078634B">
        <w:rPr>
          <w:szCs w:val="28"/>
        </w:rPr>
        <w:t>, 83–163, 213–69, 288–369.</w:t>
      </w:r>
    </w:p>
    <w:p w14:paraId="3B8110DE" w14:textId="77777777" w:rsidR="0078634B" w:rsidRPr="0078634B" w:rsidRDefault="0078634B" w:rsidP="0078634B">
      <w:pPr>
        <w:pStyle w:val="NoteEntry"/>
      </w:pPr>
      <w:r w:rsidRPr="0078634B">
        <w:rPr>
          <w:szCs w:val="28"/>
        </w:rPr>
        <w:t xml:space="preserve">13. Gary Macy, “The Medieval Inheritance,” in Lee Palmer Wandel, ed., </w:t>
      </w:r>
      <w:r w:rsidRPr="0078634B">
        <w:rPr>
          <w:i/>
          <w:szCs w:val="28"/>
        </w:rPr>
        <w:t>A Companion to the Eucharist in the Reformation</w:t>
      </w:r>
      <w:r w:rsidRPr="0078634B">
        <w:rPr>
          <w:szCs w:val="28"/>
        </w:rPr>
        <w:t xml:space="preserve"> (Leiden: Brill, 2014), 15–37.</w:t>
      </w:r>
    </w:p>
    <w:p w14:paraId="6170FA53" w14:textId="77777777" w:rsidR="0078634B" w:rsidRPr="0078634B" w:rsidRDefault="0078634B" w:rsidP="0078634B">
      <w:pPr>
        <w:pStyle w:val="NoteEntry"/>
      </w:pPr>
      <w:r w:rsidRPr="0078634B">
        <w:rPr>
          <w:szCs w:val="28"/>
        </w:rPr>
        <w:t xml:space="preserve">14. Andrew Spicer, “Sites of the Eucharist,” in Wandel, ed., </w:t>
      </w:r>
      <w:r w:rsidRPr="0078634B">
        <w:rPr>
          <w:i/>
          <w:szCs w:val="28"/>
        </w:rPr>
        <w:t>Companion to the Eucharist</w:t>
      </w:r>
      <w:r w:rsidRPr="0078634B">
        <w:rPr>
          <w:szCs w:val="28"/>
        </w:rPr>
        <w:t>, 323–63.</w:t>
      </w:r>
    </w:p>
    <w:p w14:paraId="46402EA6" w14:textId="77777777" w:rsidR="0078634B" w:rsidRPr="0078634B" w:rsidRDefault="0078634B" w:rsidP="0078634B">
      <w:pPr>
        <w:pStyle w:val="NoteEntry"/>
      </w:pPr>
      <w:r w:rsidRPr="0078634B">
        <w:rPr>
          <w:szCs w:val="28"/>
        </w:rPr>
        <w:t xml:space="preserve">15. Martin Luther, </w:t>
      </w:r>
      <w:r w:rsidRPr="0078634B">
        <w:rPr>
          <w:i/>
          <w:szCs w:val="28"/>
        </w:rPr>
        <w:t>The Babylonian Captivity of the Church, 1520</w:t>
      </w:r>
      <w:r w:rsidRPr="0078634B">
        <w:rPr>
          <w:szCs w:val="28"/>
        </w:rPr>
        <w:t>, ed. and trans. Erik H. Herrmann and Paul W. Robinson (Minneapolis: Fortress Press, 2016), “The Sacrament of the Bread.”</w:t>
      </w:r>
    </w:p>
    <w:p w14:paraId="274A70BF" w14:textId="77777777" w:rsidR="0078634B" w:rsidRPr="0078634B" w:rsidRDefault="0078634B" w:rsidP="0078634B">
      <w:pPr>
        <w:pStyle w:val="NoteEntry"/>
      </w:pPr>
      <w:r w:rsidRPr="0078634B">
        <w:rPr>
          <w:szCs w:val="28"/>
        </w:rPr>
        <w:t xml:space="preserve">16. Volker Leppin, “Martin Luther,” in Wandel, ed., </w:t>
      </w:r>
      <w:r w:rsidRPr="0078634B">
        <w:rPr>
          <w:i/>
          <w:szCs w:val="28"/>
        </w:rPr>
        <w:t>Companion to the Eucharist</w:t>
      </w:r>
      <w:r w:rsidRPr="0078634B">
        <w:rPr>
          <w:szCs w:val="28"/>
        </w:rPr>
        <w:t xml:space="preserve">, 39–56; Martin Luther, </w:t>
      </w:r>
      <w:r w:rsidRPr="0078634B">
        <w:rPr>
          <w:i/>
          <w:szCs w:val="28"/>
        </w:rPr>
        <w:t>Luther’s Works</w:t>
      </w:r>
      <w:r w:rsidRPr="0078634B">
        <w:rPr>
          <w:szCs w:val="28"/>
        </w:rPr>
        <w:t xml:space="preserve">, vol. 37, </w:t>
      </w:r>
      <w:r w:rsidRPr="0078634B">
        <w:rPr>
          <w:i/>
          <w:szCs w:val="28"/>
        </w:rPr>
        <w:t>Word and Sacrament III</w:t>
      </w:r>
      <w:r w:rsidRPr="0078634B">
        <w:rPr>
          <w:szCs w:val="28"/>
        </w:rPr>
        <w:t>, ed. Robert H. Fischer (Philadelphia: Muhlenberg Press, 1961), 13–150.</w:t>
      </w:r>
    </w:p>
    <w:p w14:paraId="6DD40C13" w14:textId="77777777" w:rsidR="0078634B" w:rsidRPr="0078634B" w:rsidRDefault="0078634B" w:rsidP="0078634B">
      <w:pPr>
        <w:pStyle w:val="NoteEntry"/>
      </w:pPr>
      <w:r w:rsidRPr="0078634B">
        <w:rPr>
          <w:szCs w:val="28"/>
        </w:rPr>
        <w:t xml:space="preserve">17. Thomas H. Schattauer, “From Sacrifice to Supper: Eucharistic Practice in the Lutheran Reformation,” in Wandel, ed., </w:t>
      </w:r>
      <w:r w:rsidRPr="0078634B">
        <w:rPr>
          <w:i/>
          <w:szCs w:val="28"/>
        </w:rPr>
        <w:t>Companion to the Eucharist</w:t>
      </w:r>
      <w:r w:rsidRPr="0078634B">
        <w:rPr>
          <w:szCs w:val="28"/>
        </w:rPr>
        <w:t xml:space="preserve">, 205–30; Carlos M. N. Eire, </w:t>
      </w:r>
      <w:r w:rsidRPr="0078634B">
        <w:rPr>
          <w:i/>
          <w:szCs w:val="28"/>
        </w:rPr>
        <w:t>War Against the Idols: The Reformation of Worship from Erasmus to Calvin</w:t>
      </w:r>
      <w:r w:rsidRPr="0078634B">
        <w:rPr>
          <w:szCs w:val="28"/>
        </w:rPr>
        <w:t xml:space="preserve"> (Cambridge: Cambridge University Press, 1986), 54–73.</w:t>
      </w:r>
    </w:p>
    <w:p w14:paraId="7AE03A0C" w14:textId="77777777" w:rsidR="0078634B" w:rsidRPr="0078634B" w:rsidRDefault="0078634B" w:rsidP="0078634B">
      <w:pPr>
        <w:pStyle w:val="NoteEntry"/>
      </w:pPr>
      <w:r w:rsidRPr="0078634B">
        <w:rPr>
          <w:szCs w:val="28"/>
        </w:rPr>
        <w:t xml:space="preserve">18. Carrie Euler, “Huldrych Zwingli and Heinrich Bullinger,” in Wandel, ed., </w:t>
      </w:r>
      <w:r w:rsidRPr="0078634B">
        <w:rPr>
          <w:i/>
          <w:szCs w:val="28"/>
        </w:rPr>
        <w:t>Companion to the Eucharist</w:t>
      </w:r>
      <w:r w:rsidRPr="0078634B">
        <w:rPr>
          <w:szCs w:val="28"/>
        </w:rPr>
        <w:t>, 57–63.</w:t>
      </w:r>
    </w:p>
    <w:p w14:paraId="071FD606" w14:textId="77777777" w:rsidR="0078634B" w:rsidRPr="0078634B" w:rsidRDefault="0078634B" w:rsidP="0078634B">
      <w:pPr>
        <w:pStyle w:val="NoteEntry"/>
      </w:pPr>
      <w:r w:rsidRPr="0078634B">
        <w:rPr>
          <w:szCs w:val="28"/>
        </w:rPr>
        <w:t xml:space="preserve">19. Euler, “Huldrych Zwingli and Heinrich Bullinger,” 63–73; Huldrych Zwingli, “On the Lord’s Supper,” in </w:t>
      </w:r>
      <w:r w:rsidRPr="0078634B">
        <w:rPr>
          <w:i/>
          <w:szCs w:val="28"/>
        </w:rPr>
        <w:t>Zwingli and Bullinger</w:t>
      </w:r>
      <w:r w:rsidRPr="0078634B">
        <w:rPr>
          <w:szCs w:val="28"/>
        </w:rPr>
        <w:t>, ed. and trans. G. W. Bromiley, Library of Christian Classics 24 (Philadelphia: Westminster Press, 1953), 185–238.</w:t>
      </w:r>
    </w:p>
    <w:p w14:paraId="6B625ACD" w14:textId="77777777" w:rsidR="0078634B" w:rsidRPr="0078634B" w:rsidRDefault="0078634B" w:rsidP="0078634B">
      <w:pPr>
        <w:pStyle w:val="NoteEntry"/>
      </w:pPr>
      <w:r w:rsidRPr="0078634B">
        <w:rPr>
          <w:szCs w:val="28"/>
        </w:rPr>
        <w:t xml:space="preserve">20. John Calvin, </w:t>
      </w:r>
      <w:r w:rsidRPr="0078634B">
        <w:rPr>
          <w:i/>
          <w:szCs w:val="28"/>
        </w:rPr>
        <w:t>Institutes of the Christian Religion</w:t>
      </w:r>
      <w:r w:rsidRPr="0078634B">
        <w:rPr>
          <w:szCs w:val="28"/>
        </w:rPr>
        <w:t>, bk. 4, chap. 17, especially 4.17.10–12 and 4.17.31–33.</w:t>
      </w:r>
    </w:p>
    <w:p w14:paraId="37425446" w14:textId="77777777" w:rsidR="0078634B" w:rsidRPr="0078634B" w:rsidRDefault="0078634B" w:rsidP="0078634B">
      <w:pPr>
        <w:pStyle w:val="NoteEntry"/>
      </w:pPr>
      <w:r w:rsidRPr="0078634B">
        <w:rPr>
          <w:szCs w:val="28"/>
        </w:rPr>
        <w:t xml:space="preserve">21. Nicholas Wolterstorff, “John Calvin,” in Wandel, ed., </w:t>
      </w:r>
      <w:r w:rsidRPr="0078634B">
        <w:rPr>
          <w:i/>
          <w:szCs w:val="28"/>
        </w:rPr>
        <w:t>Companion to the Eucharist</w:t>
      </w:r>
      <w:r w:rsidRPr="0078634B">
        <w:rPr>
          <w:szCs w:val="28"/>
        </w:rPr>
        <w:t>, 97–114; Raymond A. Mentzer, “Reformed Liturgical Practices,” in the same volume, 231–49.</w:t>
      </w:r>
    </w:p>
    <w:p w14:paraId="06A7C731" w14:textId="77777777" w:rsidR="0078634B" w:rsidRPr="0078634B" w:rsidRDefault="0078634B" w:rsidP="0078634B">
      <w:pPr>
        <w:pStyle w:val="NoteEntry"/>
      </w:pPr>
      <w:r w:rsidRPr="0078634B">
        <w:rPr>
          <w:szCs w:val="28"/>
        </w:rPr>
        <w:t xml:space="preserve">22. Wandel, ed., </w:t>
      </w:r>
      <w:r w:rsidRPr="0078634B">
        <w:rPr>
          <w:i/>
          <w:szCs w:val="28"/>
        </w:rPr>
        <w:t>Companion to the Eucharist</w:t>
      </w:r>
      <w:r w:rsidRPr="0078634B">
        <w:rPr>
          <w:szCs w:val="28"/>
        </w:rPr>
        <w:t>, 159–83, 185–321.</w:t>
      </w:r>
    </w:p>
    <w:p w14:paraId="6D915A65" w14:textId="77777777" w:rsidR="0078634B" w:rsidRPr="0078634B" w:rsidRDefault="0078634B" w:rsidP="0078634B">
      <w:pPr>
        <w:pStyle w:val="NoteEntry"/>
      </w:pPr>
      <w:r w:rsidRPr="0078634B">
        <w:rPr>
          <w:szCs w:val="28"/>
        </w:rPr>
        <w:t xml:space="preserve">23. Eire, </w:t>
      </w:r>
      <w:r w:rsidRPr="0078634B">
        <w:rPr>
          <w:i/>
          <w:szCs w:val="28"/>
        </w:rPr>
        <w:t>War Against the Idols</w:t>
      </w:r>
      <w:r w:rsidRPr="0078634B">
        <w:rPr>
          <w:szCs w:val="28"/>
        </w:rPr>
        <w:t>, 1–3.</w:t>
      </w:r>
    </w:p>
    <w:p w14:paraId="7C45CC59" w14:textId="77777777" w:rsidR="0078634B" w:rsidRPr="0078634B" w:rsidRDefault="0078634B" w:rsidP="0078634B">
      <w:pPr>
        <w:pStyle w:val="NoteEntry"/>
      </w:pPr>
      <w:r w:rsidRPr="0078634B">
        <w:rPr>
          <w:szCs w:val="28"/>
        </w:rPr>
        <w:t xml:space="preserve">24. Eire, </w:t>
      </w:r>
      <w:r w:rsidRPr="0078634B">
        <w:rPr>
          <w:i/>
          <w:szCs w:val="28"/>
        </w:rPr>
        <w:t>War Against the Idols</w:t>
      </w:r>
      <w:r w:rsidRPr="0078634B">
        <w:rPr>
          <w:szCs w:val="28"/>
        </w:rPr>
        <w:t>, 3–5.</w:t>
      </w:r>
    </w:p>
    <w:p w14:paraId="1CBD75AF" w14:textId="77777777" w:rsidR="0078634B" w:rsidRPr="0078634B" w:rsidRDefault="0078634B" w:rsidP="0078634B">
      <w:pPr>
        <w:pStyle w:val="NoteEntry"/>
      </w:pPr>
      <w:r w:rsidRPr="0078634B">
        <w:rPr>
          <w:szCs w:val="28"/>
        </w:rPr>
        <w:t xml:space="preserve">25. Eire, </w:t>
      </w:r>
      <w:r w:rsidRPr="0078634B">
        <w:rPr>
          <w:i/>
          <w:szCs w:val="28"/>
        </w:rPr>
        <w:t>War Against the Idols</w:t>
      </w:r>
      <w:r w:rsidRPr="0078634B">
        <w:rPr>
          <w:szCs w:val="28"/>
        </w:rPr>
        <w:t>, 54–73.</w:t>
      </w:r>
    </w:p>
    <w:p w14:paraId="2B587E16" w14:textId="77777777" w:rsidR="0078634B" w:rsidRPr="0078634B" w:rsidRDefault="0078634B" w:rsidP="0078634B">
      <w:pPr>
        <w:pStyle w:val="NoteEntry"/>
      </w:pPr>
      <w:r w:rsidRPr="0078634B">
        <w:rPr>
          <w:szCs w:val="28"/>
        </w:rPr>
        <w:t xml:space="preserve">26. Eire, </w:t>
      </w:r>
      <w:r w:rsidRPr="0078634B">
        <w:rPr>
          <w:i/>
          <w:szCs w:val="28"/>
        </w:rPr>
        <w:t>War Against the Idols</w:t>
      </w:r>
      <w:r w:rsidRPr="0078634B">
        <w:rPr>
          <w:szCs w:val="28"/>
        </w:rPr>
        <w:t>, 73–165.</w:t>
      </w:r>
    </w:p>
    <w:p w14:paraId="7CE9DEB7" w14:textId="77777777" w:rsidR="0078634B" w:rsidRPr="0078634B" w:rsidRDefault="0078634B" w:rsidP="0078634B">
      <w:pPr>
        <w:pStyle w:val="NoteEntry"/>
      </w:pPr>
      <w:r w:rsidRPr="0078634B">
        <w:rPr>
          <w:szCs w:val="28"/>
        </w:rPr>
        <w:t xml:space="preserve">27. Walsham, </w:t>
      </w:r>
      <w:r w:rsidRPr="0078634B">
        <w:rPr>
          <w:i/>
          <w:szCs w:val="28"/>
        </w:rPr>
        <w:t>Reformation of the Landscape</w:t>
      </w:r>
      <w:r w:rsidRPr="0078634B">
        <w:rPr>
          <w:szCs w:val="28"/>
        </w:rPr>
        <w:t>, 95–123.</w:t>
      </w:r>
    </w:p>
    <w:p w14:paraId="331212AF" w14:textId="77777777" w:rsidR="0078634B" w:rsidRPr="0078634B" w:rsidRDefault="0078634B" w:rsidP="0078634B">
      <w:pPr>
        <w:pStyle w:val="NoteEntry"/>
      </w:pPr>
      <w:r w:rsidRPr="0078634B">
        <w:rPr>
          <w:szCs w:val="28"/>
        </w:rPr>
        <w:t xml:space="preserve">28. Walsham, </w:t>
      </w:r>
      <w:r w:rsidRPr="0078634B">
        <w:rPr>
          <w:i/>
          <w:szCs w:val="28"/>
        </w:rPr>
        <w:t>Reformation of the Landscape</w:t>
      </w:r>
      <w:r w:rsidRPr="0078634B">
        <w:rPr>
          <w:szCs w:val="28"/>
        </w:rPr>
        <w:t>, 52, 95–97.</w:t>
      </w:r>
    </w:p>
    <w:p w14:paraId="57639552" w14:textId="77777777" w:rsidR="0078634B" w:rsidRPr="0078634B" w:rsidRDefault="0078634B" w:rsidP="0078634B">
      <w:pPr>
        <w:pStyle w:val="NoteEntry"/>
      </w:pPr>
      <w:r w:rsidRPr="0078634B">
        <w:rPr>
          <w:szCs w:val="28"/>
        </w:rPr>
        <w:t xml:space="preserve">29. Walsham, </w:t>
      </w:r>
      <w:r w:rsidRPr="0078634B">
        <w:rPr>
          <w:i/>
          <w:szCs w:val="28"/>
        </w:rPr>
        <w:t>Reformation of the Landscape</w:t>
      </w:r>
      <w:r w:rsidRPr="0078634B">
        <w:rPr>
          <w:szCs w:val="28"/>
        </w:rPr>
        <w:t>, 1–51, 95–154.</w:t>
      </w:r>
    </w:p>
    <w:p w14:paraId="22644B26" w14:textId="77777777" w:rsidR="0078634B" w:rsidRPr="0078634B" w:rsidRDefault="0078634B" w:rsidP="0078634B">
      <w:pPr>
        <w:pStyle w:val="NoteEntry"/>
      </w:pPr>
      <w:r w:rsidRPr="0078634B">
        <w:rPr>
          <w:szCs w:val="28"/>
        </w:rPr>
        <w:t xml:space="preserve">30. Duffy, </w:t>
      </w:r>
      <w:r w:rsidRPr="0078634B">
        <w:rPr>
          <w:i/>
          <w:szCs w:val="28"/>
        </w:rPr>
        <w:t>Stripping of the Altars</w:t>
      </w:r>
      <w:r w:rsidRPr="0078634B">
        <w:rPr>
          <w:szCs w:val="28"/>
        </w:rPr>
        <w:t>, 13–40.</w:t>
      </w:r>
    </w:p>
    <w:p w14:paraId="7CA3BAE8" w14:textId="77777777" w:rsidR="0078634B" w:rsidRPr="0078634B" w:rsidRDefault="0078634B" w:rsidP="0078634B">
      <w:pPr>
        <w:pStyle w:val="NoteEntry"/>
      </w:pPr>
      <w:r w:rsidRPr="0078634B">
        <w:rPr>
          <w:szCs w:val="28"/>
        </w:rPr>
        <w:t xml:space="preserve">31. Scribner, </w:t>
      </w:r>
      <w:r w:rsidRPr="0078634B">
        <w:rPr>
          <w:i/>
          <w:szCs w:val="28"/>
        </w:rPr>
        <w:t>Popular Culture and Popular Movements</w:t>
      </w:r>
      <w:r w:rsidRPr="0078634B">
        <w:rPr>
          <w:szCs w:val="28"/>
        </w:rPr>
        <w:t>, 1–48, 103–22.</w:t>
      </w:r>
    </w:p>
    <w:p w14:paraId="304648C6" w14:textId="77777777" w:rsidR="0078634B" w:rsidRPr="0078634B" w:rsidRDefault="0078634B" w:rsidP="0078634B">
      <w:pPr>
        <w:pStyle w:val="NoteEntry"/>
      </w:pPr>
      <w:r w:rsidRPr="0078634B">
        <w:rPr>
          <w:szCs w:val="28"/>
        </w:rPr>
        <w:t xml:space="preserve">32. Susan C. Karant-Nunn, </w:t>
      </w:r>
      <w:r w:rsidRPr="0078634B">
        <w:rPr>
          <w:i/>
          <w:szCs w:val="28"/>
        </w:rPr>
        <w:t>The Reformation of Ritual: An Interpretation of Early Modern Germany</w:t>
      </w:r>
      <w:r w:rsidRPr="0078634B">
        <w:rPr>
          <w:szCs w:val="28"/>
        </w:rPr>
        <w:t xml:space="preserve"> (London: Routledge, 1997), 111–16.</w:t>
      </w:r>
    </w:p>
    <w:p w14:paraId="13629C63" w14:textId="77777777" w:rsidR="0078634B" w:rsidRPr="0078634B" w:rsidRDefault="0078634B" w:rsidP="0078634B">
      <w:pPr>
        <w:pStyle w:val="NoteEntry"/>
      </w:pPr>
      <w:r w:rsidRPr="0078634B">
        <w:rPr>
          <w:szCs w:val="28"/>
        </w:rPr>
        <w:t xml:space="preserve">33. Karant-Nunn, </w:t>
      </w:r>
      <w:r w:rsidRPr="0078634B">
        <w:rPr>
          <w:i/>
          <w:szCs w:val="28"/>
        </w:rPr>
        <w:t>Reformation of Ritual</w:t>
      </w:r>
      <w:r w:rsidRPr="0078634B">
        <w:rPr>
          <w:szCs w:val="28"/>
        </w:rPr>
        <w:t>, 144–55.</w:t>
      </w:r>
    </w:p>
    <w:p w14:paraId="49164E3E" w14:textId="77777777" w:rsidR="0078634B" w:rsidRPr="0078634B" w:rsidRDefault="0078634B" w:rsidP="0078634B">
      <w:pPr>
        <w:pStyle w:val="NoteEntry"/>
      </w:pPr>
      <w:r w:rsidRPr="0078634B">
        <w:rPr>
          <w:szCs w:val="28"/>
        </w:rPr>
        <w:t xml:space="preserve">34. Karant-Nunn, </w:t>
      </w:r>
      <w:r w:rsidRPr="0078634B">
        <w:rPr>
          <w:i/>
          <w:szCs w:val="28"/>
        </w:rPr>
        <w:t>Reformation of Ritual</w:t>
      </w:r>
      <w:r w:rsidRPr="0078634B">
        <w:rPr>
          <w:szCs w:val="28"/>
        </w:rPr>
        <w:t>, 155–62.</w:t>
      </w:r>
    </w:p>
    <w:p w14:paraId="77C476EA" w14:textId="77777777" w:rsidR="0078634B" w:rsidRPr="0078634B" w:rsidRDefault="0078634B" w:rsidP="0078634B">
      <w:pPr>
        <w:pStyle w:val="NoteEntry"/>
      </w:pPr>
      <w:r w:rsidRPr="0078634B">
        <w:rPr>
          <w:szCs w:val="28"/>
        </w:rPr>
        <w:t xml:space="preserve">35. Alexandra Walsham, </w:t>
      </w:r>
      <w:r w:rsidRPr="0078634B">
        <w:rPr>
          <w:i/>
          <w:szCs w:val="28"/>
        </w:rPr>
        <w:t>Providence in Early Modern England</w:t>
      </w:r>
      <w:r w:rsidRPr="0078634B">
        <w:rPr>
          <w:szCs w:val="28"/>
        </w:rPr>
        <w:t xml:space="preserve"> (Oxford: Oxford University Press, 1999), 1–17.</w:t>
      </w:r>
    </w:p>
    <w:p w14:paraId="4712D968" w14:textId="77777777" w:rsidR="0078634B" w:rsidRPr="0078634B" w:rsidRDefault="0078634B" w:rsidP="0078634B">
      <w:pPr>
        <w:pStyle w:val="NoteEntry"/>
      </w:pPr>
      <w:r w:rsidRPr="0078634B">
        <w:rPr>
          <w:szCs w:val="28"/>
        </w:rPr>
        <w:t xml:space="preserve">36. Walsham, </w:t>
      </w:r>
      <w:r w:rsidRPr="0078634B">
        <w:rPr>
          <w:i/>
          <w:szCs w:val="28"/>
        </w:rPr>
        <w:t>Providence in Early Modern England</w:t>
      </w:r>
      <w:r w:rsidRPr="0078634B">
        <w:rPr>
          <w:szCs w:val="28"/>
        </w:rPr>
        <w:t>, 116–24.</w:t>
      </w:r>
    </w:p>
    <w:p w14:paraId="392B41EC" w14:textId="77777777" w:rsidR="0078634B" w:rsidRPr="0078634B" w:rsidRDefault="0078634B" w:rsidP="0078634B">
      <w:pPr>
        <w:pStyle w:val="NoteEntry"/>
      </w:pPr>
      <w:r w:rsidRPr="0078634B">
        <w:rPr>
          <w:szCs w:val="28"/>
        </w:rPr>
        <w:t xml:space="preserve">37. Walsham, </w:t>
      </w:r>
      <w:r w:rsidRPr="0078634B">
        <w:rPr>
          <w:i/>
          <w:szCs w:val="28"/>
        </w:rPr>
        <w:t>Providence in Early Modern England</w:t>
      </w:r>
      <w:r w:rsidRPr="0078634B">
        <w:rPr>
          <w:szCs w:val="28"/>
        </w:rPr>
        <w:t>, 124–27.</w:t>
      </w:r>
    </w:p>
    <w:p w14:paraId="4B8CDE17" w14:textId="77777777" w:rsidR="0078634B" w:rsidRPr="0078634B" w:rsidRDefault="0078634B" w:rsidP="0078634B">
      <w:pPr>
        <w:pStyle w:val="NoteEntry"/>
      </w:pPr>
      <w:r w:rsidRPr="0078634B">
        <w:rPr>
          <w:szCs w:val="28"/>
        </w:rPr>
        <w:t xml:space="preserve">38. Walsham, </w:t>
      </w:r>
      <w:r w:rsidRPr="0078634B">
        <w:rPr>
          <w:i/>
          <w:szCs w:val="28"/>
        </w:rPr>
        <w:t>Providence in Early Modern England</w:t>
      </w:r>
      <w:r w:rsidRPr="0078634B">
        <w:rPr>
          <w:szCs w:val="28"/>
        </w:rPr>
        <w:t>, 166–246.</w:t>
      </w:r>
    </w:p>
    <w:p w14:paraId="7630ECA6" w14:textId="77777777" w:rsidR="0078634B" w:rsidRPr="0078634B" w:rsidRDefault="0078634B" w:rsidP="0078634B">
      <w:pPr>
        <w:pStyle w:val="NoteEntry"/>
      </w:pPr>
      <w:r w:rsidRPr="0078634B">
        <w:rPr>
          <w:szCs w:val="28"/>
        </w:rPr>
        <w:t xml:space="preserve">39. Scribner, </w:t>
      </w:r>
      <w:r w:rsidRPr="0078634B">
        <w:rPr>
          <w:i/>
          <w:szCs w:val="28"/>
        </w:rPr>
        <w:t>Popular Culture and Popular Movements</w:t>
      </w:r>
      <w:r w:rsidRPr="0078634B">
        <w:rPr>
          <w:szCs w:val="28"/>
        </w:rPr>
        <w:t>, 13–15.</w:t>
      </w:r>
    </w:p>
    <w:p w14:paraId="4DF38368" w14:textId="77777777" w:rsidR="0078634B" w:rsidRPr="0078634B" w:rsidRDefault="0078634B" w:rsidP="0078634B">
      <w:pPr>
        <w:pStyle w:val="NoteEntry"/>
      </w:pPr>
      <w:r w:rsidRPr="0078634B">
        <w:rPr>
          <w:szCs w:val="28"/>
        </w:rPr>
        <w:t xml:space="preserve">40. Scribner, </w:t>
      </w:r>
      <w:r w:rsidRPr="0078634B">
        <w:rPr>
          <w:i/>
          <w:szCs w:val="28"/>
        </w:rPr>
        <w:t>Popular Culture and Popular Movements</w:t>
      </w:r>
      <w:r w:rsidRPr="0078634B">
        <w:rPr>
          <w:szCs w:val="28"/>
        </w:rPr>
        <w:t>, 49–122, 145–241.</w:t>
      </w:r>
    </w:p>
    <w:p w14:paraId="1205043A" w14:textId="77777777" w:rsidR="0078634B" w:rsidRPr="0078634B" w:rsidRDefault="0078634B" w:rsidP="0078634B">
      <w:pPr>
        <w:pStyle w:val="NoteEntry"/>
      </w:pPr>
      <w:r w:rsidRPr="0078634B">
        <w:rPr>
          <w:szCs w:val="28"/>
        </w:rPr>
        <w:t xml:space="preserve">41. Brad S. Gregory, </w:t>
      </w:r>
      <w:r w:rsidRPr="0078634B">
        <w:rPr>
          <w:i/>
          <w:szCs w:val="28"/>
        </w:rPr>
        <w:t>Salvation at Stake: Christian Martyrdom in Early Modern Europe</w:t>
      </w:r>
      <w:r w:rsidRPr="0078634B">
        <w:rPr>
          <w:szCs w:val="28"/>
        </w:rPr>
        <w:t xml:space="preserve"> (Cambridge, MA: Harvard University Press, 1999), 1–15, 74–196.</w:t>
      </w:r>
    </w:p>
    <w:p w14:paraId="657FD792" w14:textId="77777777" w:rsidR="0078634B" w:rsidRPr="0078634B" w:rsidRDefault="0078634B" w:rsidP="0078634B">
      <w:pPr>
        <w:pStyle w:val="NoteEntry"/>
      </w:pPr>
      <w:r w:rsidRPr="0078634B">
        <w:rPr>
          <w:szCs w:val="28"/>
        </w:rPr>
        <w:t xml:space="preserve">42. Blumenberg, </w:t>
      </w:r>
      <w:r w:rsidRPr="0078634B">
        <w:rPr>
          <w:i/>
          <w:szCs w:val="28"/>
        </w:rPr>
        <w:t>Legitimacy of the Modern Age</w:t>
      </w:r>
      <w:r w:rsidRPr="0078634B">
        <w:rPr>
          <w:szCs w:val="28"/>
        </w:rPr>
        <w:t>, xiii–xix, 149–72.</w:t>
      </w:r>
    </w:p>
    <w:p w14:paraId="747DE636" w14:textId="77777777" w:rsidR="00F0415F" w:rsidRPr="00F0415F" w:rsidRDefault="00F0415F" w:rsidP="00F0415F">
      <w:pPr>
        <w:pStyle w:val="ChapterHeading"/>
      </w:pPr>
      <w:bookmarkStart w:id="13" w:name="toc_chapter_10"/>
      <w:r>
        <w:rPr>
          <w:sz w:val="28"/>
        </w:rPr>
        <w:t>Chapter 10</w:t>
      </w:r>
      <w:r>
        <w:rPr>
          <w:sz w:val="28"/>
        </w:rPr>
        <w:br/>
      </w:r>
      <w:r>
        <w:t>Renaissance Magic and Cosmic Sympathy</w:t>
      </w:r>
      <w:bookmarkEnd w:id="13"/>
    </w:p>
    <w:p w14:paraId="1CF58E38" w14:textId="77777777" w:rsidR="00F0415F" w:rsidRPr="00F0415F" w:rsidRDefault="00F0415F" w:rsidP="00F0415F">
      <w:pPr>
        <w:pStyle w:val="SectionHeading"/>
      </w:pPr>
      <w:r w:rsidRPr="00F0415F">
        <w:rPr>
          <w:bCs/>
          <w:szCs w:val="28"/>
        </w:rPr>
        <w:t>The Scorpion in the Stone</w:t>
      </w:r>
    </w:p>
    <w:p w14:paraId="135DC3B4" w14:textId="77777777" w:rsidR="00F0415F" w:rsidRPr="00F0415F" w:rsidRDefault="00F0415F" w:rsidP="00F0415F">
      <w:pPr>
        <w:pStyle w:val="BookBody"/>
      </w:pPr>
      <w:r w:rsidRPr="00F0415F">
        <w:rPr>
          <w:szCs w:val="28"/>
        </w:rPr>
        <w:t>Marsilio Ficino asks his reader to imagine a scorpion made at the right hour. The object begins as a signet cut from bezoar stone. Its maker waits until the Moon enters Scorpio and the sign stands at one of the four angles of the heavens. He presses the carved figure into frankincense. The impression is then mixed into a drink and given to someone whom an actual scorpion has stung. Ficino does not claim to have performed the cure. He repeats an account attributed to Haly, who said that he had witnessed it in Egypt and that the patient recovered immediately.</w:t>
      </w:r>
      <w:r w:rsidRPr="00F0415F">
        <w:rPr>
          <w:szCs w:val="28"/>
          <w:vertAlign w:val="superscript"/>
        </w:rPr>
        <w:t>1</w:t>
      </w:r>
    </w:p>
    <w:p w14:paraId="0F297D33" w14:textId="77777777" w:rsidR="00F0415F" w:rsidRPr="00F0415F" w:rsidRDefault="00F0415F" w:rsidP="00F0415F">
      <w:pPr>
        <w:pStyle w:val="BookBody"/>
      </w:pPr>
      <w:r w:rsidRPr="00F0415F">
        <w:rPr>
          <w:szCs w:val="28"/>
        </w:rPr>
        <w:t>The story is easy to dismiss, and the cure almost certainly did not work in the manner alleged. Yet dismissal tells us little about why a learned physician, priest, translator of Plato, and head of the most celebrated philosophical circle in fifteenth-century Florence gave it room in a book on health. The scorpion signet was not an ornament placed beside an otherwise rational medicine. It condensed a theory of action. The stone had a material nature. The figure resembled the animal. The time joined the terrestrial image to a celestial configuration. Frankincense carried its own heat, odor, and planetary affiliations. The patient's body offered a receptive matter. Nature became effective through correspondences brought into a technically chosen conjunction.</w:t>
      </w:r>
    </w:p>
    <w:p w14:paraId="45B4D8D5" w14:textId="77777777" w:rsidR="00F0415F" w:rsidRPr="00F0415F" w:rsidRDefault="00F0415F" w:rsidP="00F0415F">
      <w:pPr>
        <w:pStyle w:val="BookBody"/>
      </w:pPr>
      <w:r w:rsidRPr="00F0415F">
        <w:rPr>
          <w:szCs w:val="28"/>
        </w:rPr>
        <w:t>No single resemblance was supposed to accomplish the work. The name Scorpio, the carved scorpion, the animal's poison, the lunar position, the substance of the signet, the medium of frankincense, and the patient's injured body belonged to different levels of one event. The operator did not create their powers. He selected, concentrated, and applied them. Magic in this register was an art of timing and composition: knowledge becoming efficacious by arranging a passage between above and below.</w:t>
      </w:r>
    </w:p>
    <w:p w14:paraId="45EF2BE9" w14:textId="77777777" w:rsidR="00F0415F" w:rsidRPr="00F0415F" w:rsidRDefault="00F0415F" w:rsidP="00F0415F">
      <w:pPr>
        <w:pStyle w:val="BookBody"/>
      </w:pPr>
      <w:r w:rsidRPr="00F0415F">
        <w:rPr>
          <w:szCs w:val="28"/>
        </w:rPr>
        <w:t>The same example also exposes the uncertainty of that passage. Why should a likeness cut into stone receive anything from a constellation? If the effect followed from the stone's hidden medical quality, the figure might be superfluous. If it followed from the figure as a meaningful sign, a mind seemed to be required to read it. That mind might be the patient's imagination, the operator's intention, a planetary soul, an angel, or a demon waiting behind an apparently natural operation. Ficino repeatedly approaches this boundary and retreats from it. He prefers compounds of herbs and medicines to hard talismans because their action seems more probable; yet he will not wholly close the door on images.</w:t>
      </w:r>
      <w:r w:rsidRPr="00F0415F">
        <w:rPr>
          <w:szCs w:val="28"/>
          <w:vertAlign w:val="superscript"/>
        </w:rPr>
        <w:t>2</w:t>
      </w:r>
    </w:p>
    <w:p w14:paraId="03745CE5" w14:textId="77777777" w:rsidR="00F0415F" w:rsidRPr="00F0415F" w:rsidRDefault="00F0415F" w:rsidP="00F0415F">
      <w:pPr>
        <w:pStyle w:val="BookBody"/>
      </w:pPr>
      <w:r w:rsidRPr="00F0415F">
        <w:rPr>
          <w:szCs w:val="28"/>
        </w:rPr>
        <w:t>The object therefore carries both promise and accusation. It promises that matter is more communicative than ordinary sensation reveals. It invites the charge that resemblance has been mistaken for cause, that coincidence has been dressed as celestial order, and that demons have entered through an art advertised as medicine. Renaissance natural magic lived within this instability. Its practitioners wanted an operative nature—one whose hidden relations could be learned and used—without always agreeing where nature ended or which invisible agencies belonged within it.</w:t>
      </w:r>
    </w:p>
    <w:p w14:paraId="221C691A" w14:textId="77777777" w:rsidR="00F0415F" w:rsidRPr="00F0415F" w:rsidRDefault="00F0415F" w:rsidP="00F0415F">
      <w:pPr>
        <w:pStyle w:val="BookBody"/>
      </w:pPr>
      <w:r w:rsidRPr="00F0415F">
        <w:rPr>
          <w:szCs w:val="28"/>
        </w:rPr>
        <w:t>Chapter 9 ended with the fragmentation of a common sacramental world. The rood, host, shrine, calendar, and providential event did not become meaningless, but their meanings became confessional claims. Renaissance magic occupied a different terrain. It did not restore the lost consensus, and it was not a secret modern science concealed beneath exotic language. It attempted to construct technical participation in a cosmos whose sympathies might still cross the boundaries that theology, reform, and philosophical criticism had made unstable.</w:t>
      </w:r>
    </w:p>
    <w:p w14:paraId="36F8CEDB" w14:textId="77777777" w:rsidR="00F0415F" w:rsidRPr="00F0415F" w:rsidRDefault="00F0415F" w:rsidP="00F0415F">
      <w:pPr>
        <w:pStyle w:val="BookBody"/>
      </w:pPr>
      <w:r w:rsidRPr="00F0415F">
        <w:rPr>
          <w:szCs w:val="28"/>
        </w:rPr>
        <w:t>The road is important precisely because it was not simply taken. Learned magic intensified at the threshold of modern science, shared books and problems with medicine and natural philosophy, and then became one of the bodies of knowledge through whose rejection modern disciplines defined themselves. Its history is neither the survival of primitive credulity nor the biography of a heroic alternative modernity. The scorpion in the stone asks a harder question: what kind of world must exist for a sign, a star, an odor, and a wounded body to act together—and what happens when that world can no longer command assent?</w:t>
      </w:r>
    </w:p>
    <w:p w14:paraId="02247B2F" w14:textId="77777777" w:rsidR="00F0415F" w:rsidRPr="00F0415F" w:rsidRDefault="00F0415F" w:rsidP="00F0415F">
      <w:pPr>
        <w:pStyle w:val="SectionHeading"/>
      </w:pPr>
      <w:r w:rsidRPr="00F0415F">
        <w:rPr>
          <w:bCs/>
          <w:szCs w:val="28"/>
        </w:rPr>
        <w:t>A Technical Road Not Taken</w:t>
      </w:r>
    </w:p>
    <w:p w14:paraId="4C966276" w14:textId="77777777" w:rsidR="00F0415F" w:rsidRPr="00F0415F" w:rsidRDefault="00F0415F" w:rsidP="00F0415F">
      <w:pPr>
        <w:pStyle w:val="BookBody"/>
      </w:pPr>
      <w:r w:rsidRPr="00F0415F">
        <w:rPr>
          <w:szCs w:val="28"/>
        </w:rPr>
        <w:t xml:space="preserve">The word </w:t>
      </w:r>
      <w:r w:rsidRPr="00F0415F">
        <w:rPr>
          <w:i/>
          <w:szCs w:val="28"/>
        </w:rPr>
        <w:t>magic</w:t>
      </w:r>
      <w:r w:rsidRPr="00F0415F">
        <w:rPr>
          <w:szCs w:val="28"/>
        </w:rPr>
        <w:t xml:space="preserve"> named too many things to function as a stable category. It could describe demonic invocation, sleight of hand, illicit divination, medicinal experiment, optical marvel, the hidden virtues of plants and stones, the manipulation of images, or the supreme practical part of natural philosophy. Accusation and self-description overlapped. One writer's natural art was another theologian's superstition; one operator's angel was another's demon. The confusion was not incidental. It was generated by the very problem magic claimed to solve: invisible causation could not easily display its credentials.</w:t>
      </w:r>
    </w:p>
    <w:p w14:paraId="404C1F0A" w14:textId="77777777" w:rsidR="00F0415F" w:rsidRPr="00F0415F" w:rsidRDefault="00F0415F" w:rsidP="00F0415F">
      <w:pPr>
        <w:pStyle w:val="BookBody"/>
      </w:pPr>
      <w:r w:rsidRPr="00F0415F">
        <w:rPr>
          <w:szCs w:val="28"/>
        </w:rPr>
        <w:t>Natural magic offered the most defensible formulation. If nature contained qualities whose effects were real although their mechanisms were occult—that is, hidden from ordinary observation—then the learned investigator could discover and combine them without violating nature. A magnet drew iron without pushing it visibly. Medicines purged, heated, cooled, or cheered through properties not reducible to their obvious texture. Certain stones were reported to stop bleeding, resist poison, or alter the imagination. The category of occult quality did not mean that no cause existed. It meant that the cause was known by its effect before it was adequately explained.</w:t>
      </w:r>
    </w:p>
    <w:p w14:paraId="434F88C4" w14:textId="77777777" w:rsidR="00F0415F" w:rsidRPr="00F0415F" w:rsidRDefault="00F0415F" w:rsidP="00F0415F">
      <w:pPr>
        <w:pStyle w:val="BookBody"/>
      </w:pPr>
      <w:r w:rsidRPr="00F0415F">
        <w:rPr>
          <w:szCs w:val="28"/>
        </w:rPr>
        <w:t xml:space="preserve">This position belonged as much to medieval Aristotelian medicine as to Renaissance Platonism. Brian Copenhaver has shown that Ficino's magic cannot be understood as a Neoplatonic eruption into an otherwise disenchanted scholastic world. Ficino supplied his claims with Aristotelian accounts of form, celestial causation, matter, and the powers of natural substances. His magic was a learned assemblage in which Plotinus, Proclus, Thomas Aquinas, medical authorities, Arabic astral texts, and the </w:t>
      </w:r>
      <w:r w:rsidRPr="00F0415F">
        <w:rPr>
          <w:i/>
          <w:szCs w:val="28"/>
        </w:rPr>
        <w:t>Picatrix</w:t>
      </w:r>
      <w:r w:rsidRPr="00F0415F">
        <w:rPr>
          <w:szCs w:val="28"/>
        </w:rPr>
        <w:t xml:space="preserve"> could occupy the same argument.</w:t>
      </w:r>
      <w:r w:rsidRPr="00F0415F">
        <w:rPr>
          <w:szCs w:val="28"/>
          <w:vertAlign w:val="superscript"/>
        </w:rPr>
        <w:t>3</w:t>
      </w:r>
      <w:r w:rsidRPr="00F0415F">
        <w:rPr>
          <w:szCs w:val="28"/>
        </w:rPr>
        <w:t xml:space="preserve"> Renaissance magic was innovative not because it abandoned the schools but because it recombined their materials with newly recovered ancient sources and new ambitions for practice.</w:t>
      </w:r>
    </w:p>
    <w:p w14:paraId="5D3EA1A4" w14:textId="77777777" w:rsidR="00F0415F" w:rsidRPr="00F0415F" w:rsidRDefault="00F0415F" w:rsidP="00F0415F">
      <w:pPr>
        <w:pStyle w:val="BookBody"/>
      </w:pPr>
      <w:r w:rsidRPr="00F0415F">
        <w:rPr>
          <w:szCs w:val="28"/>
        </w:rPr>
        <w:t>Calling it technical does not make it technological in the modern sense. The goal was not to reduce nature to inert particles governed by mathematically expressible laws and available for unlimited control. The operator worked within qualitative differences and hierarchies. A plant was Solar not merely because it absorbed a measurable quantity of radiation but because its color, odor, heat, shape, vitality, and effects made it analogous to the Sun. Gold, saffron, the lion, the heart, magnanimity, and light could gather into the same family without becoming identical. Knowledge consisted in perceiving such families and choosing their strongest members.</w:t>
      </w:r>
    </w:p>
    <w:p w14:paraId="46CBF3A2" w14:textId="77777777" w:rsidR="00F0415F" w:rsidRPr="00F0415F" w:rsidRDefault="00F0415F" w:rsidP="00F0415F">
      <w:pPr>
        <w:pStyle w:val="BookBody"/>
      </w:pPr>
      <w:r w:rsidRPr="00F0415F">
        <w:rPr>
          <w:szCs w:val="28"/>
        </w:rPr>
        <w:t>Nor was the operator external to the operation. His health, temperament, imagination, faith, desire, and timing could determine whether the work succeeded. The knowing subject was one of the instruments. A melancholic scholar under Saturn did not investigate a neutral planet from outside; his body and habits already disclosed a Saturnian relation. To know the remedy was to alter that relation through food, scent, light, companionship, motion, song, and sometimes image. Magic was an applied anthropology because the human being, as microcosm, was the place where several levels of the world could meet.</w:t>
      </w:r>
    </w:p>
    <w:p w14:paraId="194E6CA3" w14:textId="77777777" w:rsidR="00F0415F" w:rsidRPr="00F0415F" w:rsidRDefault="00F0415F" w:rsidP="00F0415F">
      <w:pPr>
        <w:pStyle w:val="BookBody"/>
      </w:pPr>
      <w:r w:rsidRPr="00F0415F">
        <w:rPr>
          <w:szCs w:val="28"/>
        </w:rPr>
        <w:t>The microcosm was not democratic. It often placed the learned male operator above bodies, substances, women, laborers, colonial others, and the supposedly ignorant crowd whose credulity he both condemned and required. Secret knowledge created rank. The magus claimed disciplined access to powers that common ritualists mishandled. Pico would describe magic as the summit of a rational nature; Bruno would distinguish superior people capable of directing imagination from those passively governed by it. An art of cosmic connection could therefore authorize social separation.</w:t>
      </w:r>
      <w:r w:rsidRPr="00F0415F">
        <w:rPr>
          <w:szCs w:val="28"/>
          <w:vertAlign w:val="superscript"/>
        </w:rPr>
        <w:t>4</w:t>
      </w:r>
    </w:p>
    <w:p w14:paraId="70AA7A6F" w14:textId="77777777" w:rsidR="00F0415F" w:rsidRPr="00F0415F" w:rsidRDefault="00F0415F" w:rsidP="00F0415F">
      <w:pPr>
        <w:pStyle w:val="BookBody"/>
      </w:pPr>
      <w:r w:rsidRPr="00F0415F">
        <w:rPr>
          <w:szCs w:val="28"/>
        </w:rPr>
        <w:t>Its technical character also made failure unusually difficult to adjudicate. If a medicine failed, perhaps the material was impure, the hour mistimed, the patient improperly disposed, the operator's imagination weak, or a hostile influence stronger. A theory with many correspondences possessed many resources for explaining disappointment. This flexibility preserved experiment, but it also sheltered false claims. Repetition did not necessarily isolate variables; it could generate further qualifications within the system.</w:t>
      </w:r>
    </w:p>
    <w:p w14:paraId="5727F0A1" w14:textId="77777777" w:rsidR="00F0415F" w:rsidRPr="00F0415F" w:rsidRDefault="00F0415F" w:rsidP="00F0415F">
      <w:pPr>
        <w:pStyle w:val="BookBody"/>
      </w:pPr>
      <w:r w:rsidRPr="00F0415F">
        <w:rPr>
          <w:szCs w:val="28"/>
        </w:rPr>
        <w:t>Learned magic should therefore be granted neither automatic rationality nor automatic absurdity. It organized observations, inherited practices, textual authorities, theological limits, and material procedures into a coherent effort to act. Some components—diet, fragrance, music therapy, attention to emotion, empirical study of plants—could produce effects without the astral causes assigned to them. Others—talismanic cures, astrological elections, demonic expulsion by planetary rites—rested on claims that fail. The historical task is to understand why these belonged together before later disciplines separated them.</w:t>
      </w:r>
    </w:p>
    <w:p w14:paraId="32473784" w14:textId="77777777" w:rsidR="00F0415F" w:rsidRPr="00F0415F" w:rsidRDefault="00F0415F" w:rsidP="00F0415F">
      <w:pPr>
        <w:pStyle w:val="BookBody"/>
      </w:pPr>
      <w:r w:rsidRPr="00F0415F">
        <w:rPr>
          <w:szCs w:val="28"/>
        </w:rPr>
        <w:t xml:space="preserve">That separation had not yet occurred in Ficino's study. Medicine, music, theology, astrology, and philosophy converged on a vapor called </w:t>
      </w:r>
      <w:r w:rsidRPr="00F0415F">
        <w:rPr>
          <w:i/>
          <w:szCs w:val="28"/>
        </w:rPr>
        <w:t>spiritus</w:t>
      </w:r>
      <w:r w:rsidRPr="00F0415F">
        <w:rPr>
          <w:szCs w:val="28"/>
        </w:rPr>
        <w:t>. In it the road not taken acquired something like an engineering medium.</w:t>
      </w:r>
    </w:p>
    <w:p w14:paraId="7129936C" w14:textId="77777777" w:rsidR="00F0415F" w:rsidRPr="00F0415F" w:rsidRDefault="00F0415F" w:rsidP="00F0415F">
      <w:pPr>
        <w:pStyle w:val="SectionHeading"/>
      </w:pPr>
      <w:r w:rsidRPr="00F0415F">
        <w:rPr>
          <w:bCs/>
          <w:szCs w:val="28"/>
        </w:rPr>
        <w:t>An Ancient Theology Arrives Too Late</w:t>
      </w:r>
    </w:p>
    <w:p w14:paraId="63099995" w14:textId="77777777" w:rsidR="00F0415F" w:rsidRPr="00F0415F" w:rsidRDefault="00F0415F" w:rsidP="00F0415F">
      <w:pPr>
        <w:pStyle w:val="BookBody"/>
      </w:pPr>
      <w:r w:rsidRPr="00F0415F">
        <w:rPr>
          <w:szCs w:val="28"/>
        </w:rPr>
        <w:t>In 1463 Cosimo de' Medici reportedly interrupted Ficino's translation of Plato and asked him to translate a newly available Greek collection attributed to Hermes Trismegistus. The decision expressed an order of antiquity. Hermes was believed to be an Egyptian sage of enormous age, a contemporary or predecessor of Moses, from whom a chain of wisdom had passed through Orpheus and Pythagoras to Plato. If the earliest pagan theology already spoke of one God, divine mind, providence, rebirth, and a living cosmos, Platonic philosophy could appear not as a rival to Christianity but as a partial ancient witness to it.</w:t>
      </w:r>
      <w:r w:rsidRPr="00F0415F">
        <w:rPr>
          <w:szCs w:val="28"/>
          <w:vertAlign w:val="superscript"/>
        </w:rPr>
        <w:t>5</w:t>
      </w:r>
    </w:p>
    <w:p w14:paraId="0255D302" w14:textId="77777777" w:rsidR="00F0415F" w:rsidRPr="00F0415F" w:rsidRDefault="00F0415F" w:rsidP="00F0415F">
      <w:pPr>
        <w:pStyle w:val="BookBody"/>
      </w:pPr>
      <w:r w:rsidRPr="00F0415F">
        <w:rPr>
          <w:szCs w:val="28"/>
        </w:rPr>
        <w:t xml:space="preserve">The chronology was wrong. The Greek treatises now called the </w:t>
      </w:r>
      <w:r w:rsidRPr="00F0415F">
        <w:rPr>
          <w:i/>
          <w:szCs w:val="28"/>
        </w:rPr>
        <w:t>Corpus Hermeticum</w:t>
      </w:r>
      <w:r w:rsidRPr="00F0415F">
        <w:rPr>
          <w:szCs w:val="28"/>
        </w:rPr>
        <w:t xml:space="preserve"> were composed in the Roman imperial period, not in pharaonic antiquity. They gathered Hellenistic philosophical and religious currents in an Egyptian setting. Isaac Casaubon's philological work in the early seventeenth century made the late date difficult to deny, although the prestige of Hermes did not evaporate at once. Ficino and his contemporaries did not possess that dating. They encountered a text whose imagined antiquity altered its force.</w:t>
      </w:r>
    </w:p>
    <w:p w14:paraId="318C9A17" w14:textId="77777777" w:rsidR="00F0415F" w:rsidRPr="00F0415F" w:rsidRDefault="00F0415F" w:rsidP="00F0415F">
      <w:pPr>
        <w:pStyle w:val="BookBody"/>
      </w:pPr>
      <w:r w:rsidRPr="00F0415F">
        <w:rPr>
          <w:szCs w:val="28"/>
        </w:rPr>
        <w:t>The error matters without turning the Renaissance readers into fools. Texts act through the histories assigned to them as well as through their contents. An Egyptian Hermes older than Plato could authorize a Christian-Platonic genealogy that a late-antique Hermes could not. The recovered corpus seemed to place philosophical religion before the divisions of Greek schools and before the institutional history of the church. It offered not novelty but return: a wisdom ancient enough to judge the present.</w:t>
      </w:r>
    </w:p>
    <w:p w14:paraId="7A003E32" w14:textId="77777777" w:rsidR="00F0415F" w:rsidRPr="00F0415F" w:rsidRDefault="00F0415F" w:rsidP="00F0415F">
      <w:pPr>
        <w:pStyle w:val="BookBody"/>
      </w:pPr>
      <w:r w:rsidRPr="00F0415F">
        <w:rPr>
          <w:szCs w:val="28"/>
        </w:rPr>
        <w:t xml:space="preserve">The Hermetic world was densely alive. Mind and spirit traversed the cosmos. Human beings occupied an intermediate dignity, mortal in body and divine in intellect. The visible world was an image of intelligible order and itself a living being. Most dangerous was the </w:t>
      </w:r>
      <w:r w:rsidRPr="00F0415F">
        <w:rPr>
          <w:i/>
          <w:szCs w:val="28"/>
        </w:rPr>
        <w:t>Asclepius</w:t>
      </w:r>
      <w:r w:rsidRPr="00F0415F">
        <w:rPr>
          <w:szCs w:val="28"/>
        </w:rPr>
        <w:t>, preserved in Latin through the Middle Ages. It praised human beings as makers of terrestrial gods and described statues filled with spirit, capable of prophecy, healing, and harm. Their animation involved herbs, stones, aromas, hymns, and celestial powers—the same unstable border between natural sympathy and spirit agency that Ficino approached in his talismans.</w:t>
      </w:r>
      <w:r w:rsidRPr="00F0415F">
        <w:rPr>
          <w:szCs w:val="28"/>
          <w:vertAlign w:val="superscript"/>
        </w:rPr>
        <w:t>6</w:t>
      </w:r>
    </w:p>
    <w:p w14:paraId="765EECD6" w14:textId="77777777" w:rsidR="00F0415F" w:rsidRPr="00F0415F" w:rsidRDefault="00F0415F" w:rsidP="00F0415F">
      <w:pPr>
        <w:pStyle w:val="BookBody"/>
      </w:pPr>
      <w:r w:rsidRPr="00F0415F">
        <w:rPr>
          <w:szCs w:val="28"/>
        </w:rPr>
        <w:t xml:space="preserve">The passage carried a Christian indictment with it. Augustine had cited the god-making statues in </w:t>
      </w:r>
      <w:r w:rsidRPr="00F0415F">
        <w:rPr>
          <w:i/>
          <w:szCs w:val="28"/>
        </w:rPr>
        <w:t>The City of God</w:t>
      </w:r>
      <w:r w:rsidRPr="00F0415F">
        <w:rPr>
          <w:szCs w:val="28"/>
        </w:rPr>
        <w:t xml:space="preserve"> as evidence that Egyptian wisdom was demonic. Ficino could not simply recover Hermetic religion as innocent philosophy. He translated and revered Hermes while placing distance between his own medicine and idolatrous animation. The source was authoritative and contaminated at once. That ambivalence would become constitutive of Renaissance magic: ancient wisdom promised access to nature's sacred depth, while its ritual techniques threatened to reveal the pagan worship Christianity claimed to have overcome.</w:t>
      </w:r>
    </w:p>
    <w:p w14:paraId="32B0C481" w14:textId="77777777" w:rsidR="00F0415F" w:rsidRPr="00F0415F" w:rsidRDefault="00F0415F" w:rsidP="00F0415F">
      <w:pPr>
        <w:pStyle w:val="BookBody"/>
      </w:pPr>
      <w:r w:rsidRPr="00F0415F">
        <w:rPr>
          <w:szCs w:val="28"/>
        </w:rPr>
        <w:t xml:space="preserve">Frances Yates made this recovery central to a powerful twentieth-century narrative. In </w:t>
      </w:r>
      <w:r w:rsidRPr="00F0415F">
        <w:rPr>
          <w:i/>
          <w:szCs w:val="28"/>
        </w:rPr>
        <w:t>Giordano Bruno and the Hermetic Tradition</w:t>
      </w:r>
      <w:r w:rsidRPr="00F0415F">
        <w:rPr>
          <w:szCs w:val="28"/>
        </w:rPr>
        <w:t>, she presented Ficino, Pico, and Bruno within a Renaissance Hermetic movement whose magical image of humanity helped break the medieval enclosure and energize new attitudes toward nature. Her work transformed the study of magic by insisting that material once treated as irrational debris belonged near the center of Renaissance intellectual history.</w:t>
      </w:r>
      <w:r w:rsidRPr="00F0415F">
        <w:rPr>
          <w:szCs w:val="28"/>
          <w:vertAlign w:val="superscript"/>
        </w:rPr>
        <w:t>7</w:t>
      </w:r>
      <w:r w:rsidRPr="00F0415F">
        <w:rPr>
          <w:szCs w:val="28"/>
        </w:rPr>
        <w:t xml:space="preserve"> That achievement remains even where her model does not.</w:t>
      </w:r>
    </w:p>
    <w:p w14:paraId="426F5EF5" w14:textId="77777777" w:rsidR="00F0415F" w:rsidRPr="00F0415F" w:rsidRDefault="00F0415F" w:rsidP="00F0415F">
      <w:pPr>
        <w:pStyle w:val="BookBody"/>
      </w:pPr>
      <w:r w:rsidRPr="00F0415F">
        <w:rPr>
          <w:szCs w:val="28"/>
        </w:rPr>
        <w:t xml:space="preserve">The difficulties are substantial. There was no single Hermetic tradition with a stable doctrine. Neoplatonic, scholastic, Arabic, Jewish, medical, astrological, and Christian sources mattered alongside the Hermetica. Ficino's operative theories often depended more directly on Plotinus, Proclus, Thomas, and the </w:t>
      </w:r>
      <w:r w:rsidRPr="00F0415F">
        <w:rPr>
          <w:i/>
          <w:szCs w:val="28"/>
        </w:rPr>
        <w:t>Picatrix</w:t>
      </w:r>
      <w:r w:rsidRPr="00F0415F">
        <w:rPr>
          <w:szCs w:val="28"/>
        </w:rPr>
        <w:t xml:space="preserve"> than on the Greek Hermetic corpus. Pico's magic cannot be described simply as Ficino's natural magic completed by Cabala. Bruno's infinity drew from Cusanus, Copernicus, Lucretius, and his own metaphysics as well as from a Hermetic vision of living unity. Yates sometimes turned a contested archive into an underground movement marching toward modernity.</w:t>
      </w:r>
    </w:p>
    <w:p w14:paraId="459AAB87" w14:textId="77777777" w:rsidR="00F0415F" w:rsidRPr="00F0415F" w:rsidRDefault="00F0415F" w:rsidP="00F0415F">
      <w:pPr>
        <w:pStyle w:val="BookBody"/>
      </w:pPr>
      <w:r w:rsidRPr="00F0415F">
        <w:rPr>
          <w:szCs w:val="28"/>
        </w:rPr>
        <w:t>Wouter Hanegraaff has placed that story within a longer history of exclusion. “Esotericism” was not merely a self-contained tradition waiting for historians to notice it. It was formed as a category of rejected knowledge through polemics in which Christian, Enlightenment, scientific, and later academic identities distinguished themselves from pagan philosophy, superstition, occultism, and irrationality. The archive is real, but its apparent unity owes something to the forces that expelled its contents together.</w:t>
      </w:r>
      <w:r w:rsidRPr="00F0415F">
        <w:rPr>
          <w:szCs w:val="28"/>
          <w:vertAlign w:val="superscript"/>
        </w:rPr>
        <w:t>8</w:t>
      </w:r>
    </w:p>
    <w:p w14:paraId="59B341AB" w14:textId="77777777" w:rsidR="00F0415F" w:rsidRPr="00F0415F" w:rsidRDefault="00F0415F" w:rsidP="00F0415F">
      <w:pPr>
        <w:pStyle w:val="BookBody"/>
      </w:pPr>
      <w:r w:rsidRPr="00F0415F">
        <w:rPr>
          <w:szCs w:val="28"/>
        </w:rPr>
        <w:t>The Hermetic recovery was thus a return to an antiquity that never existed in the form Renaissance thinkers imagined. Yet the mistake opened a real intellectual space. It allowed nature to be read as revelation, the human artisan as an imitator of divine making, and philosophy as a recovery of sacred operations. It also made chronological criticism a theological event. When Hermes became younger than Christianity, an entire authorization of cosmic participation lost its oldest witness.</w:t>
      </w:r>
    </w:p>
    <w:p w14:paraId="4CEB1EFA" w14:textId="77777777" w:rsidR="00F0415F" w:rsidRPr="00F0415F" w:rsidRDefault="00F0415F" w:rsidP="00F0415F">
      <w:pPr>
        <w:pStyle w:val="BookBody"/>
      </w:pPr>
      <w:r w:rsidRPr="00F0415F">
        <w:rPr>
          <w:szCs w:val="28"/>
        </w:rPr>
        <w:t>The road not taken began, in part, with a date. Ancient theology arrived in Florence carrying the future because readers believed it came from the beginning.</w:t>
      </w:r>
    </w:p>
    <w:p w14:paraId="73103F33" w14:textId="77777777" w:rsidR="00F0415F" w:rsidRPr="00F0415F" w:rsidRDefault="00F0415F" w:rsidP="00F0415F">
      <w:pPr>
        <w:pStyle w:val="SectionHeading"/>
      </w:pPr>
      <w:r w:rsidRPr="00F0415F">
        <w:rPr>
          <w:bCs/>
          <w:szCs w:val="28"/>
        </w:rPr>
        <w:t>The Scholar Under Saturn</w:t>
      </w:r>
    </w:p>
    <w:p w14:paraId="51557453" w14:textId="77777777" w:rsidR="00F0415F" w:rsidRPr="00F0415F" w:rsidRDefault="00F0415F" w:rsidP="00F0415F">
      <w:pPr>
        <w:pStyle w:val="BookBody"/>
      </w:pPr>
      <w:r w:rsidRPr="00F0415F">
        <w:rPr>
          <w:szCs w:val="28"/>
        </w:rPr>
        <w:t>Ficino's magic begins less with domination than with fatigue. The scholar sits too long, thinks too intensely, neglects the body, and consumes the subtle vapor required for sensation and imagination. Blood becomes dense, dry, and black. Digestion falters. Sleep changes. Anxiety, sadness, and fixation gather under the traditional complex of melancholy. The life of the mind produces a bodily danger.</w:t>
      </w:r>
    </w:p>
    <w:p w14:paraId="565C641A" w14:textId="77777777" w:rsidR="00F0415F" w:rsidRPr="00F0415F" w:rsidRDefault="00F0415F" w:rsidP="00F0415F">
      <w:pPr>
        <w:pStyle w:val="BookBody"/>
      </w:pPr>
      <w:r w:rsidRPr="00F0415F">
        <w:rPr>
          <w:szCs w:val="28"/>
        </w:rPr>
        <w:t>The planet Saturn intensified the diagnosis. Saturn was cold, dry, slow, remote, and associated with old age, contemplation, solitude, and melancholy. It could lower the person into lethargy and fear or raise the exceptional intellect toward difficult knowledge. This ambiguity made it the scholar's planet. The same disposition that threatened madness could enable sustained contemplation if it were tempered rather than erased. Ficino's task was not to make the Saturnian person ordinary. It was to keep a dangerous excellence alive.</w:t>
      </w:r>
      <w:r w:rsidRPr="00F0415F">
        <w:rPr>
          <w:szCs w:val="28"/>
          <w:vertAlign w:val="superscript"/>
        </w:rPr>
        <w:t>9</w:t>
      </w:r>
    </w:p>
    <w:p w14:paraId="31790C04" w14:textId="77777777" w:rsidR="00F0415F" w:rsidRPr="00F0415F" w:rsidRDefault="00F0415F" w:rsidP="00F0415F">
      <w:pPr>
        <w:pStyle w:val="BookBody"/>
      </w:pPr>
      <w:r w:rsidRPr="00F0415F">
        <w:rPr>
          <w:i/>
          <w:szCs w:val="28"/>
        </w:rPr>
        <w:t>Three Books on Life</w:t>
      </w:r>
      <w:r w:rsidRPr="00F0415F">
        <w:rPr>
          <w:szCs w:val="28"/>
        </w:rPr>
        <w:t xml:space="preserve"> therefore joins advice that modern readers divide among hygiene, psychology, pharmacology, astrology, music, and magic. The scholar should regulate sleep and excretion, avoid stale air, choose suitable foods, drink moderate wine, employ aromatic substances, walk in sunlight, seek cheerful company, and listen to appropriate music. Gold, saffron, cinnamon, roses, wine, and other Solar or Jovial things could oppose Saturn's excessive cold and darkness. Their sensible properties and celestial kinships were two descriptions of the same remedy.</w:t>
      </w:r>
    </w:p>
    <w:p w14:paraId="0BCED5BD" w14:textId="77777777" w:rsidR="00F0415F" w:rsidRPr="00F0415F" w:rsidRDefault="00F0415F" w:rsidP="00F0415F">
      <w:pPr>
        <w:pStyle w:val="BookBody"/>
      </w:pPr>
      <w:r w:rsidRPr="00F0415F">
        <w:rPr>
          <w:szCs w:val="28"/>
        </w:rPr>
        <w:t xml:space="preserve">Ficino wrote as a physician as well as a philosopher. The first two books of </w:t>
      </w:r>
      <w:r w:rsidRPr="00F0415F">
        <w:rPr>
          <w:i/>
          <w:szCs w:val="28"/>
        </w:rPr>
        <w:t>De vita</w:t>
      </w:r>
      <w:r w:rsidRPr="00F0415F">
        <w:rPr>
          <w:szCs w:val="28"/>
        </w:rPr>
        <w:t xml:space="preserve"> concern the health and longevity of learned people; the third, </w:t>
      </w:r>
      <w:r w:rsidRPr="00F0415F">
        <w:rPr>
          <w:i/>
          <w:szCs w:val="28"/>
        </w:rPr>
        <w:t>De vita coelitus comparanda</w:t>
      </w:r>
      <w:r w:rsidRPr="00F0415F">
        <w:rPr>
          <w:szCs w:val="28"/>
        </w:rPr>
        <w:t>, asks how life may be fitted to heaven. The movement between them is crucial. Astral medicine was not added after ordinary medicine had failed. The medical body was already porous to air, food, odor, light, emotion, and time. Celestial influence extended the ecology in which humors and spirits changed.</w:t>
      </w:r>
    </w:p>
    <w:p w14:paraId="18EA76CC" w14:textId="77777777" w:rsidR="00F0415F" w:rsidRPr="00F0415F" w:rsidRDefault="00F0415F" w:rsidP="00F0415F">
      <w:pPr>
        <w:pStyle w:val="BookBody"/>
      </w:pPr>
      <w:r w:rsidRPr="00F0415F">
        <w:rPr>
          <w:szCs w:val="28"/>
        </w:rPr>
        <w:t>This medicine was individualized. A regimen appropriate to one temperament might injure another. The natal horoscope supplied a pattern of disposition, while elections selected more favorable times for actions. Astrology in this form did not always announce an unavoidable fate. It could identify constraints so that art and choice might work within them. Ficino quotes authorities who argued that choosing a propitious hour supports rather than destroys free will: prudence collaborates with the order it knows.</w:t>
      </w:r>
      <w:r w:rsidRPr="00F0415F">
        <w:rPr>
          <w:szCs w:val="28"/>
          <w:vertAlign w:val="superscript"/>
        </w:rPr>
        <w:t>10</w:t>
      </w:r>
    </w:p>
    <w:p w14:paraId="75DC405B" w14:textId="77777777" w:rsidR="00F0415F" w:rsidRPr="00F0415F" w:rsidRDefault="00F0415F" w:rsidP="00F0415F">
      <w:pPr>
        <w:pStyle w:val="BookBody"/>
      </w:pPr>
      <w:r w:rsidRPr="00F0415F">
        <w:rPr>
          <w:szCs w:val="28"/>
        </w:rPr>
        <w:t>Yet the collaboration placed burdens on the patient. Illness could become evidence of failed accommodation. A person who did not recover might have chosen badly, lacked faith, or remained bound to a hostile temperament. The model could observe genuine differences in constitution while assigning them to celestial patterns that could not be demonstrated. Its care and its credulity were not separate layers.</w:t>
      </w:r>
    </w:p>
    <w:p w14:paraId="1D9DD181" w14:textId="77777777" w:rsidR="00F0415F" w:rsidRPr="00F0415F" w:rsidRDefault="00F0415F" w:rsidP="00F0415F">
      <w:pPr>
        <w:pStyle w:val="BookBody"/>
      </w:pPr>
      <w:r w:rsidRPr="00F0415F">
        <w:rPr>
          <w:szCs w:val="28"/>
        </w:rPr>
        <w:t xml:space="preserve">The scholar's privilege is equally visible. </w:t>
      </w:r>
      <w:r w:rsidRPr="00F0415F">
        <w:rPr>
          <w:i/>
          <w:szCs w:val="28"/>
        </w:rPr>
        <w:t>De vita</w:t>
      </w:r>
      <w:r w:rsidRPr="00F0415F">
        <w:rPr>
          <w:szCs w:val="28"/>
        </w:rPr>
        <w:t xml:space="preserve"> addresses literate men whose work of contemplation deserves preservation. Diets, spices, gems, leisure, gardens, music, and chosen air presuppose resources. Ficino's cosmic medicine was not a public health program. It belonged to an intellectual household and courtly network able to turn substances from distant places into a personal regimen. The microcosm at its center was socially located.</w:t>
      </w:r>
    </w:p>
    <w:p w14:paraId="4A7B11D0" w14:textId="77777777" w:rsidR="00F0415F" w:rsidRPr="00F0415F" w:rsidRDefault="00F0415F" w:rsidP="00F0415F">
      <w:pPr>
        <w:pStyle w:val="BookBody"/>
      </w:pPr>
      <w:r w:rsidRPr="00F0415F">
        <w:rPr>
          <w:szCs w:val="28"/>
        </w:rPr>
        <w:t>Nevertheless, the body imagined here is not a machine awaiting an external soul. Thought consumes material spirit. Sorrow alters vapor and blood. Odor reaches inward. Music carries emotion through moving air. Light and color change the conditions of attention. The patient's world becomes physiological. Ficino's errors do not cancel this perception; they make it stranger. The body is alive because it is continuously exchanged with an environment whose qualities are moral, sensory, medical, and celestial at once.</w:t>
      </w:r>
    </w:p>
    <w:p w14:paraId="6E672B22" w14:textId="77777777" w:rsidR="00F0415F" w:rsidRPr="00F0415F" w:rsidRDefault="00F0415F" w:rsidP="00F0415F">
      <w:pPr>
        <w:pStyle w:val="BookBody"/>
      </w:pPr>
      <w:r w:rsidRPr="00F0415F">
        <w:rPr>
          <w:szCs w:val="28"/>
        </w:rPr>
        <w:t>Ficino's response to melancholy also prevents us from treating Renaissance magic as a simple fantasy of command. Much of it is defensive. The operator is acted upon before he acts. Stars, seasons, work, food, grief, demons, and the imagination can wound him. Magic is an art of receiving well: choosing what enters, strengthening mediators, and composing a life capable of bearing the influences it cannot avoid.</w:t>
      </w:r>
    </w:p>
    <w:p w14:paraId="06EE97A3" w14:textId="77777777" w:rsidR="00F0415F" w:rsidRPr="00F0415F" w:rsidRDefault="00F0415F" w:rsidP="00F0415F">
      <w:pPr>
        <w:pStyle w:val="BookBody"/>
      </w:pPr>
      <w:r w:rsidRPr="00F0415F">
        <w:rPr>
          <w:szCs w:val="28"/>
        </w:rPr>
        <w:t xml:space="preserve">The mediating substance was </w:t>
      </w:r>
      <w:r w:rsidRPr="00F0415F">
        <w:rPr>
          <w:i/>
          <w:szCs w:val="28"/>
        </w:rPr>
        <w:t>spiritus</w:t>
      </w:r>
      <w:r w:rsidRPr="00F0415F">
        <w:rPr>
          <w:szCs w:val="28"/>
        </w:rPr>
        <w:t>. It made the scholar vulnerable, and it made celestial medicine thinkable.</w:t>
      </w:r>
    </w:p>
    <w:p w14:paraId="0A3C0B6E" w14:textId="77777777" w:rsidR="00F0415F" w:rsidRPr="00F0415F" w:rsidRDefault="00F0415F" w:rsidP="00F0415F">
      <w:pPr>
        <w:pStyle w:val="SectionHeading"/>
      </w:pPr>
      <w:r w:rsidRPr="00F0415F">
        <w:rPr>
          <w:bCs/>
          <w:szCs w:val="28"/>
        </w:rPr>
        <w:t>Spirit Between Star and Flesh</w:t>
      </w:r>
    </w:p>
    <w:p w14:paraId="3C8F2BD1" w14:textId="77777777" w:rsidR="00F0415F" w:rsidRPr="00F0415F" w:rsidRDefault="00F0415F" w:rsidP="00F0415F">
      <w:pPr>
        <w:pStyle w:val="BookBody"/>
      </w:pPr>
      <w:r w:rsidRPr="00F0415F">
        <w:rPr>
          <w:szCs w:val="28"/>
        </w:rPr>
        <w:t>Ficino defines the human spirit in medical terms as a subtle, hot, lucid vapor generated from the finer blood by the heart and carried to the brain. The incorporeal soul employs it in sensation, imagination, and movement. Spirit is therefore neither simply soul nor gross body. It is the body's most refined material and the soul's first instrument, a moving threshold at which thoughts can alter flesh and sensible things can reach inward.</w:t>
      </w:r>
      <w:r w:rsidRPr="00F0415F">
        <w:rPr>
          <w:szCs w:val="28"/>
          <w:vertAlign w:val="superscript"/>
        </w:rPr>
        <w:t>11</w:t>
      </w:r>
    </w:p>
    <w:p w14:paraId="5B90B4E2" w14:textId="77777777" w:rsidR="00F0415F" w:rsidRPr="00F0415F" w:rsidRDefault="00F0415F" w:rsidP="00F0415F">
      <w:pPr>
        <w:pStyle w:val="BookBody"/>
      </w:pPr>
      <w:r w:rsidRPr="00F0415F">
        <w:rPr>
          <w:szCs w:val="28"/>
        </w:rPr>
        <w:t xml:space="preserve">The third book of </w:t>
      </w:r>
      <w:r w:rsidRPr="00F0415F">
        <w:rPr>
          <w:i/>
          <w:szCs w:val="28"/>
        </w:rPr>
        <w:t>De vita</w:t>
      </w:r>
      <w:r w:rsidRPr="00F0415F">
        <w:rPr>
          <w:szCs w:val="28"/>
        </w:rPr>
        <w:t xml:space="preserve"> extends the analogy to the cosmos. As the human soul acts through a bodily spirit, the World-Soul diffuses life through a world-spirit or quintessence. This spirit is subtle enough to receive celestial qualities and material enough to enter lower things. It passes through rays, airs, vapors, odors, plants, stones, animals, foods, and human bodies. The macrocosm and microcosm communicate because both possess a medium of life.</w:t>
      </w:r>
    </w:p>
    <w:p w14:paraId="597838A3" w14:textId="77777777" w:rsidR="00F0415F" w:rsidRPr="00F0415F" w:rsidRDefault="00F0415F" w:rsidP="00F0415F">
      <w:pPr>
        <w:pStyle w:val="BookBody"/>
      </w:pPr>
      <w:r w:rsidRPr="00F0415F">
        <w:rPr>
          <w:szCs w:val="28"/>
        </w:rPr>
        <w:t>This was Ficino's distinctive synthesis. Plotinus supplied a World-Soul and seminal reasons; medical traditions supplied bodily spirits; Stoic and Hermetic currents supplied forms of cosmic pneuma; Arabic astral magic supplied rays, images, and materials; Christian hierarchy supplied limits and dangers. Ficino joined them by giving the world something analogous to the vapor in the scholar's body. D. P. Walker called the resulting practice “spiritual magic”: an effort to draw celestial benefits through an impersonal world-spirit while avoiding explicit traffic with demons.</w:t>
      </w:r>
      <w:r w:rsidRPr="00F0415F">
        <w:rPr>
          <w:szCs w:val="28"/>
          <w:vertAlign w:val="superscript"/>
        </w:rPr>
        <w:t>12</w:t>
      </w:r>
    </w:p>
    <w:p w14:paraId="7421ACB0" w14:textId="77777777" w:rsidR="00F0415F" w:rsidRPr="00F0415F" w:rsidRDefault="00F0415F" w:rsidP="00F0415F">
      <w:pPr>
        <w:pStyle w:val="BookBody"/>
      </w:pPr>
      <w:r w:rsidRPr="00F0415F">
        <w:rPr>
          <w:szCs w:val="28"/>
        </w:rPr>
        <w:t>The mechanism was qualitative concentration. The World-Soul contained seminal reasons, living patterns through which forms and powers unfolded in matter. No single terrestrial thing received the full power of a star. Solar qualities were dispersed among many substances. The practitioner gathered them: a metal, stone, herb, animal product, odor, food, color, sound, and time could be composed until the mixture presented a stronger Solar form. Ficino suggests that if one knew a hundred Solar or Jovial gifts scattered through a hundred things, one could combine them and seem to possess the Sun or Jupiter almost whole.</w:t>
      </w:r>
      <w:r w:rsidRPr="00F0415F">
        <w:rPr>
          <w:szCs w:val="28"/>
          <w:vertAlign w:val="superscript"/>
        </w:rPr>
        <w:t>13</w:t>
      </w:r>
    </w:p>
    <w:p w14:paraId="4AEAD638" w14:textId="77777777" w:rsidR="00F0415F" w:rsidRPr="00F0415F" w:rsidRDefault="00F0415F" w:rsidP="00F0415F">
      <w:pPr>
        <w:pStyle w:val="BookBody"/>
      </w:pPr>
      <w:r w:rsidRPr="00F0415F">
        <w:rPr>
          <w:szCs w:val="28"/>
        </w:rPr>
        <w:t>The language is grander than the practice. Much of the regimen consists of eating, smelling, wearing, walking, watching, and listening. Fresh plants restore because their odors are like the breath of the living world. Open, elevated air allows purer rays. Movement can imitate celestial circulation. A person may traverse the stars with the eyes and revolve them in the mind while the body turns gently. The patient's imagination and posture become part of the apparatus.</w:t>
      </w:r>
      <w:r w:rsidRPr="00F0415F">
        <w:rPr>
          <w:szCs w:val="28"/>
          <w:vertAlign w:val="superscript"/>
        </w:rPr>
        <w:t>14</w:t>
      </w:r>
    </w:p>
    <w:p w14:paraId="2E290CF8" w14:textId="77777777" w:rsidR="00F0415F" w:rsidRPr="00F0415F" w:rsidRDefault="00F0415F" w:rsidP="00F0415F">
      <w:pPr>
        <w:pStyle w:val="BookBody"/>
      </w:pPr>
      <w:r w:rsidRPr="00F0415F">
        <w:rPr>
          <w:szCs w:val="28"/>
        </w:rPr>
        <w:t>This is participation made procedural. Medieval participation often described the creature's metaphysical dependence on and likeness to God. Ficino retains that vertical order but adds recipes. Correspondence becomes something to be selected, intensified, and ingested. The world is not merely contemplated as symbol; its likenesses are arranged so that a quality can cross from cosmic member to human member.</w:t>
      </w:r>
    </w:p>
    <w:p w14:paraId="77E34BC6" w14:textId="77777777" w:rsidR="00F0415F" w:rsidRPr="00F0415F" w:rsidRDefault="00F0415F" w:rsidP="00F0415F">
      <w:pPr>
        <w:pStyle w:val="BookBody"/>
      </w:pPr>
      <w:r w:rsidRPr="00F0415F">
        <w:rPr>
          <w:szCs w:val="28"/>
        </w:rPr>
        <w:t>The theory offered an answer to the problem of action at a distance. A planet did not need to reach down as a hand. Its rays carried power through world-spirit; terrestrial things already bore related dispositions; human spirit received what resembled it. Sympathy was less a message sent across emptiness than the activation of an existing kinship. Like acted on like because the many belonged to a prior living unity.</w:t>
      </w:r>
    </w:p>
    <w:p w14:paraId="65DEE848" w14:textId="77777777" w:rsidR="00F0415F" w:rsidRPr="00F0415F" w:rsidRDefault="00F0415F" w:rsidP="00F0415F">
      <w:pPr>
        <w:pStyle w:val="BookBody"/>
      </w:pPr>
      <w:r w:rsidRPr="00F0415F">
        <w:rPr>
          <w:szCs w:val="28"/>
        </w:rPr>
        <w:t>But the mediator multiplied problems. If spirit was material, how did it bear an intelligible form? If celestial bodies had souls, could their benefits be impersonal? If an image or word worked because it meant something rather than because of its material quality, whose understanding made it effective? Walker observed that Ficino's accounts of world-spirit and planetary demons overlap. Both can transmit influence to human spirit. The first allowed a natural explanation; the second introduced personal beings capable of hearing invocations and deceiving operators.</w:t>
      </w:r>
      <w:r w:rsidRPr="00F0415F">
        <w:rPr>
          <w:szCs w:val="28"/>
          <w:vertAlign w:val="superscript"/>
        </w:rPr>
        <w:t>15</w:t>
      </w:r>
    </w:p>
    <w:p w14:paraId="33820E04" w14:textId="77777777" w:rsidR="00F0415F" w:rsidRPr="00F0415F" w:rsidRDefault="00F0415F" w:rsidP="00F0415F">
      <w:pPr>
        <w:pStyle w:val="BookBody"/>
      </w:pPr>
      <w:r w:rsidRPr="00F0415F">
        <w:rPr>
          <w:szCs w:val="28"/>
        </w:rPr>
        <w:t>Ficino tried to hold the line by limiting the aim. His medicine addressed body and spirit, not the higher soul; it sought health, cheerfulness, intellectual vigor, and longevity, not prophecy, coercion, or worship. He preferred natural materials and warned against love magic, incantations, and operations intended to injure. Yet his sources described animated statues, planetary gods, and spirits called by hymns. A world sufficiently alive to make sympathy intelligible was also alive enough to answer.</w:t>
      </w:r>
    </w:p>
    <w:p w14:paraId="1F606C99" w14:textId="77777777" w:rsidR="00F0415F" w:rsidRPr="00F0415F" w:rsidRDefault="00F0415F" w:rsidP="00F0415F">
      <w:pPr>
        <w:pStyle w:val="BookBody"/>
      </w:pPr>
      <w:r w:rsidRPr="00F0415F">
        <w:rPr>
          <w:szCs w:val="28"/>
        </w:rPr>
        <w:t>The distinction between cause and meaning becomes decisive. An odor can alter a human body without understanding the person. A word, figure, or prayer seems different. Thomas Aquinas had argued that letters and characters, insofar as they are signs, must be ordered to an intellect. Copenhaver shows Ficino using scholastic reasoning to test talismans: material and heat may have natural effects, but a meaningful inscription points beyond blind celestial causation.</w:t>
      </w:r>
      <w:r w:rsidRPr="00F0415F">
        <w:rPr>
          <w:szCs w:val="28"/>
          <w:vertAlign w:val="superscript"/>
        </w:rPr>
        <w:t>16</w:t>
      </w:r>
      <w:r w:rsidRPr="00F0415F">
        <w:rPr>
          <w:szCs w:val="28"/>
        </w:rPr>
        <w:t xml:space="preserve"> The more precise the sign, the harder it becomes to keep the operation impersonal.</w:t>
      </w:r>
    </w:p>
    <w:p w14:paraId="5132E573" w14:textId="77777777" w:rsidR="00F0415F" w:rsidRPr="00F0415F" w:rsidRDefault="00F0415F" w:rsidP="00F0415F">
      <w:pPr>
        <w:pStyle w:val="BookBody"/>
      </w:pPr>
      <w:r w:rsidRPr="00F0415F">
        <w:rPr>
          <w:szCs w:val="28"/>
        </w:rPr>
        <w:t>Spiritus made Renaissance magic coherent because it joined levels later treated as separate. It also made the system impossible to stabilize. Between star and flesh stood a medium that was vapor, life, imagination, radiation, and sometimes spirit in the personal sense. Every cure crossed a border whose guards could not agree on what counted as nature.</w:t>
      </w:r>
    </w:p>
    <w:p w14:paraId="28994BA3" w14:textId="77777777" w:rsidR="00F0415F" w:rsidRPr="00F0415F" w:rsidRDefault="00F0415F" w:rsidP="00F0415F">
      <w:pPr>
        <w:pStyle w:val="SectionHeading"/>
      </w:pPr>
      <w:r w:rsidRPr="00F0415F">
        <w:rPr>
          <w:bCs/>
          <w:szCs w:val="28"/>
        </w:rPr>
        <w:t>A Song That Does Something</w:t>
      </w:r>
    </w:p>
    <w:p w14:paraId="1BF78468" w14:textId="77777777" w:rsidR="00F0415F" w:rsidRPr="00F0415F" w:rsidRDefault="00F0415F" w:rsidP="00F0415F">
      <w:pPr>
        <w:pStyle w:val="BookBody"/>
      </w:pPr>
      <w:r w:rsidRPr="00F0415F">
        <w:rPr>
          <w:szCs w:val="28"/>
        </w:rPr>
        <w:t>Ficino sang. Accounts by friends describe him performing Orphic hymns to a lyre, and his writings give music a privileged place among remedies for the scholar's spirit. The practice is often softened into aesthetic therapy, as though a philosopher relaxed after work by playing beautiful songs. Ficino meant more. A properly fashioned song could become a moving correspondence, an aerial composition capable of receiving and conveying celestial quality.</w:t>
      </w:r>
    </w:p>
    <w:p w14:paraId="019F5B9B" w14:textId="77777777" w:rsidR="00F0415F" w:rsidRPr="00F0415F" w:rsidRDefault="00F0415F" w:rsidP="00F0415F">
      <w:pPr>
        <w:pStyle w:val="BookBody"/>
      </w:pPr>
      <w:r w:rsidRPr="00F0415F">
        <w:rPr>
          <w:szCs w:val="28"/>
        </w:rPr>
        <w:t>Music possessed the right material. Sound moves through air; human spirit was itself aerial or vaporous. A song arises from the singer's mind, imagination, and emotion, shapes the surrounding air, strikes the hearer's spirit, and carries affect and meaning inward. Walker summarizes Ficino's theory with unusual clarity: because song and spirit share a subtle medium, music can affect the junction of body and soul more directly than a static image.</w:t>
      </w:r>
      <w:r w:rsidRPr="00F0415F">
        <w:rPr>
          <w:szCs w:val="28"/>
          <w:vertAlign w:val="superscript"/>
        </w:rPr>
        <w:t>17</w:t>
      </w:r>
    </w:p>
    <w:p w14:paraId="598A0A45" w14:textId="77777777" w:rsidR="00F0415F" w:rsidRPr="00F0415F" w:rsidRDefault="00F0415F" w:rsidP="00F0415F">
      <w:pPr>
        <w:pStyle w:val="BookBody"/>
      </w:pPr>
      <w:r w:rsidRPr="00F0415F">
        <w:rPr>
          <w:szCs w:val="28"/>
        </w:rPr>
        <w:t>The effect depended on more than melody. Mode, rhythm, words, pronunciation, emotional intensity, planetary time, and the singer's disposition could be coordinated. A Solar song should not merely mention the Sun. Its motion, gravity, brightness, and affect should imitate Solar qualities. Ficino calls song a powerful imitator. The performance forms a likeness in moving air; the singer and hearer become conformed to what is imitated.</w:t>
      </w:r>
    </w:p>
    <w:p w14:paraId="1FB8E56B" w14:textId="77777777" w:rsidR="00F0415F" w:rsidRPr="00F0415F" w:rsidRDefault="00F0415F" w:rsidP="00F0415F">
      <w:pPr>
        <w:pStyle w:val="BookBody"/>
      </w:pPr>
      <w:r w:rsidRPr="00F0415F">
        <w:rPr>
          <w:szCs w:val="28"/>
        </w:rPr>
        <w:t>This is why planetary music was not simply a representation of cosmic harmony. It was an operation within it. Laurence Wuidar describes early modern music as a privileged interface between above and below: numerical proportion became material vibration, while mode, instrument, voice, and planet could be linked by analogy. The comparison was practical because the same ratios and qualities were thought to order cosmos, body, and soul.</w:t>
      </w:r>
      <w:r w:rsidRPr="00F0415F">
        <w:rPr>
          <w:szCs w:val="28"/>
          <w:vertAlign w:val="superscript"/>
        </w:rPr>
        <w:t>18</w:t>
      </w:r>
      <w:r w:rsidRPr="00F0415F">
        <w:rPr>
          <w:szCs w:val="28"/>
        </w:rPr>
        <w:t xml:space="preserve"> Music did not comment upon a sympathetic universe from outside. It briefly enacted one of its paths.</w:t>
      </w:r>
    </w:p>
    <w:p w14:paraId="1345EB7A" w14:textId="77777777" w:rsidR="00F0415F" w:rsidRPr="00F0415F" w:rsidRDefault="00F0415F" w:rsidP="00F0415F">
      <w:pPr>
        <w:pStyle w:val="BookBody"/>
      </w:pPr>
      <w:r w:rsidRPr="00F0415F">
        <w:rPr>
          <w:szCs w:val="28"/>
        </w:rPr>
        <w:t>The medical outcome could be modest and real. Music changes breathing, attention, emotion, and social relation. A song may cheer a depressed person or settle agitation without requiring a planet to enter the room. Ficino's account noticed such effects and embedded them in an astral physiology. The fact that the proposed celestial mechanism fails does not make the observed efficacy imaginary. It shows how an effect can be genuine while its explanation is wrong.</w:t>
      </w:r>
    </w:p>
    <w:p w14:paraId="7C67643C" w14:textId="77777777" w:rsidR="00F0415F" w:rsidRPr="00F0415F" w:rsidRDefault="00F0415F" w:rsidP="00F0415F">
      <w:pPr>
        <w:pStyle w:val="BookBody"/>
      </w:pPr>
      <w:r w:rsidRPr="00F0415F">
        <w:rPr>
          <w:szCs w:val="28"/>
        </w:rPr>
        <w:t xml:space="preserve">The rite could also move beyond therapy. Orphic hymns addressed gods. Ficino could describe their efficacy as a natural accommodation of the singer's spirit, but the second-person language of praise and petition did not behave like an impersonal odor. Walker concluded that Ficino's actual singing was probably directed toward good planetary demons even while </w:t>
      </w:r>
      <w:r w:rsidRPr="00F0415F">
        <w:rPr>
          <w:i/>
          <w:szCs w:val="28"/>
        </w:rPr>
        <w:t>De vita</w:t>
      </w:r>
      <w:r w:rsidRPr="00F0415F">
        <w:rPr>
          <w:szCs w:val="28"/>
        </w:rPr>
        <w:t xml:space="preserve"> publicly formulated a non-demonic spiritual magic.</w:t>
      </w:r>
      <w:r w:rsidRPr="00F0415F">
        <w:rPr>
          <w:szCs w:val="28"/>
          <w:vertAlign w:val="superscript"/>
        </w:rPr>
        <w:t>19</w:t>
      </w:r>
      <w:r w:rsidRPr="00F0415F">
        <w:rPr>
          <w:szCs w:val="28"/>
        </w:rPr>
        <w:t xml:space="preserve"> The conclusion cannot be proved in every performance, but the ambiguity belongs to the practice itself.</w:t>
      </w:r>
    </w:p>
    <w:p w14:paraId="257D457D" w14:textId="77777777" w:rsidR="00F0415F" w:rsidRPr="00F0415F" w:rsidRDefault="00F0415F" w:rsidP="00F0415F">
      <w:pPr>
        <w:pStyle w:val="BookBody"/>
      </w:pPr>
      <w:r w:rsidRPr="00F0415F">
        <w:rPr>
          <w:szCs w:val="28"/>
        </w:rPr>
        <w:t>Words sharpened the danger. Ficino surveyed claims that particular words possess particular powers, that ancient names should not be translated, and that Pythagoreans performed wonders by songs and sounds. He then stepped back: incantations are better omitted. David's music for Saul might be explained naturally, unless Scripture required a divine explanation. The sentence leaves several causal orders open without making them compatible.</w:t>
      </w:r>
      <w:r w:rsidRPr="00F0415F">
        <w:rPr>
          <w:szCs w:val="28"/>
          <w:vertAlign w:val="superscript"/>
        </w:rPr>
        <w:t>20</w:t>
      </w:r>
    </w:p>
    <w:p w14:paraId="51DF9145" w14:textId="77777777" w:rsidR="00F0415F" w:rsidRPr="00F0415F" w:rsidRDefault="00F0415F" w:rsidP="00F0415F">
      <w:pPr>
        <w:pStyle w:val="BookBody"/>
      </w:pPr>
      <w:r w:rsidRPr="00F0415F">
        <w:rPr>
          <w:szCs w:val="28"/>
        </w:rPr>
        <w:t xml:space="preserve">The sevenfold ascent in </w:t>
      </w:r>
      <w:r w:rsidRPr="00F0415F">
        <w:rPr>
          <w:i/>
          <w:szCs w:val="28"/>
        </w:rPr>
        <w:t>De vita</w:t>
      </w:r>
      <w:r w:rsidRPr="00F0415F">
        <w:rPr>
          <w:szCs w:val="28"/>
        </w:rPr>
        <w:t xml:space="preserve"> places hard materials at the lowest level, then plants and animal substances, odors and vapors, words and song, imagination and emotion, rational deliberation, and finally contemplative intelligence. Song stands in the middle. It has body but carries mind; it is measured yet affective; it can be heard by a patient, a community, or perhaps an invisible intelligence. It is the ideal witness for Ficino's entire project because it refuses the division between matter and meaning on which later explanations would rely.</w:t>
      </w:r>
    </w:p>
    <w:p w14:paraId="08D4DB23" w14:textId="77777777" w:rsidR="00F0415F" w:rsidRPr="00F0415F" w:rsidRDefault="00F0415F" w:rsidP="00F0415F">
      <w:pPr>
        <w:pStyle w:val="BookBody"/>
      </w:pPr>
      <w:r w:rsidRPr="00F0415F">
        <w:rPr>
          <w:szCs w:val="28"/>
        </w:rPr>
        <w:t>Music also reveals the politics of harmony. To call a social or cosmic order harmonious may conceal who determines the mode and who must be tuned. A healer may compose the patient's spirit, but a ruler, preacher, or magician may attempt to compose a crowd. Rhythm and voice can gather bodies into consent, fear, grief, or desire. The same medium that cures can bind.</w:t>
      </w:r>
    </w:p>
    <w:p w14:paraId="68E783BC" w14:textId="77777777" w:rsidR="00F0415F" w:rsidRPr="00F0415F" w:rsidRDefault="00F0415F" w:rsidP="00F0415F">
      <w:pPr>
        <w:pStyle w:val="BookBody"/>
      </w:pPr>
      <w:r w:rsidRPr="00F0415F">
        <w:rPr>
          <w:szCs w:val="28"/>
        </w:rPr>
        <w:t>Ficino's song therefore does something even when it does not draw down a star. It changes the operator and hearer, organizes expectation, and makes an invisible order sensible in time. Its historical importance lies in that double efficacy. The music works; the planet need not. A living cosmos can be performed before it can be proved.</w:t>
      </w:r>
    </w:p>
    <w:p w14:paraId="14B5C214" w14:textId="77777777" w:rsidR="00F0415F" w:rsidRPr="00F0415F" w:rsidRDefault="00F0415F" w:rsidP="00F0415F">
      <w:pPr>
        <w:pStyle w:val="SectionHeading"/>
      </w:pPr>
      <w:r w:rsidRPr="00F0415F">
        <w:rPr>
          <w:bCs/>
          <w:szCs w:val="28"/>
        </w:rPr>
        <w:t>The Image Cut at the Right Hour</w:t>
      </w:r>
    </w:p>
    <w:p w14:paraId="1BE339A2" w14:textId="77777777" w:rsidR="00F0415F" w:rsidRPr="00F0415F" w:rsidRDefault="00F0415F" w:rsidP="00F0415F">
      <w:pPr>
        <w:pStyle w:val="BookBody"/>
      </w:pPr>
      <w:r w:rsidRPr="00F0415F">
        <w:rPr>
          <w:szCs w:val="28"/>
        </w:rPr>
        <w:t>The talisman made the problem harder because it asked matter to retain a moment. An engraved gem or metal disc was fashioned when a planet or celestial figure occupied a favorable position. Its material matched the desired power: gold for the Sun, for example, or another substance whose color, hardness, origin, and traditional virtue belonged to the same affinity. The figure gave the object a celestial likeness; the elected hour supplied something like a second nativity. Once completed, the portable image could carry that configuration beyond the time of its making.</w:t>
      </w:r>
    </w:p>
    <w:p w14:paraId="7726B073" w14:textId="77777777" w:rsidR="00F0415F" w:rsidRPr="00F0415F" w:rsidRDefault="00F0415F" w:rsidP="00F0415F">
      <w:pPr>
        <w:pStyle w:val="BookBody"/>
      </w:pPr>
      <w:r w:rsidRPr="00F0415F">
        <w:rPr>
          <w:szCs w:val="28"/>
        </w:rPr>
        <w:t>This was technical compression. The sky moved on, but the talisman remained. The operator tried to fasten a favorable relation into durable matter and apply it to a body. Ficino's sources promised health, courage, favor, memory, longevity, protection, or love. He excluded aggressive and erotic recipes more readily than beneficial ones, yet even a medical image raised the question whether nature could be stored as a sign.</w:t>
      </w:r>
    </w:p>
    <w:p w14:paraId="224C1940" w14:textId="77777777" w:rsidR="00F0415F" w:rsidRPr="00F0415F" w:rsidRDefault="00F0415F" w:rsidP="00F0415F">
      <w:pPr>
        <w:pStyle w:val="BookBody"/>
      </w:pPr>
      <w:r w:rsidRPr="00F0415F">
        <w:rPr>
          <w:szCs w:val="28"/>
        </w:rPr>
        <w:t>Ficino's discussion is full of qualifications. He reports what astrologers say. He sometimes doubts the effect. He prefers medicine. He suggests that a stone's material quality may matter more than its figure and that hammering or heating may activate a latent power more plausibly than the shape itself. He allows imagination, hope, and confidence to strengthen the patient's response. At his most cautious, the talisman resembles a compound of natural material and expectation rather than a vessel for a star.</w:t>
      </w:r>
      <w:r w:rsidRPr="00F0415F">
        <w:rPr>
          <w:szCs w:val="28"/>
          <w:vertAlign w:val="superscript"/>
        </w:rPr>
        <w:t>21</w:t>
      </w:r>
    </w:p>
    <w:p w14:paraId="5C716E43" w14:textId="77777777" w:rsidR="00F0415F" w:rsidRPr="00F0415F" w:rsidRDefault="00F0415F" w:rsidP="00F0415F">
      <w:pPr>
        <w:pStyle w:val="BookBody"/>
      </w:pPr>
      <w:r w:rsidRPr="00F0415F">
        <w:rPr>
          <w:szCs w:val="28"/>
        </w:rPr>
        <w:t>At other moments the account opens outward. Rays penetrate the earth and generate precious stones; why should they not penetrate a gem during engraving? Fumigations can dispose air and spirit. The maker's focused imagination joins his spirit to world-spirit, through which a stellar vitality may be poured into the image. Ancient authorities say that spirits entered statues. Each explanation moves the effect to a different location: material, heat, celestial ray, operator, wearer, world-spirit, or demon.</w:t>
      </w:r>
    </w:p>
    <w:p w14:paraId="069FDB28" w14:textId="77777777" w:rsidR="00F0415F" w:rsidRPr="00F0415F" w:rsidRDefault="00F0415F" w:rsidP="00F0415F">
      <w:pPr>
        <w:pStyle w:val="BookBody"/>
      </w:pPr>
      <w:r w:rsidRPr="00F0415F">
        <w:rPr>
          <w:szCs w:val="28"/>
        </w:rPr>
        <w:t>The scorpion cure displays the entire chain. A bezoar signet is cut with the animal's form under Scorpio. Its impression in frankincense is swallowed. The remedy is an image, medicine, and event. Ficino immediately contrasts such images with complex compounds. A medicine can gather many Solar or Jovial ingredients, enter the body, and act through familiar routes; a hard image contains fewer materials and penetrates less directly. His skepticism is comparative rather than absolute.</w:t>
      </w:r>
      <w:r w:rsidRPr="00F0415F">
        <w:rPr>
          <w:szCs w:val="28"/>
          <w:vertAlign w:val="superscript"/>
        </w:rPr>
        <w:t>22</w:t>
      </w:r>
    </w:p>
    <w:p w14:paraId="3DA746B4" w14:textId="77777777" w:rsidR="00F0415F" w:rsidRPr="00F0415F" w:rsidRDefault="00F0415F" w:rsidP="00F0415F">
      <w:pPr>
        <w:pStyle w:val="BookBody"/>
      </w:pPr>
      <w:r w:rsidRPr="00F0415F">
        <w:rPr>
          <w:szCs w:val="28"/>
        </w:rPr>
        <w:t xml:space="preserve">The </w:t>
      </w:r>
      <w:r w:rsidRPr="00F0415F">
        <w:rPr>
          <w:i/>
          <w:szCs w:val="28"/>
        </w:rPr>
        <w:t>Picatrix</w:t>
      </w:r>
      <w:r w:rsidRPr="00F0415F">
        <w:rPr>
          <w:szCs w:val="28"/>
        </w:rPr>
        <w:t>, a Latin version of an Arabic astral-magic compendium, stood behind many of these operations even when Ficino did not name it. It joined planetary images, suffumigations, prayers, sacrifices, timing, and a richly animated cosmos. Copenhaver notes that Ficino's silence about the work is evidence of caution: he used a disreputable technical source while constructing philosophical foundations for a magic defensible as natural.</w:t>
      </w:r>
      <w:r w:rsidRPr="00F0415F">
        <w:rPr>
          <w:szCs w:val="28"/>
          <w:vertAlign w:val="superscript"/>
        </w:rPr>
        <w:t>23</w:t>
      </w:r>
      <w:r w:rsidRPr="00F0415F">
        <w:rPr>
          <w:szCs w:val="28"/>
        </w:rPr>
        <w:t xml:space="preserve"> The omission was part of the boundary-making.</w:t>
      </w:r>
    </w:p>
    <w:p w14:paraId="55503192" w14:textId="77777777" w:rsidR="00F0415F" w:rsidRPr="00F0415F" w:rsidRDefault="00F0415F" w:rsidP="00F0415F">
      <w:pPr>
        <w:pStyle w:val="BookBody"/>
      </w:pPr>
      <w:r w:rsidRPr="00F0415F">
        <w:rPr>
          <w:szCs w:val="28"/>
        </w:rPr>
        <w:t xml:space="preserve">That boundary was theological before it was scientific. A Christian could accept that stars served as secondary causes under providence and that stones possessed hidden virtues. He could not safely worship a planet or invite a demon into an image. The </w:t>
      </w:r>
      <w:r w:rsidRPr="00F0415F">
        <w:rPr>
          <w:i/>
          <w:szCs w:val="28"/>
        </w:rPr>
        <w:t>Asclepius</w:t>
      </w:r>
      <w:r w:rsidRPr="00F0415F">
        <w:rPr>
          <w:szCs w:val="28"/>
        </w:rPr>
        <w:t xml:space="preserve"> made the danger explicit by celebrating ensouled statues. Augustine had already supplied the verdict: demons exploit the rite. Ficino's talisman had to receive celestial life without becoming an idol.</w:t>
      </w:r>
    </w:p>
    <w:p w14:paraId="008A8124" w14:textId="77777777" w:rsidR="00F0415F" w:rsidRPr="00F0415F" w:rsidRDefault="00F0415F" w:rsidP="00F0415F">
      <w:pPr>
        <w:pStyle w:val="BookBody"/>
      </w:pPr>
      <w:r w:rsidRPr="00F0415F">
        <w:rPr>
          <w:szCs w:val="28"/>
        </w:rPr>
        <w:t>Meaning defeated the solution. A shape that worked only as hammered material was not really an image. A shape that worked because it represented Scorpio seemed to require interpretation. Copenhaver's scholastic analysis emphasizes this point. Natural celestial causation might explain a figure as a physical arrangement, but letters, names, and purposive signs are ordered to a knowing mind. Once a talisman spoke, someone—or something—had to understand it.</w:t>
      </w:r>
      <w:r w:rsidRPr="00F0415F">
        <w:rPr>
          <w:szCs w:val="28"/>
          <w:vertAlign w:val="superscript"/>
        </w:rPr>
        <w:t>24</w:t>
      </w:r>
    </w:p>
    <w:p w14:paraId="5C88E00C" w14:textId="77777777" w:rsidR="00F0415F" w:rsidRPr="00F0415F" w:rsidRDefault="00F0415F" w:rsidP="00F0415F">
      <w:pPr>
        <w:pStyle w:val="BookBody"/>
      </w:pPr>
      <w:r w:rsidRPr="00F0415F">
        <w:rPr>
          <w:szCs w:val="28"/>
        </w:rPr>
        <w:t>The operator's imagination offered one answer. Ficino argues that intention works more plausibly in applying a medicine or image than in manufacturing it. Love, faith, and hope alter the spirit of the patient, and medical authorities already recognized the patient's confidence in the physician as a factor in cure. This is not a modern placebo theory, but it locates part of the efficacy within an embodied expectation. The image gives imagination a durable object around which to organize itself.</w:t>
      </w:r>
    </w:p>
    <w:p w14:paraId="0A081F61" w14:textId="77777777" w:rsidR="00F0415F" w:rsidRPr="00F0415F" w:rsidRDefault="00F0415F" w:rsidP="00F0415F">
      <w:pPr>
        <w:pStyle w:val="BookBody"/>
      </w:pPr>
      <w:r w:rsidRPr="00F0415F">
        <w:rPr>
          <w:szCs w:val="28"/>
        </w:rPr>
        <w:t>Yet this solution limits the cosmic claim. If the talisman acts by material quality and expectation, the star recedes. If it captures stellar power, the mechanism remains unproved. If it is understood by a spirit, natural magic approaches ritual address. Ficino never resolves the triangle. His caution is not cowardice added to a stable doctrine. It is evidence that the doctrine had no uncontested place for the agency of a meaningful object.</w:t>
      </w:r>
    </w:p>
    <w:p w14:paraId="74A88435" w14:textId="77777777" w:rsidR="00F0415F" w:rsidRPr="00F0415F" w:rsidRDefault="00F0415F" w:rsidP="00F0415F">
      <w:pPr>
        <w:pStyle w:val="BookBody"/>
      </w:pPr>
      <w:r w:rsidRPr="00F0415F">
        <w:rPr>
          <w:szCs w:val="28"/>
        </w:rPr>
        <w:t>The talisman is therefore more revealing in failure than in success. It shows what Renaissance magic wanted matter to do: remember a configuration, carry a relation, and make time portable. The engraved stone was a sacrament without institution, a technical object seeking a promise that no church had authorized.</w:t>
      </w:r>
    </w:p>
    <w:p w14:paraId="7FE4D964" w14:textId="77777777" w:rsidR="00F0415F" w:rsidRPr="00F0415F" w:rsidRDefault="00F0415F" w:rsidP="00F0415F">
      <w:pPr>
        <w:pStyle w:val="SectionHeading"/>
      </w:pPr>
      <w:r w:rsidRPr="00F0415F">
        <w:rPr>
          <w:bCs/>
          <w:szCs w:val="28"/>
        </w:rPr>
        <w:t>Pico's Two Judgments</w:t>
      </w:r>
    </w:p>
    <w:p w14:paraId="0974C027" w14:textId="77777777" w:rsidR="00F0415F" w:rsidRPr="00F0415F" w:rsidRDefault="00F0415F" w:rsidP="00F0415F">
      <w:pPr>
        <w:pStyle w:val="BookBody"/>
      </w:pPr>
      <w:r w:rsidRPr="00F0415F">
        <w:rPr>
          <w:szCs w:val="28"/>
        </w:rPr>
        <w:t xml:space="preserve">Giovanni Pico della Mirandola gave learned magic some of its boldest formulas. In the </w:t>
      </w:r>
      <w:r w:rsidRPr="00F0415F">
        <w:rPr>
          <w:i/>
          <w:szCs w:val="28"/>
        </w:rPr>
        <w:t>900 Theses</w:t>
      </w:r>
      <w:r w:rsidRPr="00F0415F">
        <w:rPr>
          <w:szCs w:val="28"/>
        </w:rPr>
        <w:t xml:space="preserve"> prepared for public debate in Rome in 1486, he separated illicit demonic practice from a legitimate natural magic and then elevated the latter. Magic was the practical part of natural science; because it brought hidden powers into act, it was the noblest practical science. To operate magically was “to marry the world.” No work, he added, could be fully efficacious without Cabala, explicit or implicit.</w:t>
      </w:r>
      <w:r w:rsidRPr="00F0415F">
        <w:rPr>
          <w:szCs w:val="28"/>
          <w:vertAlign w:val="superscript"/>
        </w:rPr>
        <w:t>25</w:t>
      </w:r>
    </w:p>
    <w:p w14:paraId="5EFC3E28" w14:textId="77777777" w:rsidR="00F0415F" w:rsidRPr="00F0415F" w:rsidRDefault="00F0415F" w:rsidP="00F0415F">
      <w:pPr>
        <w:pStyle w:val="BookBody"/>
      </w:pPr>
      <w:r w:rsidRPr="00F0415F">
        <w:rPr>
          <w:szCs w:val="28"/>
        </w:rPr>
        <w:t>The marriage is not a modern romance with nature. It presupposes hierarchy. Powers exist seminally and separately; the magus joins them. The soul capable of the work is “standing, and not falling”—a human nature restored to command rather than dispersed by sin. Magic perfects a rational creature by participating in a superior order. The operator's dignity follows from ascent and discipline, not from equality among beings.</w:t>
      </w:r>
    </w:p>
    <w:p w14:paraId="0DE961E5" w14:textId="77777777" w:rsidR="00F0415F" w:rsidRPr="00F0415F" w:rsidRDefault="00F0415F" w:rsidP="00F0415F">
      <w:pPr>
        <w:pStyle w:val="BookBody"/>
      </w:pPr>
      <w:r w:rsidRPr="00F0415F">
        <w:rPr>
          <w:szCs w:val="28"/>
        </w:rPr>
        <w:t>Pico's Cabala also resists a simple category of nature. He encountered Jewish Kabbalistic materials through translators and Christianized them within an apologetic project. Hebrew names, letters, numerical transformations, and scriptural structures were taken to disclose divine powers confirming Christianity. The operation could reach beyond celestial bodies to angels and sacred language. Natural magic and Cabala overlapped without becoming one system.</w:t>
      </w:r>
      <w:r w:rsidRPr="00F0415F">
        <w:rPr>
          <w:szCs w:val="28"/>
          <w:vertAlign w:val="superscript"/>
        </w:rPr>
        <w:t>26</w:t>
      </w:r>
    </w:p>
    <w:p w14:paraId="4D5D4E1B" w14:textId="77777777" w:rsidR="00F0415F" w:rsidRPr="00F0415F" w:rsidRDefault="00F0415F" w:rsidP="00F0415F">
      <w:pPr>
        <w:pStyle w:val="BookBody"/>
      </w:pPr>
      <w:r w:rsidRPr="00F0415F">
        <w:rPr>
          <w:szCs w:val="28"/>
        </w:rPr>
        <w:t xml:space="preserve">Stephen Farmer's edition and analysis of the </w:t>
      </w:r>
      <w:r w:rsidRPr="00F0415F">
        <w:rPr>
          <w:i/>
          <w:szCs w:val="28"/>
        </w:rPr>
        <w:t>Theses</w:t>
      </w:r>
      <w:r w:rsidRPr="00F0415F">
        <w:rPr>
          <w:szCs w:val="28"/>
        </w:rPr>
        <w:t xml:space="preserve"> correct a familiar Yatesian sequence in which Pico merely adopts Ficino's natural magic and adds Cabala. Pico's magical conclusions preceded the publication of Ficino's </w:t>
      </w:r>
      <w:r w:rsidRPr="00F0415F">
        <w:rPr>
          <w:i/>
          <w:szCs w:val="28"/>
        </w:rPr>
        <w:t>De vita</w:t>
      </w:r>
      <w:r w:rsidRPr="00F0415F">
        <w:rPr>
          <w:szCs w:val="28"/>
        </w:rPr>
        <w:t xml:space="preserve"> and drew on a much wider syncretic field. His mechanisms were not simply Ficino's world-spirit applied to Hebrew materials. The </w:t>
      </w:r>
      <w:r w:rsidRPr="00F0415F">
        <w:rPr>
          <w:i/>
          <w:szCs w:val="28"/>
        </w:rPr>
        <w:t>900 Theses</w:t>
      </w:r>
      <w:r w:rsidRPr="00F0415F">
        <w:rPr>
          <w:szCs w:val="28"/>
        </w:rPr>
        <w:t xml:space="preserve"> were designed to coordinate many authorities through correspondences and formal transformations whose very excess was part of their method.</w:t>
      </w:r>
      <w:r w:rsidRPr="00F0415F">
        <w:rPr>
          <w:szCs w:val="28"/>
          <w:vertAlign w:val="superscript"/>
        </w:rPr>
        <w:t>27</w:t>
      </w:r>
    </w:p>
    <w:p w14:paraId="0F8A3954" w14:textId="77777777" w:rsidR="00F0415F" w:rsidRPr="00F0415F" w:rsidRDefault="00F0415F" w:rsidP="00F0415F">
      <w:pPr>
        <w:pStyle w:val="BookBody"/>
      </w:pPr>
      <w:r w:rsidRPr="00F0415F">
        <w:rPr>
          <w:szCs w:val="28"/>
        </w:rPr>
        <w:t xml:space="preserve">The project failed institutionally. Thirteen theses were condemned, the debate was prohibited, and Pico defended himself in an </w:t>
      </w:r>
      <w:r w:rsidRPr="00F0415F">
        <w:rPr>
          <w:i/>
          <w:szCs w:val="28"/>
        </w:rPr>
        <w:t>Apology</w:t>
      </w:r>
      <w:r w:rsidRPr="00F0415F">
        <w:rPr>
          <w:szCs w:val="28"/>
        </w:rPr>
        <w:t>. The episode exposed the danger of universal concord. An argument that claimed to integrate pagan, Jewish, Islamic, scholastic, and Christian wisdom could appear less like a defense of orthodoxy than an unauthorized power to determine it.</w:t>
      </w:r>
    </w:p>
    <w:p w14:paraId="44C604FC" w14:textId="77777777" w:rsidR="00F0415F" w:rsidRPr="00F0415F" w:rsidRDefault="00F0415F" w:rsidP="00F0415F">
      <w:pPr>
        <w:pStyle w:val="BookBody"/>
      </w:pPr>
      <w:r w:rsidRPr="00F0415F">
        <w:rPr>
          <w:szCs w:val="28"/>
        </w:rPr>
        <w:t xml:space="preserve">Pico's later </w:t>
      </w:r>
      <w:r w:rsidRPr="00F0415F">
        <w:rPr>
          <w:i/>
          <w:szCs w:val="28"/>
        </w:rPr>
        <w:t>Disputations against Divinatory Astrology</w:t>
      </w:r>
      <w:r w:rsidRPr="00F0415F">
        <w:rPr>
          <w:szCs w:val="28"/>
        </w:rPr>
        <w:t xml:space="preserve"> seems at first to reverse the magical theses. Written near the end of his life and published posthumously by his nephew Gianfrancesco in 1496, the work attacks astrology's authorities, histories, causal claims, predictions, and techniques. Book III is central. Pico subjects celestial influence to an Aristotelian account of motion, light, heat, and matter, rejecting the claim that particular configurations imprint the endlessly specific qualities astrologers infer from them.</w:t>
      </w:r>
      <w:r w:rsidRPr="00F0415F">
        <w:rPr>
          <w:szCs w:val="28"/>
          <w:vertAlign w:val="superscript"/>
        </w:rPr>
        <w:t>28</w:t>
      </w:r>
    </w:p>
    <w:p w14:paraId="7BBA1D99" w14:textId="77777777" w:rsidR="00F0415F" w:rsidRPr="00F0415F" w:rsidRDefault="00F0415F" w:rsidP="00F0415F">
      <w:pPr>
        <w:pStyle w:val="BookBody"/>
      </w:pPr>
      <w:r w:rsidRPr="00F0415F">
        <w:rPr>
          <w:szCs w:val="28"/>
        </w:rPr>
        <w:t>The attack is stronger than a defense of free will against crude fatalism. Pico asks whether the physical world can receive the differentiated astral information astrology requires. Celestial light and heat may produce broad natural effects, but the variety of terrestrial outcomes depends on matter and local causes, not on a precise vocabulary of constellations. The same sky cannot explain why singular lives diverge as astrologers say they do.</w:t>
      </w:r>
    </w:p>
    <w:p w14:paraId="2E0E5F8F" w14:textId="77777777" w:rsidR="00F0415F" w:rsidRPr="00F0415F" w:rsidRDefault="00F0415F" w:rsidP="00F0415F">
      <w:pPr>
        <w:pStyle w:val="BookBody"/>
      </w:pPr>
      <w:r w:rsidRPr="00F0415F">
        <w:rPr>
          <w:szCs w:val="28"/>
        </w:rPr>
        <w:t xml:space="preserve">Ovanes Akopyan warns, however, against turning the work into a clean conversion narrative. The </w:t>
      </w:r>
      <w:r w:rsidRPr="00F0415F">
        <w:rPr>
          <w:i/>
          <w:szCs w:val="28"/>
        </w:rPr>
        <w:t>Disputations</w:t>
      </w:r>
      <w:r w:rsidRPr="00F0415F">
        <w:rPr>
          <w:szCs w:val="28"/>
        </w:rPr>
        <w:t xml:space="preserve"> remained unfinished. Its posthumous editing generated doubts from the beginning, and different books carry different emphases. Pico did not simply deny every celestial effect. He distinguished genuine natural effects—motion, light, heat, tides, seasons—from the speculative structures by which astrologers predicted religions, choices, careers, illnesses, and events.</w:t>
      </w:r>
      <w:r w:rsidRPr="00F0415F">
        <w:rPr>
          <w:szCs w:val="28"/>
          <w:vertAlign w:val="superscript"/>
        </w:rPr>
        <w:t>29</w:t>
      </w:r>
      <w:r w:rsidRPr="00F0415F">
        <w:rPr>
          <w:szCs w:val="28"/>
        </w:rPr>
        <w:t xml:space="preserve"> His target was divinatory astrology, but his natural philosophy narrowed the space in which Ficinian astral specificity could operate.</w:t>
      </w:r>
    </w:p>
    <w:p w14:paraId="7874B6DB" w14:textId="77777777" w:rsidR="00F0415F" w:rsidRPr="00F0415F" w:rsidRDefault="00F0415F" w:rsidP="00F0415F">
      <w:pPr>
        <w:pStyle w:val="BookBody"/>
      </w:pPr>
      <w:r w:rsidRPr="00F0415F">
        <w:rPr>
          <w:szCs w:val="28"/>
        </w:rPr>
        <w:t>The two judgments therefore belong together. The early Pico celebrated an art that actuated hidden connections. The later Pico asked whether the connections had been invented by interpreters. In both cases he pursued purification. Natural magic had to be separated from demons; Cabala from corrupt practice; true celestial causation from astrological fable; Aristotle from authorities falsely attributed to him. The same desire for a learned and legitimate operation produced both expansion and critique.</w:t>
      </w:r>
    </w:p>
    <w:p w14:paraId="3097DB75" w14:textId="77777777" w:rsidR="00F0415F" w:rsidRPr="00F0415F" w:rsidRDefault="00F0415F" w:rsidP="00F0415F">
      <w:pPr>
        <w:pStyle w:val="BookBody"/>
      </w:pPr>
      <w:r w:rsidRPr="00F0415F">
        <w:rPr>
          <w:szCs w:val="28"/>
        </w:rPr>
        <w:t>Pico's development also reveals the instability of “natural magic” as a safe category. If a natural cause must be proportionate, demonstrable, and capable of acting on matter, many astral correspondences fail. If meaningful figures and names require intellect, the operation moves toward personal spirits. If Cabala reaches above nature, the defense by natural causation no longer applies. The purification does not leave a single art intact.</w:t>
      </w:r>
    </w:p>
    <w:p w14:paraId="4CCAE08F" w14:textId="77777777" w:rsidR="00F0415F" w:rsidRPr="00F0415F" w:rsidRDefault="00F0415F" w:rsidP="00F0415F">
      <w:pPr>
        <w:pStyle w:val="BookBody"/>
      </w:pPr>
      <w:r w:rsidRPr="00F0415F">
        <w:rPr>
          <w:szCs w:val="28"/>
        </w:rPr>
        <w:t>His late critique did not end astrological medicine or magic. Readers could interpret it as an attack only on bad astrology and preserve a prudent art subordinate to providence. Walker notes that later defenders bent Pico's polemic into support for “true and legitimate” astrology, the kind that safeguarded free will and avoided particular predictions.</w:t>
      </w:r>
      <w:r w:rsidRPr="00F0415F">
        <w:rPr>
          <w:szCs w:val="28"/>
          <w:vertAlign w:val="superscript"/>
        </w:rPr>
        <w:t>30</w:t>
      </w:r>
      <w:r w:rsidRPr="00F0415F">
        <w:rPr>
          <w:szCs w:val="28"/>
        </w:rPr>
        <w:t xml:space="preserve"> A failed system could survive by relocating the failure.</w:t>
      </w:r>
    </w:p>
    <w:p w14:paraId="1E15AB9D" w14:textId="77777777" w:rsidR="00F0415F" w:rsidRPr="00F0415F" w:rsidRDefault="00F0415F" w:rsidP="00F0415F">
      <w:pPr>
        <w:pStyle w:val="BookBody"/>
      </w:pPr>
      <w:r w:rsidRPr="00F0415F">
        <w:rPr>
          <w:szCs w:val="28"/>
        </w:rPr>
        <w:t>Pico's importance lies less in choosing one side than in making the contradiction explicit. The magus marries the world; the critic asks whether the marriage license is forged. Renaissance participation became self-critical at the point of its greatest ambition.</w:t>
      </w:r>
    </w:p>
    <w:p w14:paraId="40655B76" w14:textId="77777777" w:rsidR="00F0415F" w:rsidRPr="00F0415F" w:rsidRDefault="00F0415F" w:rsidP="00F0415F">
      <w:pPr>
        <w:pStyle w:val="BookBody"/>
      </w:pPr>
      <w:r w:rsidRPr="00F0415F">
        <w:rPr>
          <w:b/>
          <w:bCs/>
          <w:szCs w:val="28"/>
        </w:rPr>
        <w:t>How Natural Is Natural Magic?</w:t>
      </w:r>
    </w:p>
    <w:p w14:paraId="0B7284E7" w14:textId="77777777" w:rsidR="00F0415F" w:rsidRPr="00F0415F" w:rsidRDefault="00F0415F" w:rsidP="00F0415F">
      <w:pPr>
        <w:pStyle w:val="BookBody"/>
      </w:pPr>
      <w:r w:rsidRPr="00F0415F">
        <w:rPr>
          <w:szCs w:val="28"/>
        </w:rPr>
        <w:t xml:space="preserve">The adjective </w:t>
      </w:r>
      <w:r w:rsidRPr="00F0415F">
        <w:rPr>
          <w:i/>
          <w:szCs w:val="28"/>
        </w:rPr>
        <w:t>natural</w:t>
      </w:r>
      <w:r w:rsidRPr="00F0415F">
        <w:rPr>
          <w:szCs w:val="28"/>
        </w:rPr>
        <w:t xml:space="preserve"> did several kinds of work. It excluded miracles, which depended immediately on divine power. It excluded demonic magic, whose effects came from personal spirits. It distinguished legitimate hidden causes from fraud. It could also serve as protective language, allowing an author to report dangerous operations while insisting that nothing exceeded the created order.</w:t>
      </w:r>
    </w:p>
    <w:p w14:paraId="43614CE3" w14:textId="77777777" w:rsidR="00F0415F" w:rsidRPr="00F0415F" w:rsidRDefault="00F0415F" w:rsidP="00F0415F">
      <w:pPr>
        <w:pStyle w:val="BookBody"/>
      </w:pPr>
      <w:r w:rsidRPr="00F0415F">
        <w:rPr>
          <w:szCs w:val="28"/>
        </w:rPr>
        <w:t>But nature was not a neutral jurisdiction with a settled border. For Ficino, a World-Soul, celestial souls, and world-spirit could belong to the structure of nature. For scholastic theologians, angels and demons were created beings but not natural causes in the same way as stones and stars. For a physician, imagination could act through bodily spirit; for a critic, the same effect might be suggestion, coincidence, or deception. To call an operation natural was often to announce the conclusion that the operation was designed to prove.</w:t>
      </w:r>
    </w:p>
    <w:p w14:paraId="06CF786F" w14:textId="77777777" w:rsidR="00F0415F" w:rsidRPr="00F0415F" w:rsidRDefault="00F0415F" w:rsidP="00F0415F">
      <w:pPr>
        <w:pStyle w:val="BookBody"/>
      </w:pPr>
      <w:r w:rsidRPr="00F0415F">
        <w:rPr>
          <w:szCs w:val="28"/>
        </w:rPr>
        <w:t>Natural magic derived prestige from philosophy. The magus did not claim merely to possess a charm handed down by custom. He claimed to know forms, causes, sympathies, times, and dispositions. Pico made magic the practical completion of natural science. Bruno would define the magician broadly as a wise person who understands how powers act. The title displaced the village sorcerer and elevated the philosopher-operator.</w:t>
      </w:r>
    </w:p>
    <w:p w14:paraId="604BF73D" w14:textId="77777777" w:rsidR="00F0415F" w:rsidRPr="00F0415F" w:rsidRDefault="00F0415F" w:rsidP="00F0415F">
      <w:pPr>
        <w:pStyle w:val="BookBody"/>
      </w:pPr>
      <w:r w:rsidRPr="00F0415F">
        <w:rPr>
          <w:szCs w:val="28"/>
        </w:rPr>
        <w:t>The distinction concealed borrowing. Learned practitioners drew from recipes, charms, amulets, agricultural lore, lapidaries, medical traditions, Arabic manuals, Jewish texts, and ritual practices that did not share their philosophical vocabulary. “Natural” could domesticate this material by translating it into hidden qualities and universal order. Knowledge flowed upward socially while authority flowed downward. The scholar became the legitimate interpreter of practices attributed to others as superstition.</w:t>
      </w:r>
    </w:p>
    <w:p w14:paraId="5D58D2D9" w14:textId="77777777" w:rsidR="00F0415F" w:rsidRPr="00F0415F" w:rsidRDefault="00F0415F" w:rsidP="00F0415F">
      <w:pPr>
        <w:pStyle w:val="BookBody"/>
      </w:pPr>
      <w:r w:rsidRPr="00F0415F">
        <w:rPr>
          <w:szCs w:val="28"/>
        </w:rPr>
        <w:t>Demonology made the hierarchy sharper. The learned magus distinguished good from evil spirits and safe from illicit rites, but the demon was defined by deception. A spirit could imitate a natural effect, answer under a holy name, or exploit the operator's pride. No technical expertise could guarantee that the invisible agent had identified itself truthfully. The more the art depended on personal spirits, the more its mastery became structurally doubtful.</w:t>
      </w:r>
    </w:p>
    <w:p w14:paraId="339DBA0E" w14:textId="77777777" w:rsidR="00F0415F" w:rsidRPr="00F0415F" w:rsidRDefault="00F0415F" w:rsidP="00F0415F">
      <w:pPr>
        <w:pStyle w:val="BookBody"/>
      </w:pPr>
      <w:r w:rsidRPr="00F0415F">
        <w:rPr>
          <w:szCs w:val="28"/>
        </w:rPr>
        <w:t>Ficino's hesitations should be read in that context. He was ordained a priest, wrote under ecclesiastical scrutiny, and published a book whose third part discussed images, planetary songs, and spirits. Prudence mattered. Yet Walker's analysis shows more than censorship. Ficino was attracted to the possibility of good planetary spirits and afraid of idolatry and demonic fraud. His non-demonic “spiritual magic” was an intellectual solution to a religious danger, not merely a secret label pasted over a settled cult.</w:t>
      </w:r>
      <w:r w:rsidRPr="00F0415F">
        <w:rPr>
          <w:szCs w:val="28"/>
          <w:vertAlign w:val="superscript"/>
        </w:rPr>
        <w:t>31</w:t>
      </w:r>
    </w:p>
    <w:p w14:paraId="44F78227" w14:textId="77777777" w:rsidR="00F0415F" w:rsidRPr="00F0415F" w:rsidRDefault="00F0415F" w:rsidP="00F0415F">
      <w:pPr>
        <w:pStyle w:val="BookBody"/>
      </w:pPr>
      <w:r w:rsidRPr="00F0415F">
        <w:rPr>
          <w:szCs w:val="28"/>
        </w:rPr>
        <w:t>Credulity remained a problem even where demons were omitted. Authorities repeated wonders. Stones, images, words, and astrological moments accumulated effects through books. An anecdote could migrate from a reported marvel into evidence for a general cause. The scorpion cure rests on a chain of testimony; Ficino repeats it, qualifies image magic, and still permits the account to support the field. Textual abundance could substitute for controlled confirmation.</w:t>
      </w:r>
    </w:p>
    <w:p w14:paraId="6648EE8D" w14:textId="77777777" w:rsidR="00F0415F" w:rsidRPr="00F0415F" w:rsidRDefault="00F0415F" w:rsidP="00F0415F">
      <w:pPr>
        <w:pStyle w:val="BookBody"/>
      </w:pPr>
      <w:r w:rsidRPr="00F0415F">
        <w:rPr>
          <w:szCs w:val="28"/>
        </w:rPr>
        <w:t>The system's failures deserve direct statement. A carved scorpion does not neutralize venom because it was made while the Moon occupied Scorpio. Planetary hours do not store individualized celestial gifts in gems. A horoscope does not reveal a person's moral future. Demons are not needed to explain why a song changes emotion. Ficino's elaborate causal architecture made false assertions about the world.</w:t>
      </w:r>
    </w:p>
    <w:p w14:paraId="16F49601" w14:textId="77777777" w:rsidR="00F0415F" w:rsidRPr="00F0415F" w:rsidRDefault="00F0415F" w:rsidP="00F0415F">
      <w:pPr>
        <w:pStyle w:val="BookBody"/>
      </w:pPr>
      <w:r w:rsidRPr="00F0415F">
        <w:rPr>
          <w:szCs w:val="28"/>
        </w:rPr>
        <w:t>Yet the failures were not distributed evenly. Aromatic substances affect bodies. Light and routine alter health. Music changes mood. Expectation influences symptoms. Compounds can have effects that isolated ingredients do not. Timing matters in medicine, though not in the zodiacal form Ficino assumed. The art grouped effective and ineffective practices because its criteria for kinship were qualitative correspondence and authority rather than mechanisms that could separate them.</w:t>
      </w:r>
    </w:p>
    <w:p w14:paraId="402B64BA" w14:textId="77777777" w:rsidR="00F0415F" w:rsidRPr="00F0415F" w:rsidRDefault="00F0415F" w:rsidP="00F0415F">
      <w:pPr>
        <w:pStyle w:val="BookBody"/>
      </w:pPr>
      <w:r w:rsidRPr="00F0415F">
        <w:rPr>
          <w:szCs w:val="28"/>
        </w:rPr>
        <w:t>This mixture complicates the heroic story in which magic was persecuted because it threatened religious authority with experimental freedom. Some magical writers did value observation, craft, and the active transformation of nature. They also made claims insulated by secrecy, hierarchy, and ad hoc explanation. Their art could encourage manipulation without adequate tests, and its failures fell upon patients as well as theories.</w:t>
      </w:r>
    </w:p>
    <w:p w14:paraId="5BC40E88" w14:textId="77777777" w:rsidR="00F0415F" w:rsidRPr="00F0415F" w:rsidRDefault="00F0415F" w:rsidP="00F0415F">
      <w:pPr>
        <w:pStyle w:val="BookBody"/>
      </w:pPr>
      <w:r w:rsidRPr="00F0415F">
        <w:rPr>
          <w:szCs w:val="28"/>
        </w:rPr>
        <w:t>Nor did cosmic sympathy guarantee gentleness. Natural magic included attempts to compel love, injure enemies, control weather, obtain favor, or evade fate. Ficino withheld some destructive recipes, which proves that they belonged to the archive he was ordering. Bruno's later account of bonding would turn sympathy toward deliberate influence over other people. Participation could become coercion.</w:t>
      </w:r>
    </w:p>
    <w:p w14:paraId="0B6E64E1" w14:textId="77777777" w:rsidR="00F0415F" w:rsidRPr="00F0415F" w:rsidRDefault="00F0415F" w:rsidP="00F0415F">
      <w:pPr>
        <w:pStyle w:val="BookBody"/>
      </w:pPr>
      <w:r w:rsidRPr="00F0415F">
        <w:rPr>
          <w:szCs w:val="28"/>
        </w:rPr>
        <w:t>The most accurate judgment is therefore double. Learned magic preserved a world in which knowledge, matter, imagination, and efficacy remained joined. It also demonstrated why that joining became untenable. Without a reliable method for distinguishing material power, symbolic action, psychological response, celestial influence, and personal spirit, “nature” could absorb every success and excuse every failure.</w:t>
      </w:r>
    </w:p>
    <w:p w14:paraId="2520CDAD" w14:textId="77777777" w:rsidR="00F0415F" w:rsidRPr="00F0415F" w:rsidRDefault="00F0415F" w:rsidP="00F0415F">
      <w:pPr>
        <w:pStyle w:val="BookBody"/>
      </w:pPr>
      <w:r w:rsidRPr="00F0415F">
        <w:rPr>
          <w:szCs w:val="28"/>
        </w:rPr>
        <w:t>Pico narrowed the heavens by critique. Bruno answered by expanding the universe until no outside remained.</w:t>
      </w:r>
    </w:p>
    <w:p w14:paraId="767F39B0" w14:textId="77777777" w:rsidR="00F0415F" w:rsidRPr="00F0415F" w:rsidRDefault="00F0415F" w:rsidP="00F0415F">
      <w:pPr>
        <w:pStyle w:val="SectionHeading"/>
      </w:pPr>
      <w:r w:rsidRPr="00F0415F">
        <w:rPr>
          <w:bCs/>
          <w:szCs w:val="28"/>
        </w:rPr>
        <w:t>Bruno's World Has No Outside</w:t>
      </w:r>
    </w:p>
    <w:p w14:paraId="09D51EF6" w14:textId="77777777" w:rsidR="00F0415F" w:rsidRPr="00F0415F" w:rsidRDefault="00F0415F" w:rsidP="00F0415F">
      <w:pPr>
        <w:pStyle w:val="BookBody"/>
      </w:pPr>
      <w:r w:rsidRPr="00F0415F">
        <w:rPr>
          <w:szCs w:val="28"/>
        </w:rPr>
        <w:t>Giordano Bruno's infinite universe is often placed at the beginning of a modern story. He rejected the closed Aristotelian-Ptolemaic cosmos, defended the Earth's motion, multiplied worlds without number, and died at the stake. The sequence invites a portrait of the martyr of science whose cosmology escaped theology. It is misleading. Bruno's universe was not modern space emptied of soul. It was infinite because divine power required an adequate image, and it was alive all the way down.</w:t>
      </w:r>
    </w:p>
    <w:p w14:paraId="501166F5" w14:textId="77777777" w:rsidR="00F0415F" w:rsidRPr="00F0415F" w:rsidRDefault="00F0415F" w:rsidP="00F0415F">
      <w:pPr>
        <w:pStyle w:val="BookBody"/>
      </w:pPr>
      <w:r w:rsidRPr="00F0415F">
        <w:rPr>
          <w:szCs w:val="28"/>
        </w:rPr>
        <w:t xml:space="preserve">In </w:t>
      </w:r>
      <w:r w:rsidRPr="00F0415F">
        <w:rPr>
          <w:i/>
          <w:szCs w:val="28"/>
        </w:rPr>
        <w:t>On the Infinite, the Universe and the Worlds</w:t>
      </w:r>
      <w:r w:rsidRPr="00F0415F">
        <w:rPr>
          <w:szCs w:val="28"/>
        </w:rPr>
        <w:t xml:space="preserve"> of 1584, Bruno removes the enclosing sphere and the unique center. There is one immense space containing innumerable suns and earths. What appears to us as the fixed heaven is a local view from one moving globe. Every world has its own relations of center and circumference; “up” and “down” belong to bodies and their local conservations, not to an absolute architecture. The stars no longer decorate the boundary of our world. They are other worlds within the same field.</w:t>
      </w:r>
      <w:r w:rsidRPr="00F0415F">
        <w:rPr>
          <w:szCs w:val="28"/>
          <w:vertAlign w:val="superscript"/>
        </w:rPr>
        <w:t>32</w:t>
      </w:r>
    </w:p>
    <w:p w14:paraId="46A7A98F" w14:textId="77777777" w:rsidR="00F0415F" w:rsidRPr="00F0415F" w:rsidRDefault="00F0415F" w:rsidP="00F0415F">
      <w:pPr>
        <w:pStyle w:val="BookBody"/>
      </w:pPr>
      <w:r w:rsidRPr="00F0415F">
        <w:rPr>
          <w:szCs w:val="28"/>
        </w:rPr>
        <w:t>The cosmological expansion transformed hierarchy. Earth was not the unmoving center, but neither was it expelled into insignificance. It became one living world among infinitely many. Bruno denied a privileged geometric location while multiplying sites of life and divinity. The universe had no external mover standing beyond a final sphere because there was no final sphere. Motion arose within worlds through their own souls.</w:t>
      </w:r>
    </w:p>
    <w:p w14:paraId="2920A3A6" w14:textId="77777777" w:rsidR="00F0415F" w:rsidRPr="00F0415F" w:rsidRDefault="00F0415F" w:rsidP="00F0415F">
      <w:pPr>
        <w:pStyle w:val="BookBody"/>
      </w:pPr>
      <w:r w:rsidRPr="00F0415F">
        <w:rPr>
          <w:szCs w:val="28"/>
        </w:rPr>
        <w:t>Copernicus was necessary but insufficient. His mathematical reordering retained a finite cosmos and did not require innumerable inhabited worlds. Bruno joined heliocentrism to arguments from Nicholas of Cusa, atomist and Epicurean sources, especially Lucretius, and a theological principle of infinity. An infinite cause should not produce only one finite effect as the full expression of its power. The boundless universe became a sensible vestige of an inaccessible divine infinity.</w:t>
      </w:r>
    </w:p>
    <w:p w14:paraId="6432E2D5" w14:textId="77777777" w:rsidR="00F0415F" w:rsidRPr="00F0415F" w:rsidRDefault="00F0415F" w:rsidP="00F0415F">
      <w:pPr>
        <w:pStyle w:val="BookBody"/>
      </w:pPr>
      <w:r w:rsidRPr="00F0415F">
        <w:rPr>
          <w:szCs w:val="28"/>
        </w:rPr>
        <w:t>Yates rightly perceived that this was not a secular scientific deduction. Bruno's emotional and religious investment in an animated infinity belonged to his magical philosophy. But her claim that the “Hermetic impulse” supplied the decisive engine can become too exclusive. Lucretius, Cusanus, Copernicus, Neoplatonism, anti-Aristotelian polemic, and Bruno's own metaphysics cannot be reduced to Hermes.</w:t>
      </w:r>
      <w:r w:rsidRPr="00F0415F">
        <w:rPr>
          <w:szCs w:val="28"/>
          <w:vertAlign w:val="superscript"/>
        </w:rPr>
        <w:t>33</w:t>
      </w:r>
      <w:r w:rsidRPr="00F0415F">
        <w:rPr>
          <w:szCs w:val="28"/>
        </w:rPr>
        <w:t xml:space="preserve"> The infinite world was a synthesis, not the unfolding of a single secret tradition.</w:t>
      </w:r>
    </w:p>
    <w:p w14:paraId="0F34E2D1" w14:textId="77777777" w:rsidR="00F0415F" w:rsidRPr="00F0415F" w:rsidRDefault="00F0415F" w:rsidP="00F0415F">
      <w:pPr>
        <w:pStyle w:val="BookBody"/>
      </w:pPr>
      <w:r w:rsidRPr="00F0415F">
        <w:rPr>
          <w:i/>
          <w:szCs w:val="28"/>
        </w:rPr>
        <w:t>Cause, Principle and Unity</w:t>
      </w:r>
      <w:r w:rsidRPr="00F0415F">
        <w:rPr>
          <w:szCs w:val="28"/>
        </w:rPr>
        <w:t>, published in the same year, explains the life of that synthesis. The World-Soul is the universal form; its intellect directs nature from within. Spirit, soul, and life fill matter in varying degrees. A table is not alive as table, Bruno says, but the natural substances composing it contain a spiritual principle. Stones and roots can alter spirit because no body is wholly deserted by life. The world is not an artifact abandoned by its maker but an animal whose form is present throughout its parts.</w:t>
      </w:r>
      <w:r w:rsidRPr="00F0415F">
        <w:rPr>
          <w:szCs w:val="28"/>
          <w:vertAlign w:val="superscript"/>
        </w:rPr>
        <w:t>34</w:t>
      </w:r>
    </w:p>
    <w:p w14:paraId="7AEE32CE" w14:textId="77777777" w:rsidR="00F0415F" w:rsidRPr="00F0415F" w:rsidRDefault="00F0415F" w:rsidP="00F0415F">
      <w:pPr>
        <w:pStyle w:val="BookBody"/>
      </w:pPr>
      <w:r w:rsidRPr="00F0415F">
        <w:rPr>
          <w:szCs w:val="28"/>
        </w:rPr>
        <w:t>Matter also rises in dignity. It is not passive nonbeing waiting to receive form from outside. It contains the capacity for every configuration and persists through change. Forms emerge, alter, and pass; matter and universal form belong to an enduring unity. Bruno's coincidence of opposites presses against the vertical arrangements by which spirit, celestial substance, and terrestrial matter had been sharply ranked.</w:t>
      </w:r>
    </w:p>
    <w:p w14:paraId="1F200299" w14:textId="77777777" w:rsidR="00F0415F" w:rsidRPr="00F0415F" w:rsidRDefault="00F0415F" w:rsidP="00F0415F">
      <w:pPr>
        <w:pStyle w:val="BookBody"/>
      </w:pPr>
      <w:r w:rsidRPr="00F0415F">
        <w:rPr>
          <w:szCs w:val="28"/>
        </w:rPr>
        <w:t xml:space="preserve">The consequences for magic are direct. If spirit is in all things, everything has some access to everything else. A stone can bear a power not because an alien force occasionally invades dead matter but because matter is already internally related to soul. In </w:t>
      </w:r>
      <w:r w:rsidRPr="00F0415F">
        <w:rPr>
          <w:i/>
          <w:szCs w:val="28"/>
        </w:rPr>
        <w:t>On Magic</w:t>
      </w:r>
      <w:r w:rsidRPr="00F0415F">
        <w:rPr>
          <w:szCs w:val="28"/>
        </w:rPr>
        <w:t>, Bruno states the principle without Ficino's caution: all things are full of spirit, soul, divine power, and divinity. The world-spirit connects and unites every thing with every other thing. This bond is the condition of magical action.</w:t>
      </w:r>
      <w:r w:rsidRPr="00F0415F">
        <w:rPr>
          <w:szCs w:val="28"/>
          <w:vertAlign w:val="superscript"/>
        </w:rPr>
        <w:t>35</w:t>
      </w:r>
    </w:p>
    <w:p w14:paraId="2A106181" w14:textId="77777777" w:rsidR="00F0415F" w:rsidRPr="00F0415F" w:rsidRDefault="00F0415F" w:rsidP="00F0415F">
      <w:pPr>
        <w:pStyle w:val="BookBody"/>
      </w:pPr>
      <w:r w:rsidRPr="00F0415F">
        <w:rPr>
          <w:szCs w:val="28"/>
        </w:rPr>
        <w:t>Bruno did not thereby become an egalitarian of beings. His universe remained graded by degrees of actuality, cognition, and power. He mocked opponents and distinguished superior minds from passive crowds. Infinite plurality did not erase intellectual aristocracy. Nor did the living universe guarantee Christian orthodoxy. By drawing divine immanence into matter and multiplying worlds, Bruno reconfigured creation, providence, incarnation, and the uniqueness of terrestrial history in ways the Roman Inquisition judged intolerable.</w:t>
      </w:r>
    </w:p>
    <w:p w14:paraId="51795500" w14:textId="77777777" w:rsidR="00F0415F" w:rsidRPr="00F0415F" w:rsidRDefault="00F0415F" w:rsidP="00F0415F">
      <w:pPr>
        <w:pStyle w:val="BookBody"/>
      </w:pPr>
      <w:r w:rsidRPr="00F0415F">
        <w:rPr>
          <w:szCs w:val="28"/>
        </w:rPr>
        <w:t>His execution in 1600 should not be reduced to one cosmological proposition. The long trial concerned a complex set of theological and philosophical positions, and the surviving evidence does not turn him into Galileo before Galileo. Bruno lacked the observational program that would characterize mathematical astronomy and telescopic science. He used natural philosophy, metaphysics, textual interpretation, and religious polemic to argue for the cosmos he envisioned.</w:t>
      </w:r>
    </w:p>
    <w:p w14:paraId="36BEB140" w14:textId="77777777" w:rsidR="00F0415F" w:rsidRPr="00F0415F" w:rsidRDefault="00F0415F" w:rsidP="00F0415F">
      <w:pPr>
        <w:pStyle w:val="BookBody"/>
      </w:pPr>
      <w:r w:rsidRPr="00F0415F">
        <w:rPr>
          <w:szCs w:val="28"/>
        </w:rPr>
        <w:t>This is precisely why he belongs here. His infinity was a road not taken within the living cosmos, not an exit from it. The medieval spheres were broken, but the result was more life, not less: innumerable animated worlds moving through one ether, each internally governed, none enclosed by an outer wall. Space expanded without becoming neutral.</w:t>
      </w:r>
    </w:p>
    <w:p w14:paraId="4CA2AC55" w14:textId="77777777" w:rsidR="00F0415F" w:rsidRPr="00F0415F" w:rsidRDefault="00F0415F" w:rsidP="00F0415F">
      <w:pPr>
        <w:pStyle w:val="BookBody"/>
      </w:pPr>
      <w:r w:rsidRPr="00F0415F">
        <w:rPr>
          <w:szCs w:val="28"/>
        </w:rPr>
        <w:t>The achievement and the error must again be held together. Bruno helped make a finite geocentric architecture intellectually impossible for later readers, and his insistence that the stars might be suns accompanied by other worlds was astonishingly fertile. But he did not establish those claims through the evidentiary means by which modern astronomy would confirm analogous propositions. His living planets, universal spirit, and magical bonds were not provisional equations. They belonged to a metaphysics of divine nature.</w:t>
      </w:r>
    </w:p>
    <w:p w14:paraId="17BA08AE" w14:textId="77777777" w:rsidR="00F0415F" w:rsidRPr="00F0415F" w:rsidRDefault="00F0415F" w:rsidP="00F0415F">
      <w:pPr>
        <w:pStyle w:val="BookBody"/>
      </w:pPr>
      <w:r w:rsidRPr="00F0415F">
        <w:rPr>
          <w:szCs w:val="28"/>
        </w:rPr>
        <w:t>The universe has no outside in Bruno because nothing can stand beyond infinity. It also has no spiritually vacant inside. Every point is open to relation. The danger is that the magus who knows those relations may try to turn universal sympathy into a technology of souls.</w:t>
      </w:r>
    </w:p>
    <w:p w14:paraId="56EBBFD8" w14:textId="77777777" w:rsidR="00F0415F" w:rsidRPr="00F0415F" w:rsidRDefault="00F0415F" w:rsidP="00F0415F">
      <w:pPr>
        <w:pStyle w:val="SectionHeading"/>
      </w:pPr>
      <w:r w:rsidRPr="00F0415F">
        <w:rPr>
          <w:bCs/>
          <w:szCs w:val="28"/>
        </w:rPr>
        <w:t>The Magician as Binder</w:t>
      </w:r>
    </w:p>
    <w:p w14:paraId="2D2BA9FF" w14:textId="77777777" w:rsidR="00F0415F" w:rsidRPr="00F0415F" w:rsidRDefault="00F0415F" w:rsidP="00F0415F">
      <w:pPr>
        <w:pStyle w:val="BookBody"/>
      </w:pPr>
      <w:r w:rsidRPr="00F0415F">
        <w:rPr>
          <w:szCs w:val="28"/>
        </w:rPr>
        <w:t xml:space="preserve">Bruno's </w:t>
      </w:r>
      <w:r w:rsidRPr="00F0415F">
        <w:rPr>
          <w:i/>
          <w:szCs w:val="28"/>
        </w:rPr>
        <w:t>On Magic</w:t>
      </w:r>
      <w:r w:rsidRPr="00F0415F">
        <w:rPr>
          <w:szCs w:val="28"/>
        </w:rPr>
        <w:t xml:space="preserve"> begins by expanding the name of magician. It can mean a sage, a natural operator, an enchanter, a conjurer of spirits, a mathematician working with occult figures, a prophet, or a harmful sorcerer. The distinctions matter because the art's effects depend on different bonds. Some arise from physical qualities, some from imagination, some from celestial relations, some from spirits, and some from persuasion.</w:t>
      </w:r>
    </w:p>
    <w:p w14:paraId="7F255E05" w14:textId="77777777" w:rsidR="00F0415F" w:rsidRPr="00F0415F" w:rsidRDefault="00F0415F" w:rsidP="00F0415F">
      <w:pPr>
        <w:pStyle w:val="BookBody"/>
      </w:pPr>
      <w:r w:rsidRPr="00F0415F">
        <w:rPr>
          <w:szCs w:val="28"/>
        </w:rPr>
        <w:t>The world bond is prior to the operator. Soul and spirit are present throughout matter; likes desire likes; bodies seek preservation; passions alter spirit. The magician acts because things are already capable of being joined. Art identifies a receptive subject, an active power, and an appropriate application of one to the other. Bruno compares the conditions to a musician and flute: skill, instrument, and performance must all be disposed for action.</w:t>
      </w:r>
      <w:r w:rsidRPr="00F0415F">
        <w:rPr>
          <w:szCs w:val="28"/>
          <w:vertAlign w:val="superscript"/>
        </w:rPr>
        <w:t>36</w:t>
      </w:r>
    </w:p>
    <w:p w14:paraId="5794E378" w14:textId="77777777" w:rsidR="00F0415F" w:rsidRPr="00F0415F" w:rsidRDefault="00F0415F" w:rsidP="00F0415F">
      <w:pPr>
        <w:pStyle w:val="BookBody"/>
      </w:pPr>
      <w:r w:rsidRPr="00F0415F">
        <w:rPr>
          <w:szCs w:val="28"/>
        </w:rPr>
        <w:t>His list of bonds is encyclopedic. Physics, mathematics, and metaphysics form a triple cord. Faith, invocation, love, and strong emotion dispose agent and patient. World-Soul connects the whole. Planetary souls, demons, names, signs, times, places, materials, rituals, and consecrations offer more particular routes. The taxonomy does not purify natural magic so much as display how rapidly natural, psychological, religious, and political action pass into one another.</w:t>
      </w:r>
    </w:p>
    <w:p w14:paraId="05E763F7" w14:textId="77777777" w:rsidR="00F0415F" w:rsidRPr="00F0415F" w:rsidRDefault="00F0415F" w:rsidP="00F0415F">
      <w:pPr>
        <w:pStyle w:val="BookBody"/>
      </w:pPr>
      <w:r w:rsidRPr="00F0415F">
        <w:rPr>
          <w:szCs w:val="28"/>
        </w:rPr>
        <w:t xml:space="preserve">The later </w:t>
      </w:r>
      <w:r w:rsidRPr="00F0415F">
        <w:rPr>
          <w:i/>
          <w:szCs w:val="28"/>
        </w:rPr>
        <w:t>General Account of Bonding</w:t>
      </w:r>
      <w:r w:rsidRPr="00F0415F">
        <w:rPr>
          <w:szCs w:val="28"/>
        </w:rPr>
        <w:t xml:space="preserve"> turns toward human beings. Every person is moved through openings—sight, hearing, imagination, desire, fear, hope, self-love, memory. A binder studies the subject's dispositions and chooses an image, word, gesture, gift, or circumstance capable of fastening desire. No universal charm works equally on everyone because bonds depend on difference. Knowledge of the patient becomes power over the patient.</w:t>
      </w:r>
    </w:p>
    <w:p w14:paraId="18F2A764" w14:textId="77777777" w:rsidR="00F0415F" w:rsidRPr="00F0415F" w:rsidRDefault="00F0415F" w:rsidP="00F0415F">
      <w:pPr>
        <w:pStyle w:val="BookBody"/>
      </w:pPr>
      <w:r w:rsidRPr="00F0415F">
        <w:rPr>
          <w:szCs w:val="28"/>
        </w:rPr>
        <w:t>Ioan Culianu made this text the center of a brilliant and provocative interpretation of Renaissance magic as a general psychology of manipulation. Eros is the bond of bonds because attraction underlies the motions of imagination and will. The magician resembles the lover, poet, or propagandist: all create phantasms that enter another person's inner theater. Culianu pushes the analogy toward modern mass communication, advertising, and political control.</w:t>
      </w:r>
      <w:r w:rsidRPr="00F0415F">
        <w:rPr>
          <w:szCs w:val="28"/>
          <w:vertAlign w:val="superscript"/>
        </w:rPr>
        <w:t>37</w:t>
      </w:r>
    </w:p>
    <w:p w14:paraId="300C64B2" w14:textId="77777777" w:rsidR="00F0415F" w:rsidRPr="00F0415F" w:rsidRDefault="00F0415F" w:rsidP="00F0415F">
      <w:pPr>
        <w:pStyle w:val="BookBody"/>
      </w:pPr>
      <w:r w:rsidRPr="00F0415F">
        <w:rPr>
          <w:szCs w:val="28"/>
        </w:rPr>
        <w:t>The comparison illuminates a real feature of Bruno. Magic does not require a supernatural projectile if an image can capture attention and reorganize desire. The operator's immunity becomes important: one who is himself caught by the bond cannot direct it freely. Knowledge promises detachment from the passions used to move others. The magician becomes a technician of relation who aspires not to be reciprocally bound.</w:t>
      </w:r>
    </w:p>
    <w:p w14:paraId="667FD16F" w14:textId="77777777" w:rsidR="00F0415F" w:rsidRPr="00F0415F" w:rsidRDefault="00F0415F" w:rsidP="00F0415F">
      <w:pPr>
        <w:pStyle w:val="BookBody"/>
      </w:pPr>
      <w:r w:rsidRPr="00F0415F">
        <w:rPr>
          <w:szCs w:val="28"/>
        </w:rPr>
        <w:t>But the modern analogy can overreach. Bruno's imagination was not a secular media system. It belonged to a pneumatology in which images inhabit subtle spirit, cosmic sympathy is real, and demons may exploit the same openings. His bonds were metaphysical and erotic as well as rhetorical. To translate them directly into public relations or mass psychology risks repeating the heroic genealogy by which every striking Renaissance technique becomes a premature modern discipline.</w:t>
      </w:r>
    </w:p>
    <w:p w14:paraId="5092882F" w14:textId="77777777" w:rsidR="00F0415F" w:rsidRPr="00F0415F" w:rsidRDefault="00F0415F" w:rsidP="00F0415F">
      <w:pPr>
        <w:pStyle w:val="BookBody"/>
      </w:pPr>
      <w:r w:rsidRPr="00F0415F">
        <w:rPr>
          <w:szCs w:val="28"/>
        </w:rPr>
        <w:t>The ethical problem remains without the genealogy. A cosmos joined by love does not ensure loving action. Bruno can describe the binder's craft with remarkable coolness. The subject's pleasures and aversions become handles. Religion itself can function as a powerful bond. The art of knowing correspondences becomes an art of arranging people without their informed participation.</w:t>
      </w:r>
    </w:p>
    <w:p w14:paraId="207F4C64" w14:textId="77777777" w:rsidR="00F0415F" w:rsidRPr="00F0415F" w:rsidRDefault="00F0415F" w:rsidP="00F0415F">
      <w:pPr>
        <w:pStyle w:val="BookBody"/>
      </w:pPr>
      <w:r w:rsidRPr="00F0415F">
        <w:rPr>
          <w:szCs w:val="28"/>
        </w:rPr>
        <w:t>Here hierarchy reveals its practical edge. Ficino's patient joins a regimen intended for his health, though authority remains unequal. Bruno's binder may conceal the operation from its object. The superior knower claims freedom by managing the imagination of the less disciplined. Cosmic sympathy becomes asymmetric: relation for one person, instrument for another.</w:t>
      </w:r>
    </w:p>
    <w:p w14:paraId="4EA25F96" w14:textId="77777777" w:rsidR="00F0415F" w:rsidRPr="00F0415F" w:rsidRDefault="00F0415F" w:rsidP="00F0415F">
      <w:pPr>
        <w:pStyle w:val="BookBody"/>
      </w:pPr>
      <w:r w:rsidRPr="00F0415F">
        <w:rPr>
          <w:szCs w:val="28"/>
        </w:rPr>
        <w:t>This possibility was present from the beginning. A talisman for favor seeks to alter social response. A love image attempts to direct desire. A planetary song gathers hearers into an affect. A sacred name authorizes a community. Magic's materials are not only stones and herbs but attention, credibility, memory, and hope. Once efficacy becomes the criterion, the difference between healing and control must be supplied by an ethics the operation itself does not guarantee.</w:t>
      </w:r>
    </w:p>
    <w:p w14:paraId="4639CD5E" w14:textId="77777777" w:rsidR="00F0415F" w:rsidRPr="00F0415F" w:rsidRDefault="00F0415F" w:rsidP="00F0415F">
      <w:pPr>
        <w:pStyle w:val="BookBody"/>
      </w:pPr>
      <w:r w:rsidRPr="00F0415F">
        <w:rPr>
          <w:szCs w:val="28"/>
        </w:rPr>
        <w:t>Bruno's binder is therefore not the ancestor we should celebrate as a master of communication. He is a warning produced inside the living cosmos. If everything can touch everything, then knowledge of connection can serve domination as readily as communion. Participation without mutuality becomes enchantment in the darkest sense.</w:t>
      </w:r>
    </w:p>
    <w:p w14:paraId="32885AC1" w14:textId="77777777" w:rsidR="00F0415F" w:rsidRPr="00F0415F" w:rsidRDefault="00F0415F" w:rsidP="00F0415F">
      <w:pPr>
        <w:pStyle w:val="BookBody"/>
      </w:pPr>
      <w:r w:rsidRPr="00F0415F">
        <w:rPr>
          <w:szCs w:val="28"/>
        </w:rPr>
        <w:t>The road not taken did not fail only because its cosmology was wrong. It carried a politics of mastery inside its language of universal life.</w:t>
      </w:r>
    </w:p>
    <w:p w14:paraId="340E5C28" w14:textId="77777777" w:rsidR="00F0415F" w:rsidRPr="00F0415F" w:rsidRDefault="00F0415F" w:rsidP="00F0415F">
      <w:pPr>
        <w:pStyle w:val="SectionHeading"/>
      </w:pPr>
      <w:r w:rsidRPr="00F0415F">
        <w:rPr>
          <w:bCs/>
          <w:szCs w:val="28"/>
        </w:rPr>
        <w:t>A Road Not Taken</w:t>
      </w:r>
    </w:p>
    <w:p w14:paraId="25F22D4B" w14:textId="77777777" w:rsidR="00F0415F" w:rsidRPr="00F0415F" w:rsidRDefault="00F0415F" w:rsidP="00F0415F">
      <w:pPr>
        <w:pStyle w:val="BookBody"/>
      </w:pPr>
      <w:r w:rsidRPr="00F0415F">
        <w:rPr>
          <w:szCs w:val="28"/>
        </w:rPr>
        <w:t>Renaissance magic intensified because several historical pressures converged. Greek, Latin, Arabic, and Hebrew texts became newly available or newly authoritative. Print enlarged their circulation. Courts and cities supported physicians, astrologers, translators, artisans, and collectors. Religious division made ancient concord attractive and dangerous. Natural philosophy confronted substances and effects that inherited classifications did not fully explain. The humanist recovery of language and history opened the past as a field of possible futures.</w:t>
      </w:r>
    </w:p>
    <w:p w14:paraId="56C06A04" w14:textId="77777777" w:rsidR="00F0415F" w:rsidRPr="00F0415F" w:rsidRDefault="00F0415F" w:rsidP="00F0415F">
      <w:pPr>
        <w:pStyle w:val="BookBody"/>
      </w:pPr>
      <w:r w:rsidRPr="00F0415F">
        <w:rPr>
          <w:szCs w:val="28"/>
        </w:rPr>
        <w:t>Magic answered these pressures by refusing a separation that later disciplines would enforce. Knowledge and operation belonged together. Matter carried form, memory, and affinity. Imagination was bodily. Music was mathematical, medical, emotional, and celestial. A sign could be material without being mute. Nature included hidden powers; theology disciplined their use; medicine applied them to singular bodies; cosmology supplied their scale.</w:t>
      </w:r>
    </w:p>
    <w:p w14:paraId="2EAFF824" w14:textId="77777777" w:rsidR="00F0415F" w:rsidRPr="00F0415F" w:rsidRDefault="00F0415F" w:rsidP="00F0415F">
      <w:pPr>
        <w:pStyle w:val="BookBody"/>
      </w:pPr>
      <w:r w:rsidRPr="00F0415F">
        <w:rPr>
          <w:szCs w:val="28"/>
        </w:rPr>
        <w:t>That synthesis should not be mistaken for a coherent alternative system suppressed just before it could become modernity. Ficino's spiritual magic could not decide whether meaningful operations were natural or personal. Pico's critique removed the differentiated astral causes on which many practices depended. Bruno's infinity expanded a living world but joined its unity to claims that could not be tested as he presented them. Across the tradition, observation, authority, analogy, testimony, ritual, and wish were too easily converted into one another.</w:t>
      </w:r>
    </w:p>
    <w:p w14:paraId="2FCF4B01" w14:textId="77777777" w:rsidR="00F0415F" w:rsidRPr="00F0415F" w:rsidRDefault="00F0415F" w:rsidP="00F0415F">
      <w:pPr>
        <w:pStyle w:val="BookBody"/>
      </w:pPr>
      <w:r w:rsidRPr="00F0415F">
        <w:rPr>
          <w:szCs w:val="28"/>
        </w:rPr>
        <w:t>Yates's great contribution was to make historians see that this material belonged to the Renaissance at full intellectual strength. Her limitation was to give it too unified a march through Hermetism toward science and reform. Copenhaver's work returns the scholastic structures and textual precision that the grand narrative obscured. Walker exposes the practical and demonological tensions within Ficino's spiritual magic. Farmer and Akopyan make Pico's development less linear. Hanegraaff shows how later histories manufactured “rejected knowledge” as the negative image of rational culture.</w:t>
      </w:r>
      <w:r w:rsidRPr="00F0415F">
        <w:rPr>
          <w:szCs w:val="28"/>
          <w:vertAlign w:val="superscript"/>
        </w:rPr>
        <w:t>38</w:t>
      </w:r>
      <w:r w:rsidRPr="00F0415F">
        <w:rPr>
          <w:szCs w:val="28"/>
        </w:rPr>
        <w:t xml:space="preserve"> Together they replace a secret tradition with a contested field.</w:t>
      </w:r>
    </w:p>
    <w:p w14:paraId="3E7D3B9B" w14:textId="77777777" w:rsidR="00F0415F" w:rsidRPr="00F0415F" w:rsidRDefault="00F0415F" w:rsidP="00F0415F">
      <w:pPr>
        <w:pStyle w:val="BookBody"/>
      </w:pPr>
      <w:r w:rsidRPr="00F0415F">
        <w:rPr>
          <w:szCs w:val="28"/>
        </w:rPr>
        <w:t>The field mattered to the development of science, but not as a simple parent. Magical texts preserved interest in instruments, recipes, crafts, hidden virtues, action at a distance, and the transformation of nature. Astrology demanded computation and observation. Talismanic theories asked how form and matter interact. Music connected ratio to embodied effect. These questions crossed into new sciences. At the same time, natural philosophers increasingly distinguished reproducible effects from textual marvels, mathematical relations from qualitative analogies, and material mechanisms from personal spirits. Science emerged partly through boundary work against magic as well as through materials once housed within it.</w:t>
      </w:r>
      <w:r w:rsidRPr="00F0415F">
        <w:rPr>
          <w:szCs w:val="28"/>
          <w:vertAlign w:val="superscript"/>
        </w:rPr>
        <w:t>39</w:t>
      </w:r>
    </w:p>
    <w:p w14:paraId="656485C5" w14:textId="77777777" w:rsidR="00F0415F" w:rsidRPr="00F0415F" w:rsidRDefault="00F0415F" w:rsidP="00F0415F">
      <w:pPr>
        <w:pStyle w:val="BookBody"/>
      </w:pPr>
      <w:r w:rsidRPr="00F0415F">
        <w:rPr>
          <w:szCs w:val="28"/>
        </w:rPr>
        <w:t>The rejection was never complete. Newton studied alchemy and ancient theology. Magnetism, electricity, hypnotism, and invisible forces repeatedly reopened the problem of occult action in new forms. Romantic and occult revivals reassembled materials excluded by Enlightenment narratives. Modern advertising, psychology, medicine, and media still investigate how images, expectations, sounds, and environments alter bodies. Continuity exists, but it is a continuity of recurrent problems and appropriated practices, not an intact esoteric lineage.</w:t>
      </w:r>
    </w:p>
    <w:p w14:paraId="5C6CB5F3" w14:textId="77777777" w:rsidR="00F0415F" w:rsidRPr="00F0415F" w:rsidRDefault="00F0415F" w:rsidP="00F0415F">
      <w:pPr>
        <w:pStyle w:val="BookBody"/>
      </w:pPr>
      <w:r w:rsidRPr="00F0415F">
        <w:rPr>
          <w:szCs w:val="28"/>
        </w:rPr>
        <w:t>The phrase “road not taken” must therefore be used carefully. There was no fork at which Europe rationally chose mechanism and abandoned a fully available participatory science. The paths overlapped, doubled back, and exchanged travelers. Some magical practices became objects of chemistry, pharmacology, astronomy, music theory, or psychology after their causal accounts were transformed. Others persisted as occult arts. Others disappeared because repeated experience did not sustain them.</w:t>
      </w:r>
    </w:p>
    <w:p w14:paraId="518D0DE2" w14:textId="77777777" w:rsidR="00F0415F" w:rsidRPr="00F0415F" w:rsidRDefault="00F0415F" w:rsidP="00F0415F">
      <w:pPr>
        <w:pStyle w:val="BookBody"/>
      </w:pPr>
      <w:r w:rsidRPr="00F0415F">
        <w:rPr>
          <w:szCs w:val="28"/>
        </w:rPr>
        <w:t>Nor should the untaken road be idealized as ecologically or spiritually superior. A living cosmos can support reverence, but it can also support hierarchy: superior and inferior souls, commanding magi and receptive patients, civilized knowers and credulous crowds. Sympathy can describe mutual implication, or it can furnish the binder with handles. The language of hidden unity can correct a deadening reduction of nature while protecting claims from criticism. Wonder is not yet justice, and animation is not yet care.</w:t>
      </w:r>
    </w:p>
    <w:p w14:paraId="2B5A7271" w14:textId="77777777" w:rsidR="00F0415F" w:rsidRPr="00F0415F" w:rsidRDefault="00F0415F" w:rsidP="00F0415F">
      <w:pPr>
        <w:pStyle w:val="BookBody"/>
      </w:pPr>
      <w:r w:rsidRPr="00F0415F">
        <w:rPr>
          <w:szCs w:val="28"/>
        </w:rPr>
        <w:t>Still, something was lost when the synthesis broke. Modern divisions make it difficult to speak of a song as at once a material vibration, a bearer of meaning, a bodily event, a social bond, and a cosmological claim without distributing these dimensions among specialties. Ficino's system joined them badly, but it perceived that they had to be joined somehow. The error of celestial music does not abolish the problem of how sound crosses body and mind. The failure of talismanic astrology does not abolish the way objects hold memory, expectation, and relation. The wrong theory of world-spirit does not abolish embodied exchange with air, light, odor, plant, and place.</w:t>
      </w:r>
    </w:p>
    <w:p w14:paraId="47E51CA3" w14:textId="77777777" w:rsidR="00F0415F" w:rsidRPr="00F0415F" w:rsidRDefault="00F0415F" w:rsidP="00F0415F">
      <w:pPr>
        <w:pStyle w:val="BookBody"/>
      </w:pPr>
      <w:r w:rsidRPr="00F0415F">
        <w:rPr>
          <w:szCs w:val="28"/>
        </w:rPr>
        <w:t>The history of Renaissance magic thus belongs to the death of the living cosmos as an experiment in delayed life. After sacramental presence fractured, learned operators attempted to make participation technical. They sought channels that did not depend wholly on a confessional church: rays, herbs, images, music, ancient names, imagination, and celestial times. But these channels could not secure a common standard of truth. The living world became an esoteric expertise rather than a shared public order.</w:t>
      </w:r>
    </w:p>
    <w:p w14:paraId="3B886CE9" w14:textId="77777777" w:rsidR="00F0415F" w:rsidRPr="00F0415F" w:rsidRDefault="00F0415F" w:rsidP="00F0415F">
      <w:pPr>
        <w:pStyle w:val="BookBody"/>
      </w:pPr>
      <w:r w:rsidRPr="00F0415F">
        <w:rPr>
          <w:szCs w:val="28"/>
        </w:rPr>
        <w:t>Paracelsus marks the transition forward. He should not be made the hero of this chapter, for his medicine and theology belong to another configuration. Yet his signatures, arcana, astral body, and insistence that the physician learn from nature carry correspondence into a more aggressive practice of transformation. The operator no longer only selects Solar herbs or sings a Jovial song. He separates, purifies, recombines, and tests substances through fire. Cosmic relation moves toward furnace, laboratory, wound, mineral, and dose.</w:t>
      </w:r>
      <w:r w:rsidRPr="00F0415F">
        <w:rPr>
          <w:szCs w:val="28"/>
          <w:vertAlign w:val="superscript"/>
        </w:rPr>
        <w:t>40</w:t>
      </w:r>
    </w:p>
    <w:p w14:paraId="7BC6FC5C" w14:textId="77777777" w:rsidR="00F0415F" w:rsidRPr="00F0415F" w:rsidRDefault="00F0415F" w:rsidP="00F0415F">
      <w:pPr>
        <w:pStyle w:val="BookBody"/>
      </w:pPr>
      <w:r w:rsidRPr="00F0415F">
        <w:rPr>
          <w:szCs w:val="28"/>
        </w:rPr>
        <w:t>Alchemy will relocate the question. Instead of asking chiefly how a favorable heaven can be received, it asks how matter can be made to disclose and accelerate its own transformations. The vessel replaces the talisman as material witness. Heat becomes an instrument rather than merely a planetary quality. The body and the metal enter processes whose visible changes demand interpretation.</w:t>
      </w:r>
    </w:p>
    <w:p w14:paraId="1BCC4DD6" w14:textId="77777777" w:rsidR="00F0415F" w:rsidRPr="00F0415F" w:rsidRDefault="00F0415F" w:rsidP="00F0415F">
      <w:pPr>
        <w:pStyle w:val="BookBody"/>
      </w:pPr>
      <w:r w:rsidRPr="00F0415F">
        <w:rPr>
          <w:szCs w:val="28"/>
        </w:rPr>
        <w:t>The scorpion signet remains behind at the threshold. Its figure promised that the heavens could be folded into stone, its hour preserved, its power swallowed. The promise failed as causal science. It survives as a record of a world in which knowledge was expected to heal by marriage: star to sign, sign to substance, substance to body, body to soul. Chapter 11 enters the furnace where that marriage will be broken down and attempted again.</w:t>
      </w:r>
    </w:p>
    <w:p w14:paraId="07D2BA53" w14:textId="77777777" w:rsidR="00F0415F" w:rsidRPr="00F0415F" w:rsidRDefault="00F0415F" w:rsidP="00F0415F">
      <w:pPr>
        <w:pStyle w:val="NotesHeading"/>
      </w:pPr>
      <w:r w:rsidRPr="00F0415F">
        <w:rPr>
          <w:bCs/>
          <w:szCs w:val="28"/>
        </w:rPr>
        <w:t>Notes</w:t>
      </w:r>
    </w:p>
    <w:p w14:paraId="3A42C2BE" w14:textId="77777777" w:rsidR="00F0415F" w:rsidRPr="00F0415F" w:rsidRDefault="00F0415F" w:rsidP="00F0415F">
      <w:pPr>
        <w:pStyle w:val="NoteEntry"/>
      </w:pPr>
      <w:r w:rsidRPr="00F0415F">
        <w:rPr>
          <w:szCs w:val="28"/>
        </w:rPr>
        <w:t xml:space="preserve">1. Marsilio Ficino, </w:t>
      </w:r>
      <w:r w:rsidRPr="00F0415F">
        <w:rPr>
          <w:i/>
          <w:szCs w:val="28"/>
        </w:rPr>
        <w:t>Three Books on Life</w:t>
      </w:r>
      <w:r w:rsidRPr="00F0415F">
        <w:rPr>
          <w:szCs w:val="28"/>
        </w:rPr>
        <w:t>, ed. and trans. Carol V. Kaske and John R. Clark (Binghamton, NY: Medieval &amp; Renaissance Texts &amp; Studies, 1989), bk. 3, chap. 13, 305–6.</w:t>
      </w:r>
    </w:p>
    <w:p w14:paraId="2E35BC88" w14:textId="77777777" w:rsidR="00F0415F" w:rsidRPr="00F0415F" w:rsidRDefault="00F0415F" w:rsidP="00F0415F">
      <w:pPr>
        <w:pStyle w:val="NoteEntry"/>
      </w:pPr>
      <w:r w:rsidRPr="00F0415F">
        <w:rPr>
          <w:szCs w:val="28"/>
        </w:rPr>
        <w:t xml:space="preserve">2. Ficino, </w:t>
      </w:r>
      <w:r w:rsidRPr="00F0415F">
        <w:rPr>
          <w:i/>
          <w:szCs w:val="28"/>
        </w:rPr>
        <w:t>Three Books on Life</w:t>
      </w:r>
      <w:r w:rsidRPr="00F0415F">
        <w:rPr>
          <w:szCs w:val="28"/>
        </w:rPr>
        <w:t>, bk. 3, chaps. 13, 19–20, 305–9, 339–53.</w:t>
      </w:r>
    </w:p>
    <w:p w14:paraId="5E8E6826" w14:textId="77777777" w:rsidR="00F0415F" w:rsidRPr="00F0415F" w:rsidRDefault="00F0415F" w:rsidP="00F0415F">
      <w:pPr>
        <w:pStyle w:val="NoteEntry"/>
      </w:pPr>
      <w:r w:rsidRPr="00F0415F">
        <w:rPr>
          <w:szCs w:val="28"/>
        </w:rPr>
        <w:t xml:space="preserve">3. Brian P. Copenhaver, </w:t>
      </w:r>
      <w:r w:rsidRPr="00F0415F">
        <w:rPr>
          <w:i/>
          <w:szCs w:val="28"/>
        </w:rPr>
        <w:t>Magic in Western Culture: From Antiquity to the Enlightenment</w:t>
      </w:r>
      <w:r w:rsidRPr="00F0415F">
        <w:rPr>
          <w:szCs w:val="28"/>
        </w:rPr>
        <w:t xml:space="preserve"> (Cambridge: Cambridge University Press, 2015), 101–45.</w:t>
      </w:r>
    </w:p>
    <w:p w14:paraId="183E633B" w14:textId="77777777" w:rsidR="00F0415F" w:rsidRPr="00F0415F" w:rsidRDefault="00F0415F" w:rsidP="00F0415F">
      <w:pPr>
        <w:pStyle w:val="NoteEntry"/>
      </w:pPr>
      <w:r w:rsidRPr="00F0415F">
        <w:rPr>
          <w:szCs w:val="28"/>
        </w:rPr>
        <w:t xml:space="preserve">4. Giovanni Pico della Mirandola, </w:t>
      </w:r>
      <w:r w:rsidRPr="00F0415F">
        <w:rPr>
          <w:i/>
          <w:szCs w:val="28"/>
        </w:rPr>
        <w:t>Syncretism in the West: Pico's 900 Theses (1486)</w:t>
      </w:r>
      <w:r w:rsidRPr="00F0415F">
        <w:rPr>
          <w:szCs w:val="28"/>
        </w:rPr>
        <w:t xml:space="preserve">, ed. and trans. Stephen A. Farmer (Tempe, AZ: Medieval &amp; Renaissance Texts &amp; Studies, 1998), 495–501; Giordano Bruno, </w:t>
      </w:r>
      <w:r w:rsidRPr="00F0415F">
        <w:rPr>
          <w:i/>
          <w:szCs w:val="28"/>
        </w:rPr>
        <w:t>Cause, Principle and Unity and Essays on Magic</w:t>
      </w:r>
      <w:r w:rsidRPr="00F0415F">
        <w:rPr>
          <w:szCs w:val="28"/>
        </w:rPr>
        <w:t>, ed. and trans. Robert de Lucca and Richard J. Blackwell (Cambridge: Cambridge University Press, 1998), 143–76.</w:t>
      </w:r>
    </w:p>
    <w:p w14:paraId="2C7197B7" w14:textId="77777777" w:rsidR="00F0415F" w:rsidRPr="00F0415F" w:rsidRDefault="00F0415F" w:rsidP="00F0415F">
      <w:pPr>
        <w:pStyle w:val="NoteEntry"/>
      </w:pPr>
      <w:r w:rsidRPr="00F0415F">
        <w:rPr>
          <w:szCs w:val="28"/>
        </w:rPr>
        <w:t xml:space="preserve">5. Brian P. Copenhaver, ed. and trans., </w:t>
      </w:r>
      <w:r w:rsidRPr="00F0415F">
        <w:rPr>
          <w:i/>
          <w:szCs w:val="28"/>
        </w:rPr>
        <w:t>Hermetica: The Greek Corpus Hermeticum and the Latin Asclepius in a New English Translation, with Notes and Introduction</w:t>
      </w:r>
      <w:r w:rsidRPr="00F0415F">
        <w:rPr>
          <w:szCs w:val="28"/>
        </w:rPr>
        <w:t xml:space="preserve"> (Cambridge: Cambridge University Press, 1992), xiii–lxi.</w:t>
      </w:r>
    </w:p>
    <w:p w14:paraId="1CD613AF" w14:textId="77777777" w:rsidR="00F0415F" w:rsidRPr="00F0415F" w:rsidRDefault="00F0415F" w:rsidP="00F0415F">
      <w:pPr>
        <w:pStyle w:val="NoteEntry"/>
      </w:pPr>
      <w:r w:rsidRPr="00F0415F">
        <w:rPr>
          <w:szCs w:val="28"/>
        </w:rPr>
        <w:t xml:space="preserve">6. Copenhaver, </w:t>
      </w:r>
      <w:r w:rsidRPr="00F0415F">
        <w:rPr>
          <w:i/>
          <w:szCs w:val="28"/>
        </w:rPr>
        <w:t>Hermetica</w:t>
      </w:r>
      <w:r w:rsidRPr="00F0415F">
        <w:rPr>
          <w:szCs w:val="28"/>
        </w:rPr>
        <w:t xml:space="preserve">, </w:t>
      </w:r>
      <w:r w:rsidRPr="00F0415F">
        <w:rPr>
          <w:i/>
          <w:szCs w:val="28"/>
        </w:rPr>
        <w:t>Asclepius</w:t>
      </w:r>
      <w:r w:rsidRPr="00F0415F">
        <w:rPr>
          <w:szCs w:val="28"/>
        </w:rPr>
        <w:t xml:space="preserve"> 23–27, 80–83.</w:t>
      </w:r>
    </w:p>
    <w:p w14:paraId="5BBDEFFF" w14:textId="77777777" w:rsidR="00F0415F" w:rsidRPr="00F0415F" w:rsidRDefault="00F0415F" w:rsidP="00F0415F">
      <w:pPr>
        <w:pStyle w:val="NoteEntry"/>
      </w:pPr>
      <w:r w:rsidRPr="00F0415F">
        <w:rPr>
          <w:szCs w:val="28"/>
        </w:rPr>
        <w:t xml:space="preserve">7. Frances A. Yates, </w:t>
      </w:r>
      <w:r w:rsidRPr="00F0415F">
        <w:rPr>
          <w:i/>
          <w:szCs w:val="28"/>
        </w:rPr>
        <w:t>Giordano Bruno and the Hermetic Tradition</w:t>
      </w:r>
      <w:r w:rsidRPr="00F0415F">
        <w:rPr>
          <w:szCs w:val="28"/>
        </w:rPr>
        <w:t xml:space="preserve"> (Chicago: University of Chicago Press, 1964), 1–19, 62–116, 155–56.</w:t>
      </w:r>
    </w:p>
    <w:p w14:paraId="20ACF828" w14:textId="77777777" w:rsidR="00F0415F" w:rsidRPr="00F0415F" w:rsidRDefault="00F0415F" w:rsidP="00F0415F">
      <w:pPr>
        <w:pStyle w:val="NoteEntry"/>
      </w:pPr>
      <w:r w:rsidRPr="00F0415F">
        <w:rPr>
          <w:szCs w:val="28"/>
        </w:rPr>
        <w:t xml:space="preserve">8. Wouter J. Hanegraaff, </w:t>
      </w:r>
      <w:r w:rsidRPr="00F0415F">
        <w:rPr>
          <w:i/>
          <w:szCs w:val="28"/>
        </w:rPr>
        <w:t>Esotericism and the Academy: Rejected Knowledge in Western Culture</w:t>
      </w:r>
      <w:r w:rsidRPr="00F0415F">
        <w:rPr>
          <w:szCs w:val="28"/>
        </w:rPr>
        <w:t xml:space="preserve"> (Cambridge: Cambridge University Press, 2012), 5–76, 314–44.</w:t>
      </w:r>
    </w:p>
    <w:p w14:paraId="26B8ED4D" w14:textId="77777777" w:rsidR="00F0415F" w:rsidRPr="00F0415F" w:rsidRDefault="00F0415F" w:rsidP="00F0415F">
      <w:pPr>
        <w:pStyle w:val="NoteEntry"/>
      </w:pPr>
      <w:r w:rsidRPr="00F0415F">
        <w:rPr>
          <w:szCs w:val="28"/>
        </w:rPr>
        <w:t xml:space="preserve">9. Ficino, </w:t>
      </w:r>
      <w:r w:rsidRPr="00F0415F">
        <w:rPr>
          <w:i/>
          <w:szCs w:val="28"/>
        </w:rPr>
        <w:t>Three Books on Life</w:t>
      </w:r>
      <w:r w:rsidRPr="00F0415F">
        <w:rPr>
          <w:szCs w:val="28"/>
        </w:rPr>
        <w:t xml:space="preserve">, bks. 1–2, especially 111–29, 145–66; D. P. Walker, </w:t>
      </w:r>
      <w:r w:rsidRPr="00F0415F">
        <w:rPr>
          <w:i/>
          <w:szCs w:val="28"/>
        </w:rPr>
        <w:t>Spiritual and Demonic Magic from Ficino to Campanella</w:t>
      </w:r>
      <w:r w:rsidRPr="00F0415F">
        <w:rPr>
          <w:szCs w:val="28"/>
        </w:rPr>
        <w:t xml:space="preserve"> (London: Warburg Institute, 1958), 3–15.</w:t>
      </w:r>
    </w:p>
    <w:p w14:paraId="1F74637D" w14:textId="77777777" w:rsidR="00F0415F" w:rsidRPr="00F0415F" w:rsidRDefault="00F0415F" w:rsidP="00F0415F">
      <w:pPr>
        <w:pStyle w:val="NoteEntry"/>
      </w:pPr>
      <w:r w:rsidRPr="00F0415F">
        <w:rPr>
          <w:szCs w:val="28"/>
        </w:rPr>
        <w:t xml:space="preserve">10. Ficino, </w:t>
      </w:r>
      <w:r w:rsidRPr="00F0415F">
        <w:rPr>
          <w:i/>
          <w:szCs w:val="28"/>
        </w:rPr>
        <w:t>Three Books on Life</w:t>
      </w:r>
      <w:r w:rsidRPr="00F0415F">
        <w:rPr>
          <w:szCs w:val="28"/>
        </w:rPr>
        <w:t>, bk. 3, chaps. 10–13, 281–306.</w:t>
      </w:r>
    </w:p>
    <w:p w14:paraId="4F1974F2" w14:textId="77777777" w:rsidR="00F0415F" w:rsidRPr="00F0415F" w:rsidRDefault="00F0415F" w:rsidP="00F0415F">
      <w:pPr>
        <w:pStyle w:val="NoteEntry"/>
      </w:pPr>
      <w:r w:rsidRPr="00F0415F">
        <w:rPr>
          <w:szCs w:val="28"/>
        </w:rPr>
        <w:t xml:space="preserve">11. Walker, </w:t>
      </w:r>
      <w:r w:rsidRPr="00F0415F">
        <w:rPr>
          <w:i/>
          <w:szCs w:val="28"/>
        </w:rPr>
        <w:t>Spiritual and Demonic Magic</w:t>
      </w:r>
      <w:r w:rsidRPr="00F0415F">
        <w:rPr>
          <w:szCs w:val="28"/>
        </w:rPr>
        <w:t xml:space="preserve">, 3–10; Ficino, </w:t>
      </w:r>
      <w:r w:rsidRPr="00F0415F">
        <w:rPr>
          <w:i/>
          <w:szCs w:val="28"/>
        </w:rPr>
        <w:t>Three Books on Life</w:t>
      </w:r>
      <w:r w:rsidRPr="00F0415F">
        <w:rPr>
          <w:szCs w:val="28"/>
        </w:rPr>
        <w:t>, bk. 1, chap. 2, 109–12.</w:t>
      </w:r>
    </w:p>
    <w:p w14:paraId="1EA84D25" w14:textId="77777777" w:rsidR="00F0415F" w:rsidRPr="00F0415F" w:rsidRDefault="00F0415F" w:rsidP="00F0415F">
      <w:pPr>
        <w:pStyle w:val="NoteEntry"/>
      </w:pPr>
      <w:r w:rsidRPr="00F0415F">
        <w:rPr>
          <w:szCs w:val="28"/>
        </w:rPr>
        <w:t xml:space="preserve">12. Walker, </w:t>
      </w:r>
      <w:r w:rsidRPr="00F0415F">
        <w:rPr>
          <w:i/>
          <w:szCs w:val="28"/>
        </w:rPr>
        <w:t>Spiritual and Demonic Magic</w:t>
      </w:r>
      <w:r w:rsidRPr="00F0415F">
        <w:rPr>
          <w:szCs w:val="28"/>
        </w:rPr>
        <w:t>, 12–24, 42–53.</w:t>
      </w:r>
    </w:p>
    <w:p w14:paraId="39A44721" w14:textId="77777777" w:rsidR="00F0415F" w:rsidRPr="00F0415F" w:rsidRDefault="00F0415F" w:rsidP="00F0415F">
      <w:pPr>
        <w:pStyle w:val="NoteEntry"/>
      </w:pPr>
      <w:r w:rsidRPr="00F0415F">
        <w:rPr>
          <w:szCs w:val="28"/>
        </w:rPr>
        <w:t xml:space="preserve">13. Ficino, </w:t>
      </w:r>
      <w:r w:rsidRPr="00F0415F">
        <w:rPr>
          <w:i/>
          <w:szCs w:val="28"/>
        </w:rPr>
        <w:t>Three Books on Life</w:t>
      </w:r>
      <w:r w:rsidRPr="00F0415F">
        <w:rPr>
          <w:szCs w:val="28"/>
        </w:rPr>
        <w:t>, bk. 3, chaps. 1–3, 243–59; chap. 13, 306.</w:t>
      </w:r>
    </w:p>
    <w:p w14:paraId="6E4989CA" w14:textId="77777777" w:rsidR="00F0415F" w:rsidRPr="00F0415F" w:rsidRDefault="00F0415F" w:rsidP="00F0415F">
      <w:pPr>
        <w:pStyle w:val="NoteEntry"/>
      </w:pPr>
      <w:r w:rsidRPr="00F0415F">
        <w:rPr>
          <w:szCs w:val="28"/>
        </w:rPr>
        <w:t xml:space="preserve">14. Ficino, </w:t>
      </w:r>
      <w:r w:rsidRPr="00F0415F">
        <w:rPr>
          <w:i/>
          <w:szCs w:val="28"/>
        </w:rPr>
        <w:t>Three Books on Life</w:t>
      </w:r>
      <w:r w:rsidRPr="00F0415F">
        <w:rPr>
          <w:szCs w:val="28"/>
        </w:rPr>
        <w:t>, bk. 3, chap. 11, 291–93.</w:t>
      </w:r>
    </w:p>
    <w:p w14:paraId="1637EB31" w14:textId="77777777" w:rsidR="00F0415F" w:rsidRPr="00F0415F" w:rsidRDefault="00F0415F" w:rsidP="00F0415F">
      <w:pPr>
        <w:pStyle w:val="NoteEntry"/>
      </w:pPr>
      <w:r w:rsidRPr="00F0415F">
        <w:rPr>
          <w:szCs w:val="28"/>
        </w:rPr>
        <w:t xml:space="preserve">15. Walker, </w:t>
      </w:r>
      <w:r w:rsidRPr="00F0415F">
        <w:rPr>
          <w:i/>
          <w:szCs w:val="28"/>
        </w:rPr>
        <w:t>Spiritual and Demonic Magic</w:t>
      </w:r>
      <w:r w:rsidRPr="00F0415F">
        <w:rPr>
          <w:szCs w:val="28"/>
        </w:rPr>
        <w:t>, 43–53.</w:t>
      </w:r>
    </w:p>
    <w:p w14:paraId="7A468459" w14:textId="77777777" w:rsidR="00F0415F" w:rsidRPr="00F0415F" w:rsidRDefault="00F0415F" w:rsidP="00F0415F">
      <w:pPr>
        <w:pStyle w:val="NoteEntry"/>
      </w:pPr>
      <w:r w:rsidRPr="00F0415F">
        <w:rPr>
          <w:szCs w:val="28"/>
        </w:rPr>
        <w:t xml:space="preserve">16. Copenhaver, </w:t>
      </w:r>
      <w:r w:rsidRPr="00F0415F">
        <w:rPr>
          <w:i/>
          <w:szCs w:val="28"/>
        </w:rPr>
        <w:t>Magic in Western Culture</w:t>
      </w:r>
      <w:r w:rsidRPr="00F0415F">
        <w:rPr>
          <w:szCs w:val="28"/>
        </w:rPr>
        <w:t>, 102–45, especially 127–35.</w:t>
      </w:r>
    </w:p>
    <w:p w14:paraId="7E504A75" w14:textId="77777777" w:rsidR="00F0415F" w:rsidRPr="00F0415F" w:rsidRDefault="00F0415F" w:rsidP="00F0415F">
      <w:pPr>
        <w:pStyle w:val="NoteEntry"/>
      </w:pPr>
      <w:r w:rsidRPr="00F0415F">
        <w:rPr>
          <w:szCs w:val="28"/>
        </w:rPr>
        <w:t xml:space="preserve">17. Walker, </w:t>
      </w:r>
      <w:r w:rsidRPr="00F0415F">
        <w:rPr>
          <w:i/>
          <w:szCs w:val="28"/>
        </w:rPr>
        <w:t>Spiritual and Demonic Magic</w:t>
      </w:r>
      <w:r w:rsidRPr="00F0415F">
        <w:rPr>
          <w:szCs w:val="28"/>
        </w:rPr>
        <w:t>, 3–24.</w:t>
      </w:r>
    </w:p>
    <w:p w14:paraId="69455BB8" w14:textId="77777777" w:rsidR="00F0415F" w:rsidRPr="00F0415F" w:rsidRDefault="00F0415F" w:rsidP="00F0415F">
      <w:pPr>
        <w:pStyle w:val="NoteEntry"/>
      </w:pPr>
      <w:r w:rsidRPr="00F0415F">
        <w:rPr>
          <w:szCs w:val="28"/>
        </w:rPr>
        <w:t xml:space="preserve">18. Laurence Wuidar, “Introduction,” in Wuidar, ed., </w:t>
      </w:r>
      <w:r w:rsidRPr="00F0415F">
        <w:rPr>
          <w:i/>
          <w:szCs w:val="28"/>
        </w:rPr>
        <w:t>Music and Esotericism</w:t>
      </w:r>
      <w:r w:rsidRPr="00F0415F">
        <w:rPr>
          <w:szCs w:val="28"/>
        </w:rPr>
        <w:t xml:space="preserve"> (Leiden: Brill, 2010), 1–6.</w:t>
      </w:r>
    </w:p>
    <w:p w14:paraId="24DC8D5E" w14:textId="77777777" w:rsidR="00F0415F" w:rsidRPr="00F0415F" w:rsidRDefault="00F0415F" w:rsidP="00F0415F">
      <w:pPr>
        <w:pStyle w:val="NoteEntry"/>
      </w:pPr>
      <w:r w:rsidRPr="00F0415F">
        <w:rPr>
          <w:szCs w:val="28"/>
        </w:rPr>
        <w:t xml:space="preserve">19. Walker, </w:t>
      </w:r>
      <w:r w:rsidRPr="00F0415F">
        <w:rPr>
          <w:i/>
          <w:szCs w:val="28"/>
        </w:rPr>
        <w:t>Spiritual and Demonic Magic</w:t>
      </w:r>
      <w:r w:rsidRPr="00F0415F">
        <w:rPr>
          <w:szCs w:val="28"/>
        </w:rPr>
        <w:t>, 24–42, 46–53.</w:t>
      </w:r>
    </w:p>
    <w:p w14:paraId="3C281BBA" w14:textId="77777777" w:rsidR="00F0415F" w:rsidRPr="00F0415F" w:rsidRDefault="00F0415F" w:rsidP="00F0415F">
      <w:pPr>
        <w:pStyle w:val="NoteEntry"/>
      </w:pPr>
      <w:r w:rsidRPr="00F0415F">
        <w:rPr>
          <w:szCs w:val="28"/>
        </w:rPr>
        <w:t xml:space="preserve">20. Ficino, </w:t>
      </w:r>
      <w:r w:rsidRPr="00F0415F">
        <w:rPr>
          <w:i/>
          <w:szCs w:val="28"/>
        </w:rPr>
        <w:t>Three Books on Life</w:t>
      </w:r>
      <w:r w:rsidRPr="00F0415F">
        <w:rPr>
          <w:szCs w:val="28"/>
        </w:rPr>
        <w:t>, bk. 3, chap. 21, 355–60.</w:t>
      </w:r>
    </w:p>
    <w:p w14:paraId="69BC7A78" w14:textId="77777777" w:rsidR="00F0415F" w:rsidRPr="00F0415F" w:rsidRDefault="00F0415F" w:rsidP="00F0415F">
      <w:pPr>
        <w:pStyle w:val="NoteEntry"/>
      </w:pPr>
      <w:r w:rsidRPr="00F0415F">
        <w:rPr>
          <w:szCs w:val="28"/>
        </w:rPr>
        <w:t xml:space="preserve">21. Ficino, </w:t>
      </w:r>
      <w:r w:rsidRPr="00F0415F">
        <w:rPr>
          <w:i/>
          <w:szCs w:val="28"/>
        </w:rPr>
        <w:t>Three Books on Life</w:t>
      </w:r>
      <w:r w:rsidRPr="00F0415F">
        <w:rPr>
          <w:szCs w:val="28"/>
        </w:rPr>
        <w:t>, bk. 3, chaps. 16–20, 329–54.</w:t>
      </w:r>
    </w:p>
    <w:p w14:paraId="7EB34DDE" w14:textId="77777777" w:rsidR="00F0415F" w:rsidRPr="00F0415F" w:rsidRDefault="00F0415F" w:rsidP="00F0415F">
      <w:pPr>
        <w:pStyle w:val="NoteEntry"/>
      </w:pPr>
      <w:r w:rsidRPr="00F0415F">
        <w:rPr>
          <w:szCs w:val="28"/>
        </w:rPr>
        <w:t xml:space="preserve">22. Ficino, </w:t>
      </w:r>
      <w:r w:rsidRPr="00F0415F">
        <w:rPr>
          <w:i/>
          <w:szCs w:val="28"/>
        </w:rPr>
        <w:t>Three Books on Life</w:t>
      </w:r>
      <w:r w:rsidRPr="00F0415F">
        <w:rPr>
          <w:szCs w:val="28"/>
        </w:rPr>
        <w:t>, bk. 3, chap. 13, 305–9.</w:t>
      </w:r>
    </w:p>
    <w:p w14:paraId="3FBF3CA7" w14:textId="77777777" w:rsidR="00F0415F" w:rsidRPr="00F0415F" w:rsidRDefault="00F0415F" w:rsidP="00F0415F">
      <w:pPr>
        <w:pStyle w:val="NoteEntry"/>
      </w:pPr>
      <w:r w:rsidRPr="00F0415F">
        <w:rPr>
          <w:szCs w:val="28"/>
        </w:rPr>
        <w:t xml:space="preserve">23. Copenhaver, </w:t>
      </w:r>
      <w:r w:rsidRPr="00F0415F">
        <w:rPr>
          <w:i/>
          <w:szCs w:val="28"/>
        </w:rPr>
        <w:t>Magic in Western Culture</w:t>
      </w:r>
      <w:r w:rsidRPr="00F0415F">
        <w:rPr>
          <w:szCs w:val="28"/>
        </w:rPr>
        <w:t>, 157–83, 209–37.</w:t>
      </w:r>
    </w:p>
    <w:p w14:paraId="2686A803" w14:textId="77777777" w:rsidR="00F0415F" w:rsidRPr="00F0415F" w:rsidRDefault="00F0415F" w:rsidP="00F0415F">
      <w:pPr>
        <w:pStyle w:val="NoteEntry"/>
      </w:pPr>
      <w:r w:rsidRPr="00F0415F">
        <w:rPr>
          <w:szCs w:val="28"/>
        </w:rPr>
        <w:t xml:space="preserve">24. Copenhaver, </w:t>
      </w:r>
      <w:r w:rsidRPr="00F0415F">
        <w:rPr>
          <w:i/>
          <w:szCs w:val="28"/>
        </w:rPr>
        <w:t>Magic in Western Culture</w:t>
      </w:r>
      <w:r w:rsidRPr="00F0415F">
        <w:rPr>
          <w:szCs w:val="28"/>
        </w:rPr>
        <w:t>, 127–35.</w:t>
      </w:r>
    </w:p>
    <w:p w14:paraId="16E850A9" w14:textId="77777777" w:rsidR="00F0415F" w:rsidRPr="00F0415F" w:rsidRDefault="00F0415F" w:rsidP="00F0415F">
      <w:pPr>
        <w:pStyle w:val="NoteEntry"/>
      </w:pPr>
      <w:r w:rsidRPr="00F0415F">
        <w:rPr>
          <w:szCs w:val="28"/>
        </w:rPr>
        <w:t xml:space="preserve">25. Pico, </w:t>
      </w:r>
      <w:r w:rsidRPr="00F0415F">
        <w:rPr>
          <w:i/>
          <w:szCs w:val="28"/>
        </w:rPr>
        <w:t>Syncretism in the West</w:t>
      </w:r>
      <w:r w:rsidRPr="00F0415F">
        <w:rPr>
          <w:szCs w:val="28"/>
        </w:rPr>
        <w:t>, theses 9.2–22, 495–501.</w:t>
      </w:r>
    </w:p>
    <w:p w14:paraId="696B2781" w14:textId="77777777" w:rsidR="00F0415F" w:rsidRPr="00F0415F" w:rsidRDefault="00F0415F" w:rsidP="00F0415F">
      <w:pPr>
        <w:pStyle w:val="NoteEntry"/>
      </w:pPr>
      <w:r w:rsidRPr="00F0415F">
        <w:rPr>
          <w:szCs w:val="28"/>
        </w:rPr>
        <w:t xml:space="preserve">26. Pico, </w:t>
      </w:r>
      <w:r w:rsidRPr="00F0415F">
        <w:rPr>
          <w:i/>
          <w:szCs w:val="28"/>
        </w:rPr>
        <w:t>Syncretism in the West</w:t>
      </w:r>
      <w:r w:rsidRPr="00F0415F">
        <w:rPr>
          <w:szCs w:val="28"/>
        </w:rPr>
        <w:t>, 115–54, 495–519.</w:t>
      </w:r>
    </w:p>
    <w:p w14:paraId="4ED75DF9" w14:textId="77777777" w:rsidR="00F0415F" w:rsidRPr="00F0415F" w:rsidRDefault="00F0415F" w:rsidP="00F0415F">
      <w:pPr>
        <w:pStyle w:val="NoteEntry"/>
      </w:pPr>
      <w:r w:rsidRPr="00F0415F">
        <w:rPr>
          <w:szCs w:val="28"/>
        </w:rPr>
        <w:t xml:space="preserve">27. Pico, </w:t>
      </w:r>
      <w:r w:rsidRPr="00F0415F">
        <w:rPr>
          <w:i/>
          <w:szCs w:val="28"/>
        </w:rPr>
        <w:t>Syncretism in the West</w:t>
      </w:r>
      <w:r w:rsidRPr="00F0415F">
        <w:rPr>
          <w:szCs w:val="28"/>
        </w:rPr>
        <w:t>, 115–54.</w:t>
      </w:r>
    </w:p>
    <w:p w14:paraId="373CF8B1" w14:textId="77777777" w:rsidR="00F0415F" w:rsidRPr="00F0415F" w:rsidRDefault="00F0415F" w:rsidP="00F0415F">
      <w:pPr>
        <w:pStyle w:val="NoteEntry"/>
      </w:pPr>
      <w:r w:rsidRPr="00F0415F">
        <w:rPr>
          <w:szCs w:val="28"/>
        </w:rPr>
        <w:t xml:space="preserve">28. Ovanes Akopyan, </w:t>
      </w:r>
      <w:r w:rsidRPr="00F0415F">
        <w:rPr>
          <w:i/>
          <w:szCs w:val="28"/>
        </w:rPr>
        <w:t>Debating the Stars in the Italian Renaissance: Giovanni Pico della Mirandola's Disputationes adversus astrologiam divinatricem and Its Reception</w:t>
      </w:r>
      <w:r w:rsidRPr="00F0415F">
        <w:rPr>
          <w:szCs w:val="28"/>
        </w:rPr>
        <w:t xml:space="preserve"> (Leiden: Brill, 2021), 32–35, 106–18.</w:t>
      </w:r>
    </w:p>
    <w:p w14:paraId="391D72F8" w14:textId="77777777" w:rsidR="00F0415F" w:rsidRPr="00F0415F" w:rsidRDefault="00F0415F" w:rsidP="00F0415F">
      <w:pPr>
        <w:pStyle w:val="NoteEntry"/>
      </w:pPr>
      <w:r w:rsidRPr="00F0415F">
        <w:rPr>
          <w:szCs w:val="28"/>
        </w:rPr>
        <w:t xml:space="preserve">29. Akopyan, </w:t>
      </w:r>
      <w:r w:rsidRPr="00F0415F">
        <w:rPr>
          <w:i/>
          <w:szCs w:val="28"/>
        </w:rPr>
        <w:t>Debating the Stars</w:t>
      </w:r>
      <w:r w:rsidRPr="00F0415F">
        <w:rPr>
          <w:szCs w:val="28"/>
        </w:rPr>
        <w:t>, 33–35, 106–32.</w:t>
      </w:r>
    </w:p>
    <w:p w14:paraId="39D077AD" w14:textId="77777777" w:rsidR="00F0415F" w:rsidRPr="00F0415F" w:rsidRDefault="00F0415F" w:rsidP="00F0415F">
      <w:pPr>
        <w:pStyle w:val="NoteEntry"/>
      </w:pPr>
      <w:r w:rsidRPr="00F0415F">
        <w:rPr>
          <w:szCs w:val="28"/>
        </w:rPr>
        <w:t xml:space="preserve">30. Walker, </w:t>
      </w:r>
      <w:r w:rsidRPr="00F0415F">
        <w:rPr>
          <w:i/>
          <w:szCs w:val="28"/>
        </w:rPr>
        <w:t>Spiritual and Demonic Magic</w:t>
      </w:r>
      <w:r w:rsidRPr="00F0415F">
        <w:rPr>
          <w:szCs w:val="28"/>
        </w:rPr>
        <w:t>, 56–59.</w:t>
      </w:r>
    </w:p>
    <w:p w14:paraId="0D8BEAB0" w14:textId="77777777" w:rsidR="00F0415F" w:rsidRPr="00F0415F" w:rsidRDefault="00F0415F" w:rsidP="00F0415F">
      <w:pPr>
        <w:pStyle w:val="NoteEntry"/>
      </w:pPr>
      <w:r w:rsidRPr="00F0415F">
        <w:rPr>
          <w:szCs w:val="28"/>
        </w:rPr>
        <w:t xml:space="preserve">31. Walker, </w:t>
      </w:r>
      <w:r w:rsidRPr="00F0415F">
        <w:rPr>
          <w:i/>
          <w:szCs w:val="28"/>
        </w:rPr>
        <w:t>Spiritual and Demonic Magic</w:t>
      </w:r>
      <w:r w:rsidRPr="00F0415F">
        <w:rPr>
          <w:szCs w:val="28"/>
        </w:rPr>
        <w:t>, 42–53.</w:t>
      </w:r>
    </w:p>
    <w:p w14:paraId="4BB71650" w14:textId="77777777" w:rsidR="00F0415F" w:rsidRPr="00F0415F" w:rsidRDefault="00F0415F" w:rsidP="00F0415F">
      <w:pPr>
        <w:pStyle w:val="NoteEntry"/>
      </w:pPr>
      <w:r w:rsidRPr="00F0415F">
        <w:rPr>
          <w:szCs w:val="28"/>
        </w:rPr>
        <w:t xml:space="preserve">32. Giordano Bruno, </w:t>
      </w:r>
      <w:r w:rsidRPr="00F0415F">
        <w:rPr>
          <w:i/>
          <w:szCs w:val="28"/>
        </w:rPr>
        <w:t>On the Infinite, the Universe and the Worlds</w:t>
      </w:r>
      <w:r w:rsidRPr="00F0415F">
        <w:rPr>
          <w:szCs w:val="28"/>
        </w:rPr>
        <w:t>, trans. Scott Gosnell (USA: Huginn, Munnin &amp; Co., 2014), 178–202.</w:t>
      </w:r>
    </w:p>
    <w:p w14:paraId="49DFD3A1" w14:textId="77777777" w:rsidR="00F0415F" w:rsidRPr="00F0415F" w:rsidRDefault="00F0415F" w:rsidP="00F0415F">
      <w:pPr>
        <w:pStyle w:val="NoteEntry"/>
      </w:pPr>
      <w:r w:rsidRPr="00F0415F">
        <w:rPr>
          <w:szCs w:val="28"/>
        </w:rPr>
        <w:t xml:space="preserve">33. Yates, </w:t>
      </w:r>
      <w:r w:rsidRPr="00F0415F">
        <w:rPr>
          <w:i/>
          <w:szCs w:val="28"/>
        </w:rPr>
        <w:t>Giordano Bruno and the Hermetic Tradition</w:t>
      </w:r>
      <w:r w:rsidRPr="00F0415F">
        <w:rPr>
          <w:szCs w:val="28"/>
        </w:rPr>
        <w:t xml:space="preserve">, 235–56, 273–78; Alexandre Koyré, </w:t>
      </w:r>
      <w:r w:rsidRPr="00F0415F">
        <w:rPr>
          <w:i/>
          <w:szCs w:val="28"/>
        </w:rPr>
        <w:t>From the Closed World to the Infinite Universe</w:t>
      </w:r>
      <w:r w:rsidRPr="00F0415F">
        <w:rPr>
          <w:szCs w:val="28"/>
        </w:rPr>
        <w:t xml:space="preserve"> (Baltimore: Johns Hopkins Press, 1957), 39–57.</w:t>
      </w:r>
    </w:p>
    <w:p w14:paraId="2AC695CA" w14:textId="77777777" w:rsidR="00F0415F" w:rsidRPr="00F0415F" w:rsidRDefault="00F0415F" w:rsidP="00F0415F">
      <w:pPr>
        <w:pStyle w:val="NoteEntry"/>
      </w:pPr>
      <w:r w:rsidRPr="00F0415F">
        <w:rPr>
          <w:szCs w:val="28"/>
        </w:rPr>
        <w:t xml:space="preserve">34. Bruno, </w:t>
      </w:r>
      <w:r w:rsidRPr="00F0415F">
        <w:rPr>
          <w:i/>
          <w:szCs w:val="28"/>
        </w:rPr>
        <w:t>Cause, Principle and Unity</w:t>
      </w:r>
      <w:r w:rsidRPr="00F0415F">
        <w:rPr>
          <w:szCs w:val="28"/>
        </w:rPr>
        <w:t>, 37–46.</w:t>
      </w:r>
    </w:p>
    <w:p w14:paraId="1F6D391B" w14:textId="77777777" w:rsidR="00F0415F" w:rsidRPr="00F0415F" w:rsidRDefault="00F0415F" w:rsidP="00F0415F">
      <w:pPr>
        <w:pStyle w:val="NoteEntry"/>
      </w:pPr>
      <w:r w:rsidRPr="00F0415F">
        <w:rPr>
          <w:szCs w:val="28"/>
        </w:rPr>
        <w:t xml:space="preserve">35. Bruno, </w:t>
      </w:r>
      <w:r w:rsidRPr="00F0415F">
        <w:rPr>
          <w:i/>
          <w:szCs w:val="28"/>
        </w:rPr>
        <w:t>On Magic</w:t>
      </w:r>
      <w:r w:rsidRPr="00F0415F">
        <w:rPr>
          <w:szCs w:val="28"/>
        </w:rPr>
        <w:t xml:space="preserve">, in </w:t>
      </w:r>
      <w:r w:rsidRPr="00F0415F">
        <w:rPr>
          <w:i/>
          <w:szCs w:val="28"/>
        </w:rPr>
        <w:t>Cause, Principle and Unity and Essays on Magic</w:t>
      </w:r>
      <w:r w:rsidRPr="00F0415F">
        <w:rPr>
          <w:szCs w:val="28"/>
        </w:rPr>
        <w:t>, 103–42, especially 125–31.</w:t>
      </w:r>
    </w:p>
    <w:p w14:paraId="3C3488AA" w14:textId="77777777" w:rsidR="00F0415F" w:rsidRPr="00F0415F" w:rsidRDefault="00F0415F" w:rsidP="00F0415F">
      <w:pPr>
        <w:pStyle w:val="NoteEntry"/>
      </w:pPr>
      <w:r w:rsidRPr="00F0415F">
        <w:rPr>
          <w:szCs w:val="28"/>
        </w:rPr>
        <w:t xml:space="preserve">36. Bruno, </w:t>
      </w:r>
      <w:r w:rsidRPr="00F0415F">
        <w:rPr>
          <w:i/>
          <w:szCs w:val="28"/>
        </w:rPr>
        <w:t>On Magic</w:t>
      </w:r>
      <w:r w:rsidRPr="00F0415F">
        <w:rPr>
          <w:szCs w:val="28"/>
        </w:rPr>
        <w:t>, 130–33.</w:t>
      </w:r>
    </w:p>
    <w:p w14:paraId="466BC304" w14:textId="77777777" w:rsidR="00F0415F" w:rsidRPr="00F0415F" w:rsidRDefault="00F0415F" w:rsidP="00F0415F">
      <w:pPr>
        <w:pStyle w:val="NoteEntry"/>
      </w:pPr>
      <w:r w:rsidRPr="00F0415F">
        <w:rPr>
          <w:szCs w:val="28"/>
        </w:rPr>
        <w:t xml:space="preserve">37. Ioan P. Culianu, </w:t>
      </w:r>
      <w:r w:rsidRPr="00F0415F">
        <w:rPr>
          <w:i/>
          <w:szCs w:val="28"/>
        </w:rPr>
        <w:t>Eros and Magic in the Renaissance</w:t>
      </w:r>
      <w:r w:rsidRPr="00F0415F">
        <w:rPr>
          <w:szCs w:val="28"/>
        </w:rPr>
        <w:t xml:space="preserve">, trans. Margaret Cook (Chicago: University of Chicago Press, 1987), 87–104; Bruno, “A General Account of Bonding,” in </w:t>
      </w:r>
      <w:r w:rsidRPr="00F0415F">
        <w:rPr>
          <w:i/>
          <w:szCs w:val="28"/>
        </w:rPr>
        <w:t>Cause, Principle and Unity and Essays on Magic</w:t>
      </w:r>
      <w:r w:rsidRPr="00F0415F">
        <w:rPr>
          <w:szCs w:val="28"/>
        </w:rPr>
        <w:t>, 143–76.</w:t>
      </w:r>
    </w:p>
    <w:p w14:paraId="2F254174" w14:textId="77777777" w:rsidR="00F0415F" w:rsidRPr="00F0415F" w:rsidRDefault="00F0415F" w:rsidP="00F0415F">
      <w:pPr>
        <w:pStyle w:val="NoteEntry"/>
      </w:pPr>
      <w:r w:rsidRPr="00F0415F">
        <w:rPr>
          <w:szCs w:val="28"/>
        </w:rPr>
        <w:t xml:space="preserve">38. Copenhaver, </w:t>
      </w:r>
      <w:r w:rsidRPr="00F0415F">
        <w:rPr>
          <w:i/>
          <w:szCs w:val="28"/>
        </w:rPr>
        <w:t>Magic in Western Culture</w:t>
      </w:r>
      <w:r w:rsidRPr="00F0415F">
        <w:rPr>
          <w:szCs w:val="28"/>
        </w:rPr>
        <w:t xml:space="preserve">, 101–45, 309–46; Walker, </w:t>
      </w:r>
      <w:r w:rsidRPr="00F0415F">
        <w:rPr>
          <w:i/>
          <w:szCs w:val="28"/>
        </w:rPr>
        <w:t>Spiritual and Demonic Magic</w:t>
      </w:r>
      <w:r w:rsidRPr="00F0415F">
        <w:rPr>
          <w:szCs w:val="28"/>
        </w:rPr>
        <w:t xml:space="preserve">, 1–72; Farmer, </w:t>
      </w:r>
      <w:r w:rsidRPr="00F0415F">
        <w:rPr>
          <w:i/>
          <w:szCs w:val="28"/>
        </w:rPr>
        <w:t>Syncretism in the West</w:t>
      </w:r>
      <w:r w:rsidRPr="00F0415F">
        <w:rPr>
          <w:szCs w:val="28"/>
        </w:rPr>
        <w:t xml:space="preserve">, 115–54; Akopyan, </w:t>
      </w:r>
      <w:r w:rsidRPr="00F0415F">
        <w:rPr>
          <w:i/>
          <w:szCs w:val="28"/>
        </w:rPr>
        <w:t>Debating the Stars</w:t>
      </w:r>
      <w:r w:rsidRPr="00F0415F">
        <w:rPr>
          <w:szCs w:val="28"/>
        </w:rPr>
        <w:t xml:space="preserve">, 15–35; Hanegraaff, </w:t>
      </w:r>
      <w:r w:rsidRPr="00F0415F">
        <w:rPr>
          <w:i/>
          <w:szCs w:val="28"/>
        </w:rPr>
        <w:t>Esotericism and the Academy</w:t>
      </w:r>
      <w:r w:rsidRPr="00F0415F">
        <w:rPr>
          <w:szCs w:val="28"/>
        </w:rPr>
        <w:t>, 314–68.</w:t>
      </w:r>
    </w:p>
    <w:p w14:paraId="434CC02E" w14:textId="77777777" w:rsidR="00F0415F" w:rsidRPr="00F0415F" w:rsidRDefault="00F0415F" w:rsidP="00F0415F">
      <w:pPr>
        <w:pStyle w:val="NoteEntry"/>
      </w:pPr>
      <w:r w:rsidRPr="00F0415F">
        <w:rPr>
          <w:szCs w:val="28"/>
        </w:rPr>
        <w:t xml:space="preserve">39. Copenhaver, </w:t>
      </w:r>
      <w:r w:rsidRPr="00F0415F">
        <w:rPr>
          <w:i/>
          <w:szCs w:val="28"/>
        </w:rPr>
        <w:t>Magic in Western Culture</w:t>
      </w:r>
      <w:r w:rsidRPr="00F0415F">
        <w:rPr>
          <w:szCs w:val="28"/>
        </w:rPr>
        <w:t xml:space="preserve">, 309–46; Hanegraaff, </w:t>
      </w:r>
      <w:r w:rsidRPr="00F0415F">
        <w:rPr>
          <w:i/>
          <w:szCs w:val="28"/>
        </w:rPr>
        <w:t>Esotericism and the Academy</w:t>
      </w:r>
      <w:r w:rsidRPr="00F0415F">
        <w:rPr>
          <w:szCs w:val="28"/>
        </w:rPr>
        <w:t>, 314–68.</w:t>
      </w:r>
    </w:p>
    <w:p w14:paraId="727571A9" w14:textId="77777777" w:rsidR="00F0415F" w:rsidRPr="00F0415F" w:rsidRDefault="00F0415F" w:rsidP="00F0415F">
      <w:pPr>
        <w:pStyle w:val="NoteEntry"/>
      </w:pPr>
      <w:r w:rsidRPr="00F0415F">
        <w:rPr>
          <w:szCs w:val="28"/>
        </w:rPr>
        <w:t xml:space="preserve">40. Paracelsus, </w:t>
      </w:r>
      <w:r w:rsidRPr="00F0415F">
        <w:rPr>
          <w:i/>
          <w:szCs w:val="28"/>
        </w:rPr>
        <w:t>The Hermetic and Alchemical Writings of Paracelsus</w:t>
      </w:r>
      <w:r w:rsidRPr="00F0415F">
        <w:rPr>
          <w:szCs w:val="28"/>
        </w:rPr>
        <w:t>, ed. Arthur Edward Waite, 2 vols. in 1 (London: James Elliott, 1894; repr., Eastford, CT: Martino Fine Books, 2009), 1:114–79.</w:t>
      </w:r>
    </w:p>
    <w:p w14:paraId="1E964F24" w14:textId="77777777" w:rsidR="004918E3" w:rsidRPr="004918E3" w:rsidRDefault="004918E3" w:rsidP="004918E3">
      <w:pPr>
        <w:pStyle w:val="ChapterHeading"/>
      </w:pPr>
      <w:bookmarkStart w:id="14" w:name="toc_chapter_11"/>
      <w:r>
        <w:rPr>
          <w:sz w:val="28"/>
        </w:rPr>
        <w:t>Chapter 11</w:t>
      </w:r>
      <w:r>
        <w:rPr>
          <w:sz w:val="28"/>
        </w:rPr>
        <w:br/>
      </w:r>
      <w:r>
        <w:t>Alchemy and the Life of Matter</w:t>
      </w:r>
      <w:bookmarkEnd w:id="14"/>
    </w:p>
    <w:p w14:paraId="0766DD8A" w14:textId="77777777" w:rsidR="004918E3" w:rsidRPr="004918E3" w:rsidRDefault="004918E3" w:rsidP="004918E3">
      <w:pPr>
        <w:pStyle w:val="SectionHeading"/>
      </w:pPr>
      <w:r w:rsidRPr="004918E3">
        <w:rPr>
          <w:bCs/>
          <w:szCs w:val="28"/>
        </w:rPr>
        <w:t>The Tree in the Glass</w:t>
      </w:r>
    </w:p>
    <w:p w14:paraId="104DB939" w14:textId="77777777" w:rsidR="004918E3" w:rsidRPr="004918E3" w:rsidRDefault="004918E3" w:rsidP="004918E3">
      <w:pPr>
        <w:pStyle w:val="BookBody"/>
      </w:pPr>
      <w:r w:rsidRPr="004918E3">
        <w:rPr>
          <w:szCs w:val="28"/>
        </w:rPr>
        <w:t>For several weeks the glass vessel seemed to contain little more than a dark, metallic mass. The vessel was closed, set in steady warmth, and watched. Its maker adjusted the heat and waited. Then, in the space of a night, the material changed. A branching metallic growth rose through the glass, filled the vessel, and fixed itself into the shape that seventeenth-century chymists called a tree. Lawrence Principe, reconstructing George Starkey’s procedure from laboratory notebooks, produced the same sudden arborization. The result was not the vegetable life imagined by an incautious reader of alchemical allegory. It was a chemical structure. Yet neither was the tree merely a fantasy painted over inert matter. Starkey had recorded an observable transformation; Principe’s experiment recovered it. What looked like metaphor had been attached to something made in a furnace, under a particular degree of heat, from substances prepared in a particular order.</w:t>
      </w:r>
      <w:r w:rsidRPr="004918E3">
        <w:rPr>
          <w:szCs w:val="28"/>
          <w:vertAlign w:val="superscript"/>
        </w:rPr>
        <w:t>1</w:t>
      </w:r>
    </w:p>
    <w:p w14:paraId="10C77B21" w14:textId="77777777" w:rsidR="004918E3" w:rsidRPr="004918E3" w:rsidRDefault="004918E3" w:rsidP="004918E3">
      <w:pPr>
        <w:pStyle w:val="BookBody"/>
      </w:pPr>
      <w:r w:rsidRPr="004918E3">
        <w:rPr>
          <w:szCs w:val="28"/>
        </w:rPr>
        <w:t>The tree in the glass is a useful entrance into alchemy because it refuses the two stories most often told about the subject. In the first, alchemists were credulous dreamers who mistook poetic images for experimental facts until chemistry awakened and swept them away. In the second, alchemical texts were cryptograms of an interior psychology, and the furnaces, salts, colors, and metals were only projections of transformations occurring in the self. Both stories empty the vessel. One dismisses what happened inside it; the other turns the material operation into a symbol for something else. Historical alchemy was more awkward and more interesting. It joined recipes to theories of generation, workshop skill to theological conviction, commercial ambition to medicine, and manipulation of matter to claims about what nature was capable of becoming.</w:t>
      </w:r>
    </w:p>
    <w:p w14:paraId="4FCB5609" w14:textId="77777777" w:rsidR="004918E3" w:rsidRPr="004918E3" w:rsidRDefault="004918E3" w:rsidP="004918E3">
      <w:pPr>
        <w:pStyle w:val="BookBody"/>
      </w:pPr>
      <w:r w:rsidRPr="004918E3">
        <w:rPr>
          <w:szCs w:val="28"/>
        </w:rPr>
        <w:t>The vessel therefore follows directly from the talisman. Renaissance magic had imagined a cosmos crossed by sympathies: stars, plants, stones, sounds, bodies, and images could answer one another because creation was bound by hidden correspondences. Alchemy moved those correspondences into a more confined and punishing theatre. In a sealed glass, a crucible, an assaying furnace, or a distilling apparatus, matter was heated, ground, dissolved, fed, washed, killed, and revived. The alchemist did not simply contemplate affinities. He or she tried to compel them into visibility. If the talisman gathered celestial influence, the vessel gathered time. It forced the operator to attend to sequence: what must be separated before it can be joined, what color precedes another, how long a substance must digest, when heat must rise, and when an apparently dead residue has become the condition of a new body.</w:t>
      </w:r>
    </w:p>
    <w:p w14:paraId="46B08830" w14:textId="77777777" w:rsidR="004918E3" w:rsidRPr="004918E3" w:rsidRDefault="004918E3" w:rsidP="004918E3">
      <w:pPr>
        <w:pStyle w:val="BookBody"/>
      </w:pPr>
      <w:r w:rsidRPr="004918E3">
        <w:rPr>
          <w:szCs w:val="28"/>
        </w:rPr>
        <w:t>The governing question of this chapter is therefore not whether alchemists believed metals were literally organisms, still less whether their philosophy can be made to agree with modern chemistry. It is what alchemy preserved about matter that mechanism would later exclude. Alchemical matter possessed a biography. It could be immature or perfected, pure or corrupted, open or resistant to medicine. Its present appearance did not exhaust its identity, because a substance carried the history of what it had suffered and the possibility of what it might become. Heat was not simply a quantity delivered to homogeneous particles. It ripened, separated, exposed, and tested. Color was not only reflected light. It could be a stage in a process. A vessel was not neutral scenery. Its material, closure, shape, and cleanliness helped decide what emerged. An ore was a body embedded in a place and mingled with other bodies; a tincture was a concentrated agency that promised to penetrate and transform.</w:t>
      </w:r>
    </w:p>
    <w:p w14:paraId="7D656902" w14:textId="77777777" w:rsidR="004918E3" w:rsidRPr="004918E3" w:rsidRDefault="004918E3" w:rsidP="004918E3">
      <w:pPr>
        <w:pStyle w:val="BookBody"/>
      </w:pPr>
      <w:r w:rsidRPr="004918E3">
        <w:rPr>
          <w:szCs w:val="28"/>
        </w:rPr>
        <w:t>None of this made alchemy a single doctrine. The arts now gathered under that name ranged from assaying, metallurgy, distillation, pharmacy, and the manufacture of pigments to projects for transmutation and universal medicine. Practitioners disagreed about principles and hid procedures in deliberately unstable language. Courts rewarded them and imprisoned them. Mining officials, physicians, apothecaries, artisans, noble patrons, wandering adepts, and religious visionaries all entered the story, but not on equal terms. Historians have accordingly recovered alchemy not as a surviving occult essence but as a shifting field of material practice, textual inheritance, social performance, and natural philosophy.</w:t>
      </w:r>
      <w:r w:rsidRPr="004918E3">
        <w:rPr>
          <w:szCs w:val="28"/>
          <w:vertAlign w:val="superscript"/>
        </w:rPr>
        <w:t>2</w:t>
      </w:r>
    </w:p>
    <w:p w14:paraId="367A6E2F" w14:textId="77777777" w:rsidR="004918E3" w:rsidRPr="004918E3" w:rsidRDefault="004918E3" w:rsidP="004918E3">
      <w:pPr>
        <w:pStyle w:val="BookBody"/>
      </w:pPr>
      <w:r w:rsidRPr="004918E3">
        <w:rPr>
          <w:szCs w:val="28"/>
        </w:rPr>
        <w:t>That field retained an especially intense version of the living cosmos. Nature was active, but not necessarily complete. Matter had powers that could be released, concentrated, redirected, or brought to maturity by art. Human workmanship was neither a simple imitation of nature nor an arbitrary imposition on it. It was a collaboration conducted through force. The furnace accelerated subterranean time; grinding broke bodies so that their more hidden parts could meet; distillation made the volatile rise and the fixed remain; putrefaction reduced a substance so that another formation could begin. The alchemist’s verbs disclose a world in which material change was meaningful before it was measurable.</w:t>
      </w:r>
    </w:p>
    <w:p w14:paraId="11E1CFAD" w14:textId="77777777" w:rsidR="004918E3" w:rsidRPr="004918E3" w:rsidRDefault="004918E3" w:rsidP="004918E3">
      <w:pPr>
        <w:pStyle w:val="BookBody"/>
      </w:pPr>
      <w:r w:rsidRPr="004918E3">
        <w:rPr>
          <w:szCs w:val="28"/>
        </w:rPr>
        <w:t>The tree in the glass makes the point with unusual clarity. Its branches were real enough to be reproduced, while the language of metallic seeds and growth belonged to a theory no longer accepted. The operation and its interpretation cannot simply be identified, but neither can they be torn apart without loss. A history of alchemy must hold them together long enough to see a different way of knowing matter: by following its transformations, reading its sensible changes, and asking not only what it is made of but what it is trying, or can be made, to become.</w:t>
      </w:r>
    </w:p>
    <w:p w14:paraId="1EE8E815" w14:textId="77777777" w:rsidR="004918E3" w:rsidRPr="004918E3" w:rsidRDefault="004918E3" w:rsidP="004918E3">
      <w:pPr>
        <w:pStyle w:val="SectionHeading"/>
      </w:pPr>
      <w:r w:rsidRPr="004918E3">
        <w:rPr>
          <w:bCs/>
          <w:szCs w:val="28"/>
        </w:rPr>
        <w:t>What the Fire Discloses</w:t>
      </w:r>
    </w:p>
    <w:p w14:paraId="681C2500" w14:textId="77777777" w:rsidR="004918E3" w:rsidRPr="004918E3" w:rsidRDefault="004918E3" w:rsidP="004918E3">
      <w:pPr>
        <w:pStyle w:val="BookBody"/>
      </w:pPr>
      <w:r w:rsidRPr="004918E3">
        <w:rPr>
          <w:szCs w:val="28"/>
        </w:rPr>
        <w:t>The alchemical laboratory was a place of disciplined looking. A recipe might instruct an operator to continue heating until a substance became the color of a raven, a peacock’s tail, blood, snow, or gold. Such language could conceal as much as it revealed, but it also trained attention. The decisive sign was often not a number registered on an instrument but a change in texture, odor, viscosity, sound, or hue. Success depended on recognizing transitions that occurred within a continuum. The worker had to know when a material had merely blackened and when it had been properly calcined; when moisture remained and when a body was dry; when vapor indicated productive circulation and when it warned of loss. Sensory judgment did not compensate for the absence of experiment. It was one of experiment’s principal instruments.</w:t>
      </w:r>
    </w:p>
    <w:p w14:paraId="1AC453C2" w14:textId="77777777" w:rsidR="004918E3" w:rsidRPr="004918E3" w:rsidRDefault="004918E3" w:rsidP="004918E3">
      <w:pPr>
        <w:pStyle w:val="BookBody"/>
      </w:pPr>
      <w:r w:rsidRPr="004918E3">
        <w:rPr>
          <w:szCs w:val="28"/>
        </w:rPr>
        <w:t>Principe’s reconstruction of the so-called glass of antimony shows how exact such work could be. Early modern instructions began with stibnite, an antimony-bearing mineral, roasted it, calcined it, and fused the result into a yellow, transparent glass. Repeating the process revealed that the beauty and clarity of the product depended on conditions the old text did not state in modern analytical terms. Small amounts of quartz could be necessary. Iron introduced by the tools could alter the reaction. The intensity and duration of heat mattered. A procedure wrapped in an obsolete theory thus preserved empirical knowledge that appeared only when its operation was reenacted rather than translated too quickly into either nonsense or modern formula.</w:t>
      </w:r>
      <w:r w:rsidRPr="004918E3">
        <w:rPr>
          <w:szCs w:val="28"/>
          <w:vertAlign w:val="superscript"/>
        </w:rPr>
        <w:t>3</w:t>
      </w:r>
    </w:p>
    <w:p w14:paraId="78CDFC62" w14:textId="77777777" w:rsidR="004918E3" w:rsidRPr="004918E3" w:rsidRDefault="004918E3" w:rsidP="004918E3">
      <w:pPr>
        <w:pStyle w:val="BookBody"/>
      </w:pPr>
      <w:r w:rsidRPr="004918E3">
        <w:rPr>
          <w:szCs w:val="28"/>
        </w:rPr>
        <w:t>This is why fire occupied so ambiguous a place in alchemy. It destroyed the form that first met the eye. Wood became ash and smoke; ore sweated, cracked, or ran; a liquid abandoned its sediment and rose as vapor. Yet destruction was also disclosure. Fire distinguished what ordinary sight had allowed to remain confused. It separated volatile from fixed, combustible from enduring, genuine from adulterated. The furnace could therefore act as judge. It did not reveal matter by leaving it untouched. It revealed through ordeal.</w:t>
      </w:r>
    </w:p>
    <w:p w14:paraId="115843AD" w14:textId="77777777" w:rsidR="004918E3" w:rsidRPr="004918E3" w:rsidRDefault="004918E3" w:rsidP="004918E3">
      <w:pPr>
        <w:pStyle w:val="BookBody"/>
      </w:pPr>
      <w:r w:rsidRPr="004918E3">
        <w:rPr>
          <w:szCs w:val="28"/>
        </w:rPr>
        <w:t>The ordeal was rarely uniform. Early modern furnaces offered several kinds of heat: open flame, reverberatory heat, the gentler bath, the sustained warmth of digestion, the sharp violence of fusion. Fuel varied. Draft had to be managed. A substance might need to be heated from below or surrounded evenly; a sudden increase might crack the vessel, drive off the desired spirit, or produce a useless vitrified mass. The alchemist’s control was partly architectural. Bricks, ash, sand, water, flues, bellows, covers, and nested containers slowed or redirected the fire. The athanor, celebrated as the furnace of steady heat, represented an aspiration to temporal regularity long before the laboratory possessed standardized burners and thermostats.</w:t>
      </w:r>
    </w:p>
    <w:p w14:paraId="0228F1EF" w14:textId="77777777" w:rsidR="004918E3" w:rsidRPr="004918E3" w:rsidRDefault="004918E3" w:rsidP="004918E3">
      <w:pPr>
        <w:pStyle w:val="BookBody"/>
      </w:pPr>
      <w:r w:rsidRPr="004918E3">
        <w:rPr>
          <w:szCs w:val="28"/>
        </w:rPr>
        <w:t>The vessel was equally active. Glass permitted observation but could break. Earthenware endured some operations but introduced its own impurities. Iron tools could participate in reactions; seals leaked; residues from prior work contaminated new trials. Early modern texts sometimes personified the vessel as a womb, egg, prison, tomb, or bridal chamber. Those images did not eliminate its technical functions. They concentrated them. A womb was a bounded place in which heat, nourishment, enclosure, and time allowed formation. A tomb held a body through putrefaction. An egg protected a development whose stages could not be forced without destroying it. The metaphors arose from practice because the container made change possible while withholding direct access to it.</w:t>
      </w:r>
    </w:p>
    <w:p w14:paraId="77D60622" w14:textId="77777777" w:rsidR="004918E3" w:rsidRPr="004918E3" w:rsidRDefault="004918E3" w:rsidP="004918E3">
      <w:pPr>
        <w:pStyle w:val="BookBody"/>
      </w:pPr>
      <w:r w:rsidRPr="004918E3">
        <w:rPr>
          <w:szCs w:val="28"/>
        </w:rPr>
        <w:t>Modern retellings often turn an emblem such as the first of Basil Valentine’s Twelve Keys into a free-standing riddle: a wolf devours a king; the wolf is burned; the king returns. Principe’s study of the text and its later images gives a necessary warning. The written keys preceded the familiar engravings, and the imagery must be connected to operations and substances before it is recruited into a universal symbolism.</w:t>
      </w:r>
      <w:r w:rsidRPr="004918E3">
        <w:rPr>
          <w:szCs w:val="28"/>
          <w:vertAlign w:val="superscript"/>
        </w:rPr>
        <w:t>4</w:t>
      </w:r>
      <w:r w:rsidRPr="004918E3">
        <w:rPr>
          <w:szCs w:val="28"/>
        </w:rPr>
        <w:t xml:space="preserve"> The wolf and king may invite moral, religious, or psychological interpretation, but they also direct attention to digestion, purification, and the recovery of metal through fire. An emblem could work at several levels precisely because laboratory and cosmos had not yet been sorted into independent languages.</w:t>
      </w:r>
    </w:p>
    <w:p w14:paraId="68B63BEA" w14:textId="77777777" w:rsidR="004918E3" w:rsidRPr="004918E3" w:rsidRDefault="004918E3" w:rsidP="004918E3">
      <w:pPr>
        <w:pStyle w:val="BookBody"/>
      </w:pPr>
      <w:r w:rsidRPr="004918E3">
        <w:rPr>
          <w:szCs w:val="28"/>
        </w:rPr>
        <w:t>Even error acquired a different profile in this setting. An alchemist might explain a reaction through sulfur, mercury, salt, metallic seed, elemental balance, or astral virtue and still possess a reliable procedure for making a pigment, alloy, medicine, acid, or crystalline growth. Conversely, a plausible theory did not rescue a careless operation. Alchemy’s mixture of practical acuity and conceptual heterogeneity is not an embarrassment to be cleaned up before the history of science can begin. It is evidence that skilled intervention and explanatory consensus do not arrive together. Practices can stabilize while ontologies remain contested.</w:t>
      </w:r>
    </w:p>
    <w:p w14:paraId="322570A0" w14:textId="77777777" w:rsidR="004918E3" w:rsidRPr="004918E3" w:rsidRDefault="004918E3" w:rsidP="004918E3">
      <w:pPr>
        <w:pStyle w:val="BookBody"/>
      </w:pPr>
      <w:r w:rsidRPr="004918E3">
        <w:rPr>
          <w:szCs w:val="28"/>
        </w:rPr>
        <w:t>The fire discloses, then, but it does not speak in one voice. Its results require interpretation, and interpretation returns the operator to inherited texts, local craft, analogies of body and cosmos, and the memory of prior trials. The laboratory does not replace the living cosmos with brute fact. It makes the cosmos answer under constrained conditions. That answer might be a color at the bottom of a crucible, a metal recovered from slag, a vapor condensing in the receiver, or a tree appearing overnight in a sealed glass. Matter becomes legible by changing, and knowledge begins in the trained recognition of the change.</w:t>
      </w:r>
    </w:p>
    <w:p w14:paraId="615E8430" w14:textId="77777777" w:rsidR="004918E3" w:rsidRPr="004918E3" w:rsidRDefault="004918E3" w:rsidP="004918E3">
      <w:pPr>
        <w:pStyle w:val="SectionHeading"/>
      </w:pPr>
      <w:r w:rsidRPr="004918E3">
        <w:rPr>
          <w:bCs/>
          <w:szCs w:val="28"/>
        </w:rPr>
        <w:t>Matter Has a History</w:t>
      </w:r>
    </w:p>
    <w:p w14:paraId="02020C05" w14:textId="77777777" w:rsidR="004918E3" w:rsidRPr="004918E3" w:rsidRDefault="004918E3" w:rsidP="004918E3">
      <w:pPr>
        <w:pStyle w:val="BookBody"/>
      </w:pPr>
      <w:r w:rsidRPr="004918E3">
        <w:rPr>
          <w:szCs w:val="28"/>
        </w:rPr>
        <w:t>To describe alchemical matter as alive is tempting and dangerous. The temptation is understandable. Texts speak of metals growing in the earth, of seeds, generation, conception, nourishment, sickness, death, and resurrection. Gold is often presented as the mature end toward which baser metals incline; the art promises to remove impediments and accelerate a work that nature performs too slowly. Yet a metaphor of life did not always mean that metals were organisms in the same sense as plants or animals. Principe stresses that talk of metallic seed could designate an organizing principle or concentrated material agency rather than a tiny living germ hidden inside lead.</w:t>
      </w:r>
      <w:r w:rsidRPr="004918E3">
        <w:rPr>
          <w:szCs w:val="28"/>
          <w:vertAlign w:val="superscript"/>
        </w:rPr>
        <w:t>5</w:t>
      </w:r>
      <w:r w:rsidRPr="004918E3">
        <w:rPr>
          <w:szCs w:val="28"/>
        </w:rPr>
        <w:t xml:space="preserve"> The task is not to literalize every analogy but to notice what those analogies allowed practitioners to think.</w:t>
      </w:r>
    </w:p>
    <w:p w14:paraId="2393C27B" w14:textId="77777777" w:rsidR="004918E3" w:rsidRPr="004918E3" w:rsidRDefault="004918E3" w:rsidP="004918E3">
      <w:pPr>
        <w:pStyle w:val="BookBody"/>
      </w:pPr>
      <w:r w:rsidRPr="004918E3">
        <w:rPr>
          <w:szCs w:val="28"/>
        </w:rPr>
        <w:t>They allowed matter to have a past and a future. A lump of ore was not a timeless quantity of elementary stuff. It had formed through a long relation among subterranean heat, mineral vapors or exhalations, moisture, celestial conditions, and the matrices of the earth. Its mixture might be immature, blocked, diseased, or corrupted. Extraction did not simply remove an already finished metal from inert waste. Smelting continued and redirected a natural history. Refinement made manifest a purity that had been entangled with other bodies. Transmutation, in its strongest claims, completed the narrative by carrying an imperfect metal toward the stability and incorruptibility of gold.</w:t>
      </w:r>
    </w:p>
    <w:p w14:paraId="7698B808" w14:textId="77777777" w:rsidR="004918E3" w:rsidRPr="004918E3" w:rsidRDefault="004918E3" w:rsidP="004918E3">
      <w:pPr>
        <w:pStyle w:val="BookBody"/>
      </w:pPr>
      <w:r w:rsidRPr="004918E3">
        <w:rPr>
          <w:szCs w:val="28"/>
        </w:rPr>
        <w:t>This historical matter possessed what mechanism would increasingly find difficult to retain: internal temporal depth. A mechanical account could describe the present arrangement, sizes, shapes, and motions of particles. Alchemy asked how a body had arrived at its present state and what sequence might lead it elsewhere. The difference was not between change and stasis, because corpuscular philosophy was fully capable of explaining change. It was between two forms of temporality. Mechanical rearrangement could, in principle, occur whenever the relevant particles and motions were supplied. Alchemical maturation carried a direction. It used the time of cooking, gestation, digestion, aging, putrefaction, and healing. Earlier and later states did not merely differ; they belonged to a process that could succeed, fail, be interrupted, or be perfected.</w:t>
      </w:r>
    </w:p>
    <w:p w14:paraId="5BD90975" w14:textId="77777777" w:rsidR="004918E3" w:rsidRPr="004918E3" w:rsidRDefault="004918E3" w:rsidP="004918E3">
      <w:pPr>
        <w:pStyle w:val="BookBody"/>
      </w:pPr>
      <w:r w:rsidRPr="004918E3">
        <w:rPr>
          <w:szCs w:val="28"/>
        </w:rPr>
        <w:t>Such direction made qualitative distinctions irreducible. Blackness, whiteness, yellowness, and redness could mark an ordered series. Volatility and fixity were not isolated measurements but opposed tendencies that had to be reconciled. A body might need to become subtle enough to penetrate another while remaining fixed enough to survive fire. Sulfur could name combustible or coloring power; mercury could name liquidity, volatility, metallicity, or an underlying principle; salt could name fixity and body. These terms shifted across authors and periods, but they sought to articulate agencies disclosed by operations. They did not begin from matter emptied of qualities and then add color, odor, texture, or reactivity as secondary effects. Qualities were clues to what a substance could do.</w:t>
      </w:r>
    </w:p>
    <w:p w14:paraId="304CC5C4" w14:textId="77777777" w:rsidR="004918E3" w:rsidRPr="004918E3" w:rsidRDefault="004918E3" w:rsidP="004918E3">
      <w:pPr>
        <w:pStyle w:val="BookBody"/>
      </w:pPr>
      <w:r w:rsidRPr="004918E3">
        <w:rPr>
          <w:szCs w:val="28"/>
        </w:rPr>
        <w:t>Medieval and early modern corpuscular theories complicate any simple opposition between alchemy and atomism. The corpus associated with pseudo-Geber described matter as composed through nested levels: elements formed the principles mercury and sulfur, which in turn combined into metallic bodies. It spoke of a strong composition in which increasingly intimate particles could resist ordinary separation.</w:t>
      </w:r>
      <w:r w:rsidRPr="004918E3">
        <w:rPr>
          <w:szCs w:val="28"/>
          <w:vertAlign w:val="superscript"/>
        </w:rPr>
        <w:t>6</w:t>
      </w:r>
      <w:r w:rsidRPr="004918E3">
        <w:rPr>
          <w:szCs w:val="28"/>
        </w:rPr>
        <w:t xml:space="preserve"> William Newman has shown how such theories developed through alchemical attempts to explain why some mixtures were superficial while others produced bodies with durable new properties. Corpuscles did not first enter natural philosophy by expelling alchemy. They were fashioned within arguments about mixture, reduction, and transmutation.</w:t>
      </w:r>
    </w:p>
    <w:p w14:paraId="0C4BB823" w14:textId="77777777" w:rsidR="004918E3" w:rsidRPr="004918E3" w:rsidRDefault="004918E3" w:rsidP="004918E3">
      <w:pPr>
        <w:pStyle w:val="BookBody"/>
      </w:pPr>
      <w:r w:rsidRPr="004918E3">
        <w:rPr>
          <w:szCs w:val="28"/>
        </w:rPr>
        <w:t>The crucial issue was whether transformation reached a substance’s essence or merely rearranged its appearances. If a metal could be reduced and regenerated, what persisted? If ingredients vanished into a compound, were their forms destroyed, hidden, or conserved in minute parts? Alchemical procedures supplied recurrent cases for these questions. Distillation seemed to divide a body into fractions; calcination left an ash whose weight and behavior demanded explanation; alloys combined metals without making them indistinguishable; acids dissolved metals that later reappeared. The laboratory made identity a problem across time.</w:t>
      </w:r>
    </w:p>
    <w:p w14:paraId="4FE3D893" w14:textId="77777777" w:rsidR="004918E3" w:rsidRPr="004918E3" w:rsidRDefault="004918E3" w:rsidP="004918E3">
      <w:pPr>
        <w:pStyle w:val="BookBody"/>
      </w:pPr>
      <w:r w:rsidRPr="004918E3">
        <w:rPr>
          <w:szCs w:val="28"/>
        </w:rPr>
        <w:t>Seeds answered that problem in one way. They named a continuity of power through visible discontinuity. The plant disappears into seed and returns in growth; a metallic seed could similarly carry a formative disposition through dissolution or decay. In Starkey’s glass, a tree-shaped crystalline body appeared because the experiment created the conditions for arborization, not because a vegetable soul inhabited the metal. But the name “tree” registered both form and time. The branches seemed to grow. They made process visible as structure. An observer could watch a hidden potential become an ordered body.</w:t>
      </w:r>
      <w:r w:rsidRPr="004918E3">
        <w:rPr>
          <w:szCs w:val="28"/>
          <w:vertAlign w:val="superscript"/>
        </w:rPr>
        <w:t>7</w:t>
      </w:r>
    </w:p>
    <w:p w14:paraId="72F872A4" w14:textId="77777777" w:rsidR="004918E3" w:rsidRPr="004918E3" w:rsidRDefault="004918E3" w:rsidP="004918E3">
      <w:pPr>
        <w:pStyle w:val="BookBody"/>
      </w:pPr>
      <w:r w:rsidRPr="004918E3">
        <w:rPr>
          <w:szCs w:val="28"/>
        </w:rPr>
        <w:t>Alchemy’s material history was not gentle. To release a substance’s possibility, the operator burned, corroded, crushed, dissolved, and confined it. The language of torture sometimes lies close to the language of healing. This proximity matters. The living cosmos was not an ecological harmony before domination arrived from outside. It already contained violence, hierarchy, consumption, and death. What distinguishes the alchemical ordeal is not respect for matter in a modern ethical sense. It is the conviction that matter’s response to violence remains significant. The residue is not mute. Its color, weight, texture, and renewed capacity record what has happened to it.</w:t>
      </w:r>
    </w:p>
    <w:p w14:paraId="4052E55B" w14:textId="77777777" w:rsidR="004918E3" w:rsidRPr="004918E3" w:rsidRDefault="004918E3" w:rsidP="004918E3">
      <w:pPr>
        <w:pStyle w:val="BookBody"/>
      </w:pPr>
      <w:r w:rsidRPr="004918E3">
        <w:rPr>
          <w:szCs w:val="28"/>
        </w:rPr>
        <w:t>Matter with a history can therefore suffer in a precise, non-sentimental sense: it can undergo changes that alter what subsequent changes are possible. Annealing, repeated distillation, calcination, washing, and digestion give a body a path dependence. This truth survives in modern laboratories, though its older metaphysical language does not. Alchemy made that dependence central. A substance was known through the ordered record of its transformations, and the alchemist’s art consisted in entering that record at the right moment.</w:t>
      </w:r>
    </w:p>
    <w:p w14:paraId="47359D90" w14:textId="77777777" w:rsidR="004918E3" w:rsidRPr="004918E3" w:rsidRDefault="004918E3" w:rsidP="004918E3">
      <w:pPr>
        <w:pStyle w:val="SectionHeading"/>
      </w:pPr>
      <w:r w:rsidRPr="004918E3">
        <w:rPr>
          <w:bCs/>
          <w:szCs w:val="28"/>
        </w:rPr>
        <w:t>The Laboratory Is a Place</w:t>
      </w:r>
    </w:p>
    <w:p w14:paraId="6EEA7E6B" w14:textId="77777777" w:rsidR="004918E3" w:rsidRPr="004918E3" w:rsidRDefault="004918E3" w:rsidP="004918E3">
      <w:pPr>
        <w:pStyle w:val="BookBody"/>
      </w:pPr>
      <w:r w:rsidRPr="004918E3">
        <w:rPr>
          <w:szCs w:val="28"/>
        </w:rPr>
        <w:t>The word laboratory can conjure a clean, generic room in which instruments isolate nature from local circumstance. Early modern alchemical work was more entangled. It took place in court workshops, apothecary shops, mines, kitchens, monastic rooms, foundries, assay offices, and purpose-built chambers. Water had to be carried; fuel purchased and stored; smoke and poisonous fumes vented; vessels obtained, repaired, and replaced. Assistants tended fires, ground materials, washed residues, and guarded access. The laboratory was not the absence of place. It was a place laboriously organized to make certain transformations possible.</w:t>
      </w:r>
    </w:p>
    <w:p w14:paraId="3500B84C" w14:textId="77777777" w:rsidR="004918E3" w:rsidRPr="004918E3" w:rsidRDefault="004918E3" w:rsidP="004918E3">
      <w:pPr>
        <w:pStyle w:val="BookBody"/>
      </w:pPr>
      <w:r w:rsidRPr="004918E3">
        <w:rPr>
          <w:szCs w:val="28"/>
        </w:rPr>
        <w:t>Tara Nummedal’s study of the Holy Roman Empire follows alchemists through this material and social terrain. Their expertise often drew on adjacent trades. Goldsmiths and assayers knew how to test precious metals. Mining specialists recognized ores and understood extraction. Smelters managed intense heat and refractory materials. Apothecaries distilled, compounded, and judged substances by color, odor, taste, and effect. Nummedal notes that knowledge of ores, furnaces, crucibles, fire, and assay was indispensable to many alchemical projects.</w:t>
      </w:r>
      <w:r w:rsidRPr="004918E3">
        <w:rPr>
          <w:szCs w:val="28"/>
          <w:vertAlign w:val="superscript"/>
        </w:rPr>
        <w:t>8</w:t>
      </w:r>
      <w:r w:rsidRPr="004918E3">
        <w:rPr>
          <w:szCs w:val="28"/>
        </w:rPr>
        <w:t xml:space="preserve"> The adept claiming a secret tincture still depended on an infrastructure of ordinary skills.</w:t>
      </w:r>
    </w:p>
    <w:p w14:paraId="77AB04F6" w14:textId="77777777" w:rsidR="004918E3" w:rsidRPr="004918E3" w:rsidRDefault="004918E3" w:rsidP="004918E3">
      <w:pPr>
        <w:pStyle w:val="BookBody"/>
      </w:pPr>
      <w:r w:rsidRPr="004918E3">
        <w:rPr>
          <w:szCs w:val="28"/>
        </w:rPr>
        <w:t>Ore makes that dependence visible. Before it could become a philosophical example of metallic generation, it had to be found, broken, sorted, transported, roasted, and smelted. Miners read veins in rock; entrepreneurs calculated wood, water, wages, and yield; territorial rulers claimed rights over deposits and revenues. The furnace transformed not only mineral bodies but landscapes. It consumed forests and concentrated labor. The promise that art could perfect nature was thus inseparable from the power to extract nature from a particular place.</w:t>
      </w:r>
    </w:p>
    <w:p w14:paraId="76EA4AE6" w14:textId="77777777" w:rsidR="004918E3" w:rsidRPr="004918E3" w:rsidRDefault="004918E3" w:rsidP="004918E3">
      <w:pPr>
        <w:pStyle w:val="BookBody"/>
      </w:pPr>
      <w:r w:rsidRPr="004918E3">
        <w:rPr>
          <w:szCs w:val="28"/>
        </w:rPr>
        <w:t>Court alchemy intensified the connection between material transformation and authority. A ruler who employed an alchemist did not merely sponsor speculative philosophy. He might hope for revenue, medicine, prestige, military advantage, or confirmation that his court possessed privileged access to nature’s secrets. The alchemist, in turn, needed protection, supplies, credit, and time. Agreements could specify quantities, deadlines, demonstrations, division of profits, and penalties. In one of Nummedal’s opening cases, a practitioner contracted to deliver a measured quantity of tincture to Duke Julius of Braunschweig-Wolfenbüttel in return for a very substantial payment.</w:t>
      </w:r>
      <w:r w:rsidRPr="004918E3">
        <w:rPr>
          <w:szCs w:val="28"/>
          <w:vertAlign w:val="superscript"/>
        </w:rPr>
        <w:t>9</w:t>
      </w:r>
      <w:r w:rsidRPr="004918E3">
        <w:rPr>
          <w:szCs w:val="28"/>
        </w:rPr>
        <w:t xml:space="preserve"> The marvelous substance entered history through an account book and a contract.</w:t>
      </w:r>
    </w:p>
    <w:p w14:paraId="15484B60" w14:textId="77777777" w:rsidR="004918E3" w:rsidRPr="004918E3" w:rsidRDefault="004918E3" w:rsidP="004918E3">
      <w:pPr>
        <w:pStyle w:val="BookBody"/>
      </w:pPr>
      <w:r w:rsidRPr="004918E3">
        <w:rPr>
          <w:szCs w:val="28"/>
        </w:rPr>
        <w:t>This contractual setting did not eliminate secrecy; it reorganized it. An adept’s value depended on possessing knowledge others lacked, but a patron had to judge whether the secret existed. Too much disclosure destroyed monopoly. Too little made fraud indistinguishable from mastery. Laboratories therefore became spaces of calibrated visibility. A patron might appoint trusted witnesses, lock rooms, control keys, supply authenticated metals, or demand that the alchemist work under observation. The operator might reserve one preparation, substitute a substance, insist that failure resulted from impure ingredients, or claim that hostile assistants had disturbed the fire. Practical difficulties and strategic excuses overlapped so thoroughly that authority could never rest on a single successful spectacle.</w:t>
      </w:r>
    </w:p>
    <w:p w14:paraId="1180520F" w14:textId="77777777" w:rsidR="004918E3" w:rsidRPr="004918E3" w:rsidRDefault="004918E3" w:rsidP="004918E3">
      <w:pPr>
        <w:pStyle w:val="BookBody"/>
      </w:pPr>
      <w:r w:rsidRPr="004918E3">
        <w:rPr>
          <w:szCs w:val="28"/>
        </w:rPr>
        <w:t>Nummedal’s chapters on contracts, laboratory space, and fraud show why alchemical identity had to be performed as well as possessed.</w:t>
      </w:r>
      <w:r w:rsidRPr="004918E3">
        <w:rPr>
          <w:szCs w:val="28"/>
          <w:vertAlign w:val="superscript"/>
        </w:rPr>
        <w:t>10</w:t>
      </w:r>
      <w:r w:rsidRPr="004918E3">
        <w:rPr>
          <w:szCs w:val="28"/>
        </w:rPr>
        <w:t xml:space="preserve"> Clothing, speech, letters of recommendation, recipes, books, scars from laboratory accidents, and familiarity with technical procedure could all authenticate a practitioner. So could apparent indifference to money, since the true philosopher was conventionally imagined as pursuing wisdom rather than enrichment. Yet a person who refused to promise useful results could scarcely secure expensive patronage. The alchemist had to appear both worldly enough to accomplish the work and morally elevated enough not to be a counterfeiter.</w:t>
      </w:r>
    </w:p>
    <w:p w14:paraId="02D8B510" w14:textId="77777777" w:rsidR="004918E3" w:rsidRPr="004918E3" w:rsidRDefault="004918E3" w:rsidP="004918E3">
      <w:pPr>
        <w:pStyle w:val="BookBody"/>
      </w:pPr>
      <w:r w:rsidRPr="004918E3">
        <w:rPr>
          <w:szCs w:val="28"/>
        </w:rPr>
        <w:t>Fraud was not a late skeptical category imposed after alchemy failed. Practitioners, patrons, and officials constantly accused one another of deceit. The “puffer,” who wasted fuel on empty repetitions, was an internal figure of contempt. Projection tricks could conceal a little gold in charcoal, a stirring rod, or a crucible. False tinctures circulated. But the ubiquity of suspicion does not prove that every actor knew transmutation to be impossible. It shows that the field lacked a stable institution capable of separating valid expertise from performance. Because effects were difficult to reproduce and secrets were valuable, credibility attached to persons, places, and witnessed procedures.</w:t>
      </w:r>
    </w:p>
    <w:p w14:paraId="4EA6CF59" w14:textId="77777777" w:rsidR="004918E3" w:rsidRPr="004918E3" w:rsidRDefault="004918E3" w:rsidP="004918E3">
      <w:pPr>
        <w:pStyle w:val="BookBody"/>
      </w:pPr>
      <w:r w:rsidRPr="004918E3">
        <w:rPr>
          <w:szCs w:val="28"/>
        </w:rPr>
        <w:t>The laboratory’s walls therefore did more than contain heat. They distributed knowledge and power. Who could enter? Who watched? Who supplied the raw material? Who recorded the sequence? Who owned the product and the recipe? The answers shaped what counted as proof. Alchemy was experimental, but its experiments were not automatically public. It generated repeated interventions into matter without yet providing the social machinery by which any competent observer could repeat them anywhere.</w:t>
      </w:r>
    </w:p>
    <w:p w14:paraId="706D6D70" w14:textId="77777777" w:rsidR="004918E3" w:rsidRPr="004918E3" w:rsidRDefault="004918E3" w:rsidP="004918E3">
      <w:pPr>
        <w:pStyle w:val="BookBody"/>
      </w:pPr>
      <w:r w:rsidRPr="004918E3">
        <w:rPr>
          <w:szCs w:val="28"/>
        </w:rPr>
        <w:t>Here the vessel becomes political. Its closure protects a reaction, but also hides it. Its transparency offers sight, but not necessarily understanding. A patron staring through glass may see a color change and still depend on the operator to name it. A sealed furnace may ensure steady heat or conceal substitution. Material and social opacity reinforce one another. Alchemy’s knowledge resides in a chain extending from mine and market to hand and eye, from patron’s treasury to locked room, from recipe to remembered correction. The substance in the vessel is never only there. It arrives bearing the conditions of a place.</w:t>
      </w:r>
    </w:p>
    <w:p w14:paraId="310C45F1" w14:textId="77777777" w:rsidR="004918E3" w:rsidRPr="004918E3" w:rsidRDefault="004918E3" w:rsidP="004918E3">
      <w:pPr>
        <w:pStyle w:val="SectionHeading"/>
      </w:pPr>
      <w:r w:rsidRPr="004918E3">
        <w:rPr>
          <w:bCs/>
          <w:szCs w:val="28"/>
        </w:rPr>
        <w:t>Nature Finishes Nothing</w:t>
      </w:r>
    </w:p>
    <w:p w14:paraId="3EE409E4" w14:textId="77777777" w:rsidR="004918E3" w:rsidRPr="004918E3" w:rsidRDefault="004918E3" w:rsidP="004918E3">
      <w:pPr>
        <w:pStyle w:val="BookBody"/>
      </w:pPr>
      <w:r w:rsidRPr="004918E3">
        <w:rPr>
          <w:szCs w:val="28"/>
        </w:rPr>
        <w:t>Paracelsus gave alchemy one of its boldest medical and theological formulations. “Nature brings nothing to light that is complete,” he declares in the section on alchemy in the Paragranum; the human being must bring natural things to completion.</w:t>
      </w:r>
      <w:r w:rsidRPr="004918E3">
        <w:rPr>
          <w:szCs w:val="28"/>
          <w:vertAlign w:val="superscript"/>
        </w:rPr>
        <w:t>11</w:t>
      </w:r>
      <w:r w:rsidRPr="004918E3">
        <w:rPr>
          <w:szCs w:val="28"/>
        </w:rPr>
        <w:t xml:space="preserve"> His examples are deliberately ordinary. Nature gives grain, but not bread; grapes, but not wine; fibers, but not cloth. Baking, fermentation, and weaving continue natural production through art. The alchemist belongs to this family of finishers. Alchemy is not confined to making gold. It is the art by which what lies unfinished in nature is separated, prepared, and brought to its proper use.</w:t>
      </w:r>
    </w:p>
    <w:p w14:paraId="4D5C336A" w14:textId="77777777" w:rsidR="004918E3" w:rsidRPr="004918E3" w:rsidRDefault="004918E3" w:rsidP="004918E3">
      <w:pPr>
        <w:pStyle w:val="BookBody"/>
      </w:pPr>
      <w:r w:rsidRPr="004918E3">
        <w:rPr>
          <w:szCs w:val="28"/>
        </w:rPr>
        <w:t>This claim alters the relation between art and creation. Human work is not a violation of a complete natural order, nor merely an imitation of forms nature has already achieved. The world is given with tasks inside it. Nature produces potentials, mixtures, and raw bodies; art realizes, clarifies, and redirects them. The dignity of the alchemist follows from incompletion. A finished nature would leave no room for the spagyric physician.</w:t>
      </w:r>
    </w:p>
    <w:p w14:paraId="652D3D33" w14:textId="77777777" w:rsidR="004918E3" w:rsidRPr="004918E3" w:rsidRDefault="004918E3" w:rsidP="004918E3">
      <w:pPr>
        <w:pStyle w:val="BookBody"/>
      </w:pPr>
      <w:r w:rsidRPr="004918E3">
        <w:rPr>
          <w:szCs w:val="28"/>
        </w:rPr>
        <w:t>Paracelsian medicine turns that incompletion inward. Food is not immediately flesh and blood. It must be broken down, separated, and transformed by the body’s internal alchemist, often described through the archeus or stomach. Useful nourishment is distinguished from poison and waste. Disease, likewise, is not simply an imbalance among the four Galenic humors. It may arise from particular substances, astral conditions, poisons, or failures of internal transformation. The physician therefore needs knowledge of external alchemy because body and laboratory perform analogous work. Both digest. Both separate. Both confront mixtures whose visible unity conceals opposed powers.</w:t>
      </w:r>
      <w:r w:rsidRPr="004918E3">
        <w:rPr>
          <w:szCs w:val="28"/>
          <w:vertAlign w:val="superscript"/>
        </w:rPr>
        <w:t>12</w:t>
      </w:r>
    </w:p>
    <w:p w14:paraId="1391C99D" w14:textId="77777777" w:rsidR="004918E3" w:rsidRPr="004918E3" w:rsidRDefault="004918E3" w:rsidP="004918E3">
      <w:pPr>
        <w:pStyle w:val="BookBody"/>
      </w:pPr>
      <w:r w:rsidRPr="004918E3">
        <w:rPr>
          <w:szCs w:val="28"/>
        </w:rPr>
        <w:t>Andrew Weeks’s edition places these medical arguments within Paracelsus’s attacks on received authority. The true physician cannot rely on books alone. He must learn from nature, experience, regions, trades, bodies, and the transformations of substances. Alchemy is one of the foundations of medicine because remedies do not emerge ready-made. Their virtues must be released from crude bodies, purified from harmful admixtures, or intensified through preparation. The physician who cannot work materially remains dependent on inherited names.</w:t>
      </w:r>
      <w:r w:rsidRPr="004918E3">
        <w:rPr>
          <w:szCs w:val="28"/>
          <w:vertAlign w:val="superscript"/>
        </w:rPr>
        <w:t>13</w:t>
      </w:r>
    </w:p>
    <w:p w14:paraId="5AF037B8" w14:textId="77777777" w:rsidR="004918E3" w:rsidRPr="004918E3" w:rsidRDefault="004918E3" w:rsidP="004918E3">
      <w:pPr>
        <w:pStyle w:val="BookBody"/>
      </w:pPr>
      <w:r w:rsidRPr="004918E3">
        <w:rPr>
          <w:szCs w:val="28"/>
        </w:rPr>
        <w:t>The famous Paracelsian triad of sulfur, mercury, and salt should be read within this operative setting. The three were not simply the common substances in their everyday form. They named principles exposed by separation: combustibility or active transformation, volatility or fluidity, fixity or bodily residue. Fire could show them because a body’s apparent simplicity dissolved under ordeal. In the spagyric art - a term built from separating and joining - analysis and synthesis belonged together. What had been confused was divided so that its useful powers could be recombined in a more effective medicine.</w:t>
      </w:r>
    </w:p>
    <w:p w14:paraId="4C9663B6" w14:textId="77777777" w:rsidR="004918E3" w:rsidRPr="004918E3" w:rsidRDefault="004918E3" w:rsidP="004918E3">
      <w:pPr>
        <w:pStyle w:val="BookBody"/>
      </w:pPr>
      <w:r w:rsidRPr="004918E3">
        <w:rPr>
          <w:szCs w:val="28"/>
        </w:rPr>
        <w:t>Paracelsus’s rose supplies a compact image of this process. Its medicinal powers do not become available merely because the flower is admired while fresh. The rose is broken down; it rots, dies to its initial form, and is reborn as a preparation whose virtues can act within the body.</w:t>
      </w:r>
      <w:r w:rsidRPr="004918E3">
        <w:rPr>
          <w:szCs w:val="28"/>
          <w:vertAlign w:val="superscript"/>
        </w:rPr>
        <w:t>14</w:t>
      </w:r>
      <w:r w:rsidRPr="004918E3">
        <w:rPr>
          <w:szCs w:val="28"/>
        </w:rPr>
        <w:t xml:space="preserve"> Putrefaction is not accidental spoilage. Properly governed, it is a threshold. The visible body must cease to be what it was so that a more interior power can be recovered.</w:t>
      </w:r>
    </w:p>
    <w:p w14:paraId="407C1D1A" w14:textId="77777777" w:rsidR="004918E3" w:rsidRPr="004918E3" w:rsidRDefault="004918E3" w:rsidP="004918E3">
      <w:pPr>
        <w:pStyle w:val="BookBody"/>
      </w:pPr>
      <w:r w:rsidRPr="004918E3">
        <w:rPr>
          <w:szCs w:val="28"/>
        </w:rPr>
        <w:t>The sequence binds laboratory time to Christian language without making one a disguised version of the other. Death and resurrection offered Paracelsus a grammar for material change; material change, in turn, made death and renewal palpable. The operator could watch a body blacken, dissolve, separate, and return in another form. Creation itself could be imagined spagyrically, as a divine separation of light from darkness and distinct creatures from primordial confusion. Yet the analogy never removed the need to tend a fire. Cosmic significance intensified the operation’s stakes; it did not perform the operation.</w:t>
      </w:r>
    </w:p>
    <w:p w14:paraId="74753C11" w14:textId="77777777" w:rsidR="004918E3" w:rsidRPr="004918E3" w:rsidRDefault="004918E3" w:rsidP="004918E3">
      <w:pPr>
        <w:pStyle w:val="BookBody"/>
      </w:pPr>
      <w:r w:rsidRPr="004918E3">
        <w:rPr>
          <w:szCs w:val="28"/>
        </w:rPr>
        <w:t>Signatures joined this material medicine to the readable cosmos. A thing’s outward marks might indicate an inward virtue, affinity, or use. Later summaries sometimes reduce the doctrine to a simple visual code in which a plant resembling an organ must cure that organ. Paracelsian signatures were less mechanical than that caricature. They belonged to a larger conviction that invisible powers impress themselves into appearances, habitats, behaviors, and effects. To read a signature required experience with what a substance did, not merely a glance at what it resembled.</w:t>
      </w:r>
      <w:r w:rsidRPr="004918E3">
        <w:rPr>
          <w:szCs w:val="28"/>
          <w:vertAlign w:val="superscript"/>
        </w:rPr>
        <w:t>15</w:t>
      </w:r>
    </w:p>
    <w:p w14:paraId="508E5F45" w14:textId="77777777" w:rsidR="004918E3" w:rsidRPr="004918E3" w:rsidRDefault="004918E3" w:rsidP="004918E3">
      <w:pPr>
        <w:pStyle w:val="BookBody"/>
      </w:pPr>
      <w:r w:rsidRPr="004918E3">
        <w:rPr>
          <w:szCs w:val="28"/>
        </w:rPr>
        <w:t>The signature also prevented matter from becoming anonymous. A plant gathered on a mountain, a mineral formed in a vein, or a poison transformed into medicine bore a particular relation to place, process, and power. Its external body was an expression, though not a transparent one, of its interior. Nature could be read because appearance and agency were connected. The reader might err; signatures could be counterfeit or misunderstood. But the premise was that qualities disclosed something real about the body that carried them.</w:t>
      </w:r>
    </w:p>
    <w:p w14:paraId="00E9C717" w14:textId="77777777" w:rsidR="004918E3" w:rsidRPr="004918E3" w:rsidRDefault="004918E3" w:rsidP="004918E3">
      <w:pPr>
        <w:pStyle w:val="BookBody"/>
      </w:pPr>
      <w:r w:rsidRPr="004918E3">
        <w:rPr>
          <w:szCs w:val="28"/>
        </w:rPr>
        <w:t>Paracelsian alchemy is therefore neither a survival of undifferentiated magic nor modern chemistry waiting to shed religious language. It is a program of active completion. Nature is fruitful because it is unfinished; art is legitimate because it learns the routes of transformation already latent in things. Medicine is not imposed on passive material. It is extracted, awakened, corrected, and made capable of working. In this account the living cosmos survives as an economy of unfinished powers, and the human vocation is neither spectatorship nor mastery alone. It is dangerous collaboration.</w:t>
      </w:r>
    </w:p>
    <w:p w14:paraId="23877BD9" w14:textId="77777777" w:rsidR="004918E3" w:rsidRPr="004918E3" w:rsidRDefault="004918E3" w:rsidP="004918E3">
      <w:pPr>
        <w:pStyle w:val="SectionHeading"/>
      </w:pPr>
      <w:r w:rsidRPr="004918E3">
        <w:rPr>
          <w:bCs/>
          <w:szCs w:val="28"/>
        </w:rPr>
        <w:t>The Lion’s Blood</w:t>
      </w:r>
    </w:p>
    <w:p w14:paraId="1FA6FA0B" w14:textId="77777777" w:rsidR="004918E3" w:rsidRPr="004918E3" w:rsidRDefault="004918E3" w:rsidP="004918E3">
      <w:pPr>
        <w:pStyle w:val="BookBody"/>
      </w:pPr>
      <w:r w:rsidRPr="004918E3">
        <w:rPr>
          <w:szCs w:val="28"/>
        </w:rPr>
        <w:t>On 1 April 1573 Duke Julius received a manuscript from Anna Zieglerin, an alchemist working within the troubled economy of his court. She described what followed not as hearsay but as work she had witnessed and performed with her own hands. The manuscript contained recipes for a golden oil called the lion’s blood. This tincture promised more than metallic transmutation. It belonged to a web of medical, agricultural, dynastic, and apocalyptic expectation. In Tara Nummedal’s reconstruction, Zieglerin’s claims cannot be separated from the imminent end times she believed alchemy would help disclose.</w:t>
      </w:r>
      <w:r w:rsidRPr="004918E3">
        <w:rPr>
          <w:szCs w:val="28"/>
          <w:vertAlign w:val="superscript"/>
        </w:rPr>
        <w:t>16</w:t>
      </w:r>
    </w:p>
    <w:p w14:paraId="63D33E8A" w14:textId="77777777" w:rsidR="004918E3" w:rsidRPr="004918E3" w:rsidRDefault="004918E3" w:rsidP="004918E3">
      <w:pPr>
        <w:pStyle w:val="BookBody"/>
      </w:pPr>
      <w:r w:rsidRPr="004918E3">
        <w:rPr>
          <w:szCs w:val="28"/>
        </w:rPr>
        <w:t>Zieglerin matters because she makes several histories meet in a single, unstable person. She was a woman claiming privileged practical knowledge in a field whose official offices, guild pathways, university credentials, and courtly networks were overwhelmingly structured by men. She represented herself as a manual practitioner, a recipient of secrets, and an agent within sacred history. Her alchemy promised effects in the vessel and consequences beyond it. The lion’s blood would heal, multiply fertility, transform material bodies, and participate in a final renovation of the world.</w:t>
      </w:r>
    </w:p>
    <w:p w14:paraId="3A1321B7" w14:textId="77777777" w:rsidR="004918E3" w:rsidRPr="004918E3" w:rsidRDefault="004918E3" w:rsidP="004918E3">
      <w:pPr>
        <w:pStyle w:val="BookBody"/>
      </w:pPr>
      <w:r w:rsidRPr="004918E3">
        <w:rPr>
          <w:szCs w:val="28"/>
        </w:rPr>
        <w:t>It would be easy to make her either an emancipatory exception or a deluded victim. Nummedal’s account permits neither simplification. Gender constrained how Zieglerin could establish authority, but it also gave specific force to claims involving generation, pregnancy, domestic knowledge, and divinely chosen weakness. Court patronage made her work possible while exposing her to surveillance and punishment. Apocalyptic conviction supplied an interpretation of alchemical transformation, but it also raised the stakes of delay and failure. The closer the promised renovation came, the more urgently patrons could demand the material sign.</w:t>
      </w:r>
    </w:p>
    <w:p w14:paraId="0B014918" w14:textId="77777777" w:rsidR="004918E3" w:rsidRPr="004918E3" w:rsidRDefault="004918E3" w:rsidP="004918E3">
      <w:pPr>
        <w:pStyle w:val="BookBody"/>
      </w:pPr>
      <w:r w:rsidRPr="004918E3">
        <w:rPr>
          <w:szCs w:val="28"/>
        </w:rPr>
        <w:t>The tincture called lion’s blood concentrated this tension. A tincture was imagined as a small but extraordinarily active preparation capable of penetrating a larger body and altering it throughout. The term joined dyeing, medicine, and transmutation: color entered a substance, a remedy entered a patient, a perfected agent entered a base metal. Its efficacy was disproportionate to its mass. For the court, that asymmetry held obvious attraction. A little secret matter might produce wealth, health, crops, heirs, or proof of divine favor. For the alchemist, it made demonstration difficult. If the substance was precious and powerful, only a tiny quantity could be shown; if it required long preparation, failure could always be deferred toward another trial.</w:t>
      </w:r>
    </w:p>
    <w:p w14:paraId="4B5DC881" w14:textId="77777777" w:rsidR="004918E3" w:rsidRPr="004918E3" w:rsidRDefault="004918E3" w:rsidP="004918E3">
      <w:pPr>
        <w:pStyle w:val="BookBody"/>
      </w:pPr>
      <w:r w:rsidRPr="004918E3">
        <w:rPr>
          <w:szCs w:val="28"/>
        </w:rPr>
        <w:t>Zieglerin’s manuscript also resists the habit of dividing “spiritual” and “practical” alchemy into separate rooms. Recipes sit beside prophecy because the two answered the same question: how can a corrupted body be renewed? The body might be metal, patient, dynasty, soil, or Christian creation. In each case the agent of renewal was hidden, concentrated, and disclosed through a divinely ordered process. Manual operations did not merely illustrate eschatology. They promised to become one of its instruments.</w:t>
      </w:r>
    </w:p>
    <w:p w14:paraId="67E1CBD6" w14:textId="77777777" w:rsidR="004918E3" w:rsidRPr="004918E3" w:rsidRDefault="004918E3" w:rsidP="004918E3">
      <w:pPr>
        <w:pStyle w:val="BookBody"/>
      </w:pPr>
      <w:r w:rsidRPr="004918E3">
        <w:rPr>
          <w:szCs w:val="28"/>
        </w:rPr>
        <w:t>That promise belonged to a larger Reformation landscape. Confessional conflict had unsettled institutions and intensified arguments about signs, miracles, prophecy, and the timing of the last days. Rulers sought religious legitimacy as well as territorial strength. Alchemical renovation could be placed within schemes of providence in which knowledge long hidden would be revealed near the end of history. Nature’s secrets were not timeless possessions waiting for any clever person to discover them. They had an appointed hour.</w:t>
      </w:r>
      <w:r w:rsidRPr="004918E3">
        <w:rPr>
          <w:szCs w:val="28"/>
          <w:vertAlign w:val="superscript"/>
        </w:rPr>
        <w:t>17</w:t>
      </w:r>
    </w:p>
    <w:p w14:paraId="5C55BBD0" w14:textId="77777777" w:rsidR="004918E3" w:rsidRPr="004918E3" w:rsidRDefault="004918E3" w:rsidP="004918E3">
      <w:pPr>
        <w:pStyle w:val="BookBody"/>
      </w:pPr>
      <w:r w:rsidRPr="004918E3">
        <w:rPr>
          <w:szCs w:val="28"/>
        </w:rPr>
        <w:t>This apocalyptic time differs from both the slow maturation of metals and the repeated time of experiment, yet Zieglerin’s alchemy tried to join all three. Underground nature worked toward perfection over ages. The laboratory compressed that work into months or years. Sacred history promised an approaching consummation in which hidden knowledge and restored bodies would appear. The tincture stood where those temporalities intersected. It was mature matter prepared for the maturity of the world.</w:t>
      </w:r>
    </w:p>
    <w:p w14:paraId="60130A0E" w14:textId="77777777" w:rsidR="004918E3" w:rsidRPr="004918E3" w:rsidRDefault="004918E3" w:rsidP="004918E3">
      <w:pPr>
        <w:pStyle w:val="BookBody"/>
      </w:pPr>
      <w:r w:rsidRPr="004918E3">
        <w:rPr>
          <w:szCs w:val="28"/>
        </w:rPr>
        <w:t>The case also exposes the limits of an easy celebration of alchemy as holistic knowledge. Courts did not encounter living matter innocently. They wanted results that could be converted into revenue, fertility, health, and power. Zieglerin and her associates moved within a dangerous system of obligation. The same patron who supplied furnaces and protection could demand secrets, confine bodies, or prosecute fraud. Alchemy’s refusal to treat matter as dead did not prevent people from treating one another as instruments.</w:t>
      </w:r>
    </w:p>
    <w:p w14:paraId="55759FB7" w14:textId="77777777" w:rsidR="004918E3" w:rsidRPr="004918E3" w:rsidRDefault="004918E3" w:rsidP="004918E3">
      <w:pPr>
        <w:pStyle w:val="BookBody"/>
      </w:pPr>
      <w:r w:rsidRPr="004918E3">
        <w:rPr>
          <w:szCs w:val="28"/>
        </w:rPr>
        <w:t>Nor should the lion’s blood be rescued by declaring it psychologically true. To interpret the tincture only as a symbol of inner transformation would erase why Zieglerin needed ingredients, vessels, labor, money, and a patron. It would also erase the risk of making claims about public effects. Her authority depended on a promised intervention in shared material life. The historical question is not whether her prophecy can be translated into a timeless archetype, but how laboratory process, gendered authority, court economy, and the expectation of the end became mutually sustaining - until they did not.</w:t>
      </w:r>
    </w:p>
    <w:p w14:paraId="1C7D0726" w14:textId="77777777" w:rsidR="004918E3" w:rsidRPr="004918E3" w:rsidRDefault="004918E3" w:rsidP="004918E3">
      <w:pPr>
        <w:pStyle w:val="BookBody"/>
      </w:pPr>
      <w:r w:rsidRPr="004918E3">
        <w:rPr>
          <w:szCs w:val="28"/>
        </w:rPr>
        <w:t>Zieglerin’s story gives alchemical matter a human cost. Substances promised renewal because people were themselves entangled in unfinished and corruptible bodies. Disease, infertility, hunger, political disorder, and confessional violence made the perfect medicine more than a philosophical luxury. The tincture offered condensed hope. Its name joined royal power and sacrificial blood; its operation promised that the smallest perfected thing could transform the greater mass. Here matter’s life is inseparable from expectation. What the vessel might become reorganizes the lives gathered around it.</w:t>
      </w:r>
    </w:p>
    <w:p w14:paraId="03880437" w14:textId="77777777" w:rsidR="004918E3" w:rsidRPr="004918E3" w:rsidRDefault="004918E3" w:rsidP="004918E3">
      <w:pPr>
        <w:pStyle w:val="SectionHeading"/>
      </w:pPr>
      <w:r w:rsidRPr="004918E3">
        <w:rPr>
          <w:bCs/>
          <w:szCs w:val="28"/>
        </w:rPr>
        <w:t>The Dragon in the Vessel</w:t>
      </w:r>
    </w:p>
    <w:p w14:paraId="1416696E" w14:textId="77777777" w:rsidR="004918E3" w:rsidRPr="004918E3" w:rsidRDefault="004918E3" w:rsidP="004918E3">
      <w:pPr>
        <w:pStyle w:val="BookBody"/>
      </w:pPr>
      <w:r w:rsidRPr="004918E3">
        <w:rPr>
          <w:szCs w:val="28"/>
        </w:rPr>
        <w:t>A sixteenth-century manuscript of the Rosarium philosophorum shows a dragon coiled inside a glass vessel above a fire. Its body bends upon itself, enclosed by the transparent wall while flame rises beneath. Elsewhere in the alchemical image tradition, kings and queens unite, bodies lie in tombs, birds ascend and descend, fountains flow, suns darken, and hermaphroditic figures emerge. Such images are among the most memorable remains of alchemy. They are also among the easiest to detach from historical work.</w:t>
      </w:r>
      <w:r w:rsidRPr="004918E3">
        <w:rPr>
          <w:szCs w:val="28"/>
          <w:vertAlign w:val="superscript"/>
        </w:rPr>
        <w:t>18</w:t>
      </w:r>
    </w:p>
    <w:p w14:paraId="3AD76452" w14:textId="77777777" w:rsidR="004918E3" w:rsidRPr="004918E3" w:rsidRDefault="004918E3" w:rsidP="004918E3">
      <w:pPr>
        <w:pStyle w:val="BookBody"/>
      </w:pPr>
      <w:r w:rsidRPr="004918E3">
        <w:rPr>
          <w:szCs w:val="28"/>
        </w:rPr>
        <w:t>The dragon is not a diagram in the modern sense. It does not provide dimensions, weights, or a reproducible sequence. Neither is it a free invitation to assign any meaning a later interpreter desires. It belongs beside text, recipe, manuscript arrangement, and a repertoire of substances and operations. The circular body may evoke matter that consumes itself, volatile spirit returned upon fixed body, poison converted into medicine, or an operation kept in circulation. The vessel and fire constrain the range. Whatever the dragon signifies, it is being cooked.</w:t>
      </w:r>
    </w:p>
    <w:p w14:paraId="743082F0" w14:textId="77777777" w:rsidR="004918E3" w:rsidRPr="004918E3" w:rsidRDefault="004918E3" w:rsidP="004918E3">
      <w:pPr>
        <w:pStyle w:val="BookBody"/>
      </w:pPr>
      <w:r w:rsidRPr="004918E3">
        <w:rPr>
          <w:szCs w:val="28"/>
        </w:rPr>
        <w:t>Alchemy needed such figures partly because it tried to hold together kinds of change that prose divided. A recipe could say grind, mix, seal, heat, and wait. A natural philosophy could explain the powers of sulfur and mercury. A religious meditation could describe death, purification, union, and rebirth. The emblem superimposed them. The same blackening was a sensible color, a stage of putrefaction, a death of prior form, and a moment within a larger path to perfection. An image could make simultaneity visible where instructions had to proceed line by line.</w:t>
      </w:r>
    </w:p>
    <w:p w14:paraId="041C39A3" w14:textId="77777777" w:rsidR="004918E3" w:rsidRPr="004918E3" w:rsidRDefault="004918E3" w:rsidP="004918E3">
      <w:pPr>
        <w:pStyle w:val="BookBody"/>
      </w:pPr>
      <w:r w:rsidRPr="004918E3">
        <w:rPr>
          <w:szCs w:val="28"/>
        </w:rPr>
        <w:t>Secrecy sharpened that function. Some images concealed procedures from the uninitiated; others advertised possession of a secret; still others helped readers remember a sequence already learned. Obscurity could be protective, pedagogical, devotional, or commercially strategic. It also enabled error. Once an emblem circulated apart from its textual setting, its elements could be recombined into supposedly universal meanings. The very density that made the image useful to an alchemist made it available to later mythologies.</w:t>
      </w:r>
    </w:p>
    <w:p w14:paraId="49DBCCD9" w14:textId="77777777" w:rsidR="004918E3" w:rsidRPr="004918E3" w:rsidRDefault="004918E3" w:rsidP="004918E3">
      <w:pPr>
        <w:pStyle w:val="BookBody"/>
      </w:pPr>
      <w:r w:rsidRPr="004918E3">
        <w:rPr>
          <w:szCs w:val="28"/>
        </w:rPr>
        <w:t>This is the point at which Carl Jung must be held back. Jungian interpretation gave twentieth-century readers a powerful account of alchemy as projection of psychic individuation. It preserved alchemical images from contempt and noticed their themes of division, death, conjunction, and renewed wholeness. But introduced too early, it replaces the matter in the vessel with the psyche of the observer. The dragon becomes an inner conflict, the royal marriage an integration, and the laboratory an unconscious theatre. Historical alchemists certainly examined souls, sins, bodies, and salvation alongside metals. That does not mean their substances were props for a drama occurring elsewhere.</w:t>
      </w:r>
    </w:p>
    <w:p w14:paraId="104E883C" w14:textId="77777777" w:rsidR="004918E3" w:rsidRPr="004918E3" w:rsidRDefault="004918E3" w:rsidP="004918E3">
      <w:pPr>
        <w:pStyle w:val="BookBody"/>
      </w:pPr>
      <w:r w:rsidRPr="004918E3">
        <w:rPr>
          <w:szCs w:val="28"/>
        </w:rPr>
        <w:t>Principe’s warning about Basil Valentine’s Twelve Keys applies broadly. The famous illustrations were added after the text and have often been interpreted as though the image series were the primary, timeless work.</w:t>
      </w:r>
      <w:r w:rsidRPr="004918E3">
        <w:rPr>
          <w:szCs w:val="28"/>
          <w:vertAlign w:val="superscript"/>
        </w:rPr>
        <w:t>19</w:t>
      </w:r>
      <w:r w:rsidRPr="004918E3">
        <w:rPr>
          <w:szCs w:val="28"/>
        </w:rPr>
        <w:t xml:space="preserve"> Restoring chronology changes the question. Instead of asking what an isolated wolf, king, dragon, or hermaphrodite “really” means, one asks what text it accompanies, when it entered the tradition, which operation it recalls, and what kind of reader could use it. Historical discipline does not flatten the emblem. It returns its multiple meanings to a material sequence.</w:t>
      </w:r>
    </w:p>
    <w:p w14:paraId="2FCD32C0" w14:textId="77777777" w:rsidR="004918E3" w:rsidRPr="004918E3" w:rsidRDefault="004918E3" w:rsidP="004918E3">
      <w:pPr>
        <w:pStyle w:val="BookBody"/>
      </w:pPr>
      <w:r w:rsidRPr="004918E3">
        <w:rPr>
          <w:szCs w:val="28"/>
        </w:rPr>
        <w:t>The Rosarium vessel is therefore a material witness twice over. It represents a container within which substances were altered, and it survives as a manufactured object - parchment or paper, pigment, binding, handwriting, and copied design - through which alchemical knowledge moved. The manuscript asks to be handled in sequence. Its images do not float free. A page is turned; a caption is read; one stage follows another. The book and the furnace share an ordered temporality.</w:t>
      </w:r>
    </w:p>
    <w:p w14:paraId="6E20B821" w14:textId="77777777" w:rsidR="004918E3" w:rsidRPr="004918E3" w:rsidRDefault="004918E3" w:rsidP="004918E3">
      <w:pPr>
        <w:pStyle w:val="BookBody"/>
      </w:pPr>
      <w:r w:rsidRPr="004918E3">
        <w:rPr>
          <w:szCs w:val="28"/>
        </w:rPr>
        <w:t>The dragon’s confinement also reveals the ethical ambiguity of alchemical participation. The operator attends closely to matter but does so by sealing, heating, and dissolving it. The image does not offer the pastoral reassurance of a balanced ecosystem. It offers a dangerous intimacy. Matter’s powers appear under pressure; the person who would know them must risk poison, explosion, expense, accusation, and disappointment. The living cosmos inside the vessel is not safe. It bites its own tail.</w:t>
      </w:r>
    </w:p>
    <w:p w14:paraId="7844B5A8" w14:textId="77777777" w:rsidR="004918E3" w:rsidRPr="004918E3" w:rsidRDefault="004918E3" w:rsidP="004918E3">
      <w:pPr>
        <w:pStyle w:val="BookBody"/>
      </w:pPr>
      <w:r w:rsidRPr="004918E3">
        <w:rPr>
          <w:szCs w:val="28"/>
        </w:rPr>
        <w:t>Yet the image preserves what a purely instrumental diagram can lose: transformation happens to a body. The dragon bends, blackens, devours, and is devoured. Even when these are analogical acts, they make process irreducible to the comparison of two endpoints. Between ingredient and product lies ordeal. The emblem gives that interval a figure. It insists that matter’s identity includes the path by which it changes.</w:t>
      </w:r>
    </w:p>
    <w:p w14:paraId="7EF9EEFB" w14:textId="77777777" w:rsidR="004918E3" w:rsidRPr="004918E3" w:rsidRDefault="004918E3" w:rsidP="004918E3">
      <w:pPr>
        <w:pStyle w:val="SectionHeading"/>
      </w:pPr>
      <w:r w:rsidRPr="004918E3">
        <w:rPr>
          <w:bCs/>
          <w:szCs w:val="28"/>
        </w:rPr>
        <w:t>A Nature Made of Conflict</w:t>
      </w:r>
    </w:p>
    <w:p w14:paraId="55520440" w14:textId="77777777" w:rsidR="004918E3" w:rsidRPr="004918E3" w:rsidRDefault="004918E3" w:rsidP="004918E3">
      <w:pPr>
        <w:pStyle w:val="BookBody"/>
      </w:pPr>
      <w:r w:rsidRPr="004918E3">
        <w:rPr>
          <w:szCs w:val="28"/>
        </w:rPr>
        <w:t>Jakob Böhme did not write laboratory manuals. His Signature of All Things belongs to Christian theosophy and speculative natural philosophy, and it should not be used as a transparent report of alchemical practice. Yet his nature is so intensely processual that it reveals what the period could still imagine when qualities had not been reduced to surface effects. For Böhme, the outward world is marked by signatures because visible forms express an inward struggle of powers. A thing sounds according to the instrument it has become. He compares the signature to a lute whose strings are played by the spirit of the will.</w:t>
      </w:r>
      <w:r w:rsidRPr="004918E3">
        <w:rPr>
          <w:szCs w:val="28"/>
          <w:vertAlign w:val="superscript"/>
        </w:rPr>
        <w:t>20</w:t>
      </w:r>
    </w:p>
    <w:p w14:paraId="4679E8D6" w14:textId="77777777" w:rsidR="004918E3" w:rsidRPr="004918E3" w:rsidRDefault="004918E3" w:rsidP="004918E3">
      <w:pPr>
        <w:pStyle w:val="BookBody"/>
      </w:pPr>
      <w:r w:rsidRPr="004918E3">
        <w:rPr>
          <w:szCs w:val="28"/>
        </w:rPr>
        <w:t>The musical analogy is exact in its own way. Sound requires tension, distinction, and motion. A slack string says nothing; identical strings cannot make harmony. The outward body is an instrument fashioned by the relations of inward properties. Shape, color, taste, odor, temperament, and behavior are not arbitrary labels attached to neutral stuff. They are the sensible articulation of a dynamic interior.</w:t>
      </w:r>
    </w:p>
    <w:p w14:paraId="4DE62E8F" w14:textId="77777777" w:rsidR="004918E3" w:rsidRPr="004918E3" w:rsidRDefault="004918E3" w:rsidP="004918E3">
      <w:pPr>
        <w:pStyle w:val="BookBody"/>
      </w:pPr>
      <w:r w:rsidRPr="004918E3">
        <w:rPr>
          <w:szCs w:val="28"/>
        </w:rPr>
        <w:t>Böhme’s nature begins not in equilibrium but in desire. Desire contracts and hardens; contraction generates resistance; resistance sharpens into anguish; anguish kindles fire; through fire, light and manifestation become possible. His recurrent triad of sulfur, mercury, and salt does not map neatly onto the laboratory principles of every Paracelsian practitioner, but it shares their conviction that bodies arise from active and opposed tendencies. Nature lives because powers struggle, concentrate, break, and pass into new relations.</w:t>
      </w:r>
      <w:r w:rsidRPr="004918E3">
        <w:rPr>
          <w:szCs w:val="28"/>
          <w:vertAlign w:val="superscript"/>
        </w:rPr>
        <w:t>21</w:t>
      </w:r>
    </w:p>
    <w:p w14:paraId="12951578" w14:textId="77777777" w:rsidR="004918E3" w:rsidRPr="004918E3" w:rsidRDefault="004918E3" w:rsidP="004918E3">
      <w:pPr>
        <w:pStyle w:val="BookBody"/>
      </w:pPr>
      <w:r w:rsidRPr="004918E3">
        <w:rPr>
          <w:szCs w:val="28"/>
        </w:rPr>
        <w:t>This is not a world in which evil can simply be subtracted. Harshness, bitterness, darkness, and anguish are conditions through which manifestation occurs, even as they can become destructive when isolated or misordered. One property cures another. The poison carries the possibility of medicine because opposition makes transformation possible. Böhme’s language presses alchemical contraries - fixed and volatile, sulfurous fire and mercurial motion, death and regeneration - into a theology of creation.</w:t>
      </w:r>
    </w:p>
    <w:p w14:paraId="7C65572F" w14:textId="77777777" w:rsidR="004918E3" w:rsidRPr="004918E3" w:rsidRDefault="004918E3" w:rsidP="004918E3">
      <w:pPr>
        <w:pStyle w:val="BookBody"/>
      </w:pPr>
      <w:r w:rsidRPr="004918E3">
        <w:rPr>
          <w:szCs w:val="28"/>
        </w:rPr>
        <w:t>Metals participate in this drama. In The Signature of All Things they bear planetary names and tinctural longings; iron and copper, Mars and Venus, gold and the solar principle are not merely dead samples classified by external properties. They are condensations of cosmic forces seeking origin and completion. Böhme can describe a sulphurean death in which a body must be broken before its hidden life is released.</w:t>
      </w:r>
      <w:r w:rsidRPr="004918E3">
        <w:rPr>
          <w:szCs w:val="28"/>
          <w:vertAlign w:val="superscript"/>
        </w:rPr>
        <w:t>22</w:t>
      </w:r>
      <w:r w:rsidRPr="004918E3">
        <w:rPr>
          <w:szCs w:val="28"/>
        </w:rPr>
        <w:t xml:space="preserve"> Here again, the significant unit is not a particle but a passage.</w:t>
      </w:r>
    </w:p>
    <w:p w14:paraId="56CEA7ED" w14:textId="77777777" w:rsidR="004918E3" w:rsidRPr="004918E3" w:rsidRDefault="004918E3" w:rsidP="004918E3">
      <w:pPr>
        <w:pStyle w:val="BookBody"/>
      </w:pPr>
      <w:r w:rsidRPr="004918E3">
        <w:rPr>
          <w:szCs w:val="28"/>
        </w:rPr>
        <w:t>The signature is the outward scar or gesture of that passage. To read it is to infer process from appearance. A plant’s form, an animal’s disposition, a mineral’s color, or a human face manifests the relative dominance and combination of powers. The inference may be uncertain because outward bodies are mixed and fallen. Nature is a book written in damaged but meaningful characters.</w:t>
      </w:r>
    </w:p>
    <w:p w14:paraId="510D00B2" w14:textId="77777777" w:rsidR="004918E3" w:rsidRPr="004918E3" w:rsidRDefault="004918E3" w:rsidP="004918E3">
      <w:pPr>
        <w:pStyle w:val="BookBody"/>
      </w:pPr>
      <w:r w:rsidRPr="004918E3">
        <w:rPr>
          <w:szCs w:val="28"/>
        </w:rPr>
        <w:t>Böhme’s dynamic matter intensifies an element already present in the laboratory. A substance is not known by isolating it from relations but by provoking its characteristic responses. Fire makes combustible power appear; solution reveals affinity; a medicinal preparation proves itself in the body; conflict discloses the signature. Knowledge is dramatic. It requires a scene in which opposed qualities act.</w:t>
      </w:r>
    </w:p>
    <w:p w14:paraId="7AE07F15" w14:textId="77777777" w:rsidR="004918E3" w:rsidRPr="004918E3" w:rsidRDefault="004918E3" w:rsidP="004918E3">
      <w:pPr>
        <w:pStyle w:val="BookBody"/>
      </w:pPr>
      <w:r w:rsidRPr="004918E3">
        <w:rPr>
          <w:szCs w:val="28"/>
        </w:rPr>
        <w:t>There is a cost to treating this drama as chemistry before its time. Böhme’s concern is the manifestation of divine life through nature, the origin of contrariety, the Fall, and regeneration. His terms move between body, soul, cosmos, and God. They do not have stable operational definitions. But there is an equal cost to removing nature from the drama and keeping only theology. Böhme thinks through material analogies because created bodies do something that abstract propositions cannot: they show unity emerging through differentiation and light through fire.</w:t>
      </w:r>
    </w:p>
    <w:p w14:paraId="11784157" w14:textId="77777777" w:rsidR="004918E3" w:rsidRPr="004918E3" w:rsidRDefault="004918E3" w:rsidP="004918E3">
      <w:pPr>
        <w:pStyle w:val="BookBody"/>
      </w:pPr>
      <w:r w:rsidRPr="004918E3">
        <w:rPr>
          <w:szCs w:val="28"/>
        </w:rPr>
        <w:t>His cosmos is “living” not because every object contains a little biological organism, but because reality is will, relation, and becoming before it is inert extension. The properties do not await an external mover. Their tensions generate motion and form. A mechanical philosophy would later explain activity by collisions, pressure, impact, and the transfer of motion among corpuscles. Böhme locates activity more deeply, in appetites and qualitative opposition. Mechanism can redescribe the motion. It cannot easily preserve the anguish.</w:t>
      </w:r>
    </w:p>
    <w:p w14:paraId="4D6F720F" w14:textId="77777777" w:rsidR="004918E3" w:rsidRPr="004918E3" w:rsidRDefault="004918E3" w:rsidP="004918E3">
      <w:pPr>
        <w:pStyle w:val="BookBody"/>
      </w:pPr>
      <w:r w:rsidRPr="004918E3">
        <w:rPr>
          <w:szCs w:val="28"/>
        </w:rPr>
        <w:t>This contrast should not be romanticized. Böhme’s universe can be oppressive, saturated with correspondences that bind physical difference to spiritual judgment. Signatures can authorize hierarchy as well as wonder. And mechanical explanation will achieve a powerful liberation from the habit of moralizing every natural event. A falling stone need not signify punishment; a disease need not display sin; a metal need not strive toward gold. The gain is real. So is the subtraction. When nature no longer expresses inward conflict, qualities become effects to be explained from beneath rather than voices through which matter tells its history.</w:t>
      </w:r>
    </w:p>
    <w:p w14:paraId="47777FEB" w14:textId="77777777" w:rsidR="004918E3" w:rsidRPr="004918E3" w:rsidRDefault="004918E3" w:rsidP="004918E3">
      <w:pPr>
        <w:pStyle w:val="SectionHeading"/>
      </w:pPr>
      <w:r w:rsidRPr="004918E3">
        <w:rPr>
          <w:bCs/>
          <w:szCs w:val="28"/>
        </w:rPr>
        <w:t>From Seed to Corpuscle</w:t>
      </w:r>
    </w:p>
    <w:p w14:paraId="4E732560" w14:textId="77777777" w:rsidR="004918E3" w:rsidRPr="004918E3" w:rsidRDefault="004918E3" w:rsidP="004918E3">
      <w:pPr>
        <w:pStyle w:val="BookBody"/>
      </w:pPr>
      <w:r w:rsidRPr="004918E3">
        <w:rPr>
          <w:szCs w:val="28"/>
        </w:rPr>
        <w:t>The transition from alchemical matter to mechanism was not a clean replacement of animation by experiment. It occurred within chymistry itself. Newman’s history traces how arguments about metallic mixture, corpuscles, and the persistence of forms moved from medieval alchemical authors through Daniel Sennert and into Robert Boyle. The mechanical philosophy did not approach the laboratory as an external conqueror. It learned from procedures that alchemists had refined.</w:t>
      </w:r>
      <w:r w:rsidRPr="004918E3">
        <w:rPr>
          <w:szCs w:val="28"/>
          <w:vertAlign w:val="superscript"/>
        </w:rPr>
        <w:t>23</w:t>
      </w:r>
    </w:p>
    <w:p w14:paraId="326DA6E6" w14:textId="77777777" w:rsidR="004918E3" w:rsidRPr="004918E3" w:rsidRDefault="004918E3" w:rsidP="004918E3">
      <w:pPr>
        <w:pStyle w:val="BookBody"/>
      </w:pPr>
      <w:r w:rsidRPr="004918E3">
        <w:rPr>
          <w:szCs w:val="28"/>
        </w:rPr>
        <w:t>Sennert confronted a recurring problem. Chemical operations appeared to destroy bodies and then recover them. Metals could be dissolved in corrosive liquids and precipitated again; substances could enter compounds whose ingredients vanished from sight; distillation separated fractions that behaved differently from the original. If the recovered body retained its identity, something must persist through the transformation. Aristotelian substantial form, atomistic corpuscles, and alchemical seed theory offered competing and combinable answers.</w:t>
      </w:r>
    </w:p>
    <w:p w14:paraId="33A882EC" w14:textId="77777777" w:rsidR="004918E3" w:rsidRPr="004918E3" w:rsidRDefault="004918E3" w:rsidP="004918E3">
      <w:pPr>
        <w:pStyle w:val="BookBody"/>
      </w:pPr>
      <w:r w:rsidRPr="004918E3">
        <w:rPr>
          <w:szCs w:val="28"/>
        </w:rPr>
        <w:t>For Sennert, corpuscles could preserve the continuity of natural kinds without reducing everything immediately to featureless atoms. Durable structures or “seeds” survived some operations and guided regeneration. His solution retained hierarchy. Minute bodies were not all equivalent; organization mattered. Chemical analysis could penetrate mixtures to different depths, and what survived the fire revealed how strongly a body had been composed.</w:t>
      </w:r>
      <w:r w:rsidRPr="004918E3">
        <w:rPr>
          <w:szCs w:val="28"/>
          <w:vertAlign w:val="superscript"/>
        </w:rPr>
        <w:t>24</w:t>
      </w:r>
    </w:p>
    <w:p w14:paraId="62B36881" w14:textId="77777777" w:rsidR="004918E3" w:rsidRPr="004918E3" w:rsidRDefault="004918E3" w:rsidP="004918E3">
      <w:pPr>
        <w:pStyle w:val="BookBody"/>
      </w:pPr>
      <w:r w:rsidRPr="004918E3">
        <w:rPr>
          <w:szCs w:val="28"/>
        </w:rPr>
        <w:t>Boyle inherited this experimental problem while pressing toward a more thorough mechanical account. The qualities of a body could be explained through the size, shape, texture, arrangement, and motion of material parts. Chemical operations became powerful because they opened textures, separated corpuscles, and recombined them. The laboratory remained a theatre of transformation, but its explanatory ground shifted. Color, taste, heat, medicinal virtue, and metallic character no longer needed to be irreducible inner qualities. They could arise from the disposition of matter and its interaction with organs or other bodies.</w:t>
      </w:r>
      <w:r w:rsidRPr="004918E3">
        <w:rPr>
          <w:szCs w:val="28"/>
          <w:vertAlign w:val="superscript"/>
        </w:rPr>
        <w:t>25</w:t>
      </w:r>
    </w:p>
    <w:p w14:paraId="17BD15BA" w14:textId="77777777" w:rsidR="004918E3" w:rsidRPr="004918E3" w:rsidRDefault="004918E3" w:rsidP="004918E3">
      <w:pPr>
        <w:pStyle w:val="BookBody"/>
      </w:pPr>
      <w:r w:rsidRPr="004918E3">
        <w:rPr>
          <w:szCs w:val="28"/>
        </w:rPr>
        <w:t>Alchemy had helped create the evidence for this reduction. Repeated separations showed that a body’s manifest properties could disappear while material ingredients persisted. Recombination suggested that qualities depended on structure. Acids, alkalis, salts, metals, and distillates behaved in patterned ways that invited corpuscular explanation. The more effectively operators could decompose and reconstruct bodies, the less necessary it seemed to attribute each sensible quality to a distinct substantial power.</w:t>
      </w:r>
    </w:p>
    <w:p w14:paraId="4BF73385" w14:textId="77777777" w:rsidR="004918E3" w:rsidRPr="004918E3" w:rsidRDefault="004918E3" w:rsidP="004918E3">
      <w:pPr>
        <w:pStyle w:val="BookBody"/>
      </w:pPr>
      <w:r w:rsidRPr="004918E3">
        <w:rPr>
          <w:szCs w:val="28"/>
        </w:rPr>
        <w:t>Yet Boyle’s chymistry did not instantly become the chemistry of a later textbook. He continued to use inherited substances, apparatus, recipes, and questions. He remained interested in the reduction of compounds to more pristine states and in the possibility that apparently elementary bodies might be further resolved. Mechanism functioned as a research program within a crowded laboratory, not as a final ontology imposed after every uncertainty had been removed.</w:t>
      </w:r>
      <w:r w:rsidRPr="004918E3">
        <w:rPr>
          <w:szCs w:val="28"/>
          <w:vertAlign w:val="superscript"/>
        </w:rPr>
        <w:t>26</w:t>
      </w:r>
    </w:p>
    <w:p w14:paraId="658062EF" w14:textId="77777777" w:rsidR="004918E3" w:rsidRPr="004918E3" w:rsidRDefault="004918E3" w:rsidP="004918E3">
      <w:pPr>
        <w:pStyle w:val="BookBody"/>
      </w:pPr>
      <w:r w:rsidRPr="004918E3">
        <w:rPr>
          <w:szCs w:val="28"/>
        </w:rPr>
        <w:t>The decisive change lies in what counted as explanation. For the alchemist, the blackness of putrefaction might be a stage in a body’s death, evidence of corruption, and preparation for renewal. For the mechanical philosopher, blackness demanded an account of texture, light, particles, and the eye. The first located the quality within a directed narrative; the second located it within an arrangement and an interaction. Both could attend to the same dark residue. They differed over whether its qualitative appearance disclosed the substance’s inward history or had to be explained by more fundamental, nonqualitative parts.</w:t>
      </w:r>
    </w:p>
    <w:p w14:paraId="09606111" w14:textId="77777777" w:rsidR="004918E3" w:rsidRPr="004918E3" w:rsidRDefault="004918E3" w:rsidP="004918E3">
      <w:pPr>
        <w:pStyle w:val="BookBody"/>
      </w:pPr>
      <w:r w:rsidRPr="004918E3">
        <w:rPr>
          <w:szCs w:val="28"/>
        </w:rPr>
        <w:t>Mechanism thus disciplined one of alchemy’s most fertile habits: the movement from resemblance to agency. A substance that looked like blood did not thereby share blood’s power. A metal that grew in branching form did not possess vegetative life. A process named marriage did not require masculine and feminine principles in nature. By demanding explanations in terms of matter and motion, mechanical philosophy broke analogies that had allowed observations, hopes, and cosmic narratives to reinforce one another without adequate test.</w:t>
      </w:r>
    </w:p>
    <w:p w14:paraId="51786E6A" w14:textId="77777777" w:rsidR="004918E3" w:rsidRPr="004918E3" w:rsidRDefault="004918E3" w:rsidP="004918E3">
      <w:pPr>
        <w:pStyle w:val="BookBody"/>
      </w:pPr>
      <w:r w:rsidRPr="004918E3">
        <w:rPr>
          <w:szCs w:val="28"/>
        </w:rPr>
        <w:t>That break increased portability. If effects arose from controlled arrangements of matter, they should occur regardless of the operator’s spiritual status or the substance’s place within sacred history. Procedures could be reported, witnessed, repeated, and revised. The ideal experiment was not a secret consummation reserved for the adept but an event whose conditions could be shared. In practice, laboratories remained dependent on tacit skill, local materials, and social trust. The aspiration nevertheless shifted authority away from the singular possessor of a tincture and toward communicable operations.</w:t>
      </w:r>
    </w:p>
    <w:p w14:paraId="1430BCEA" w14:textId="77777777" w:rsidR="004918E3" w:rsidRPr="004918E3" w:rsidRDefault="004918E3" w:rsidP="004918E3">
      <w:pPr>
        <w:pStyle w:val="BookBody"/>
      </w:pPr>
      <w:r w:rsidRPr="004918E3">
        <w:rPr>
          <w:szCs w:val="28"/>
        </w:rPr>
        <w:t>But portability exacted a conceptual price. The more a body became a present arrangement of parts, the less its prior suffering mattered except as a cause of that arrangement. Maturation became a sequence of structural changes without intrinsic direction. Signature became an effect upon an observer. Tincture became reagent. Seed became corpuscle or pattern. The earth ceased to gestate metals and became a store of mineral deposits formed through processes that no longer aimed at perfection.</w:t>
      </w:r>
    </w:p>
    <w:p w14:paraId="2CCC1FC5" w14:textId="77777777" w:rsidR="004918E3" w:rsidRPr="004918E3" w:rsidRDefault="004918E3" w:rsidP="004918E3">
      <w:pPr>
        <w:pStyle w:val="BookBody"/>
      </w:pPr>
      <w:r w:rsidRPr="004918E3">
        <w:rPr>
          <w:szCs w:val="28"/>
        </w:rPr>
        <w:t>The transition was neither pure loss nor simple illumination. Mechanical chymistry preserved alchemy’s insistence that knowledge must pass through manipulation. It inherited furnaces, vessels, solutions, precipitations, and the art of making hidden components appear. It rejected the privilege of resemblance, personal revelation, and cosmic purpose when those could not survive repeated trial. The modern material world was built not by abandoning the vessel but by changing what the vessel was allowed to mean.</w:t>
      </w:r>
    </w:p>
    <w:p w14:paraId="2DEB9C56" w14:textId="77777777" w:rsidR="004918E3" w:rsidRPr="004918E3" w:rsidRDefault="004918E3" w:rsidP="004918E3">
      <w:pPr>
        <w:pStyle w:val="SectionHeading"/>
      </w:pPr>
      <w:r w:rsidRPr="004918E3">
        <w:rPr>
          <w:bCs/>
          <w:szCs w:val="28"/>
        </w:rPr>
        <w:t>What Mechanism Could Not Keep</w:t>
      </w:r>
    </w:p>
    <w:p w14:paraId="42D96BEE" w14:textId="77777777" w:rsidR="004918E3" w:rsidRPr="004918E3" w:rsidRDefault="004918E3" w:rsidP="004918E3">
      <w:pPr>
        <w:pStyle w:val="BookBody"/>
      </w:pPr>
      <w:r w:rsidRPr="004918E3">
        <w:rPr>
          <w:szCs w:val="28"/>
        </w:rPr>
        <w:t>What, then, did alchemy preserve about matter that mechanism would later exclude? It preserved, first, a thick account of material time. Substances had ages and seasons. They ripened, decayed, digested, circulated, and convalesced. A process possessed an appropriate tempo that art might accelerate but could not simply ignore. The operator watched for stages because matter’s capacity at one moment differed qualitatively from its capacity at another.</w:t>
      </w:r>
    </w:p>
    <w:p w14:paraId="2A0E5763" w14:textId="77777777" w:rsidR="004918E3" w:rsidRPr="004918E3" w:rsidRDefault="004918E3" w:rsidP="004918E3">
      <w:pPr>
        <w:pStyle w:val="BookBody"/>
      </w:pPr>
      <w:r w:rsidRPr="004918E3">
        <w:rPr>
          <w:szCs w:val="28"/>
        </w:rPr>
        <w:t>Second, alchemy preserved the depth of sensible qualities. Color, odor, taste, luster, texture, volatility, and resistance were not merely appearances awaiting reduction. They were signs of powers. To say this is not to say that every color sequence was reliable or every signature correctly read. It is to recognize a mode of inquiry in which qualities guided intervention and carried explanatory weight.</w:t>
      </w:r>
    </w:p>
    <w:p w14:paraId="033B4736" w14:textId="77777777" w:rsidR="004918E3" w:rsidRPr="004918E3" w:rsidRDefault="004918E3" w:rsidP="004918E3">
      <w:pPr>
        <w:pStyle w:val="BookBody"/>
      </w:pPr>
      <w:r w:rsidRPr="004918E3">
        <w:rPr>
          <w:szCs w:val="28"/>
        </w:rPr>
        <w:t>Third, alchemy preserved the participation of instruments and places. The vessel’s glass, the iron tool, the furnace’s draft, the ore’s matrix, the water used for washing, and the worker’s hand were not ideally invisible. They belonged to the event. Modern experiment would learn to control these variables more rigorously, but its rhetoric often presented control as their disappearance. Alchemy remembered that matter answers through an apparatus made of other matter.</w:t>
      </w:r>
    </w:p>
    <w:p w14:paraId="142798B8" w14:textId="77777777" w:rsidR="004918E3" w:rsidRPr="004918E3" w:rsidRDefault="004918E3" w:rsidP="004918E3">
      <w:pPr>
        <w:pStyle w:val="BookBody"/>
      </w:pPr>
      <w:r w:rsidRPr="004918E3">
        <w:rPr>
          <w:szCs w:val="28"/>
        </w:rPr>
        <w:t>Fourth, it preserved direction within transformation. Gold was not only a different atomic composition or structure; it was perfection, fixity, radiance, incorruptibility. Medicine restored a body toward its proper integrity. Separation recovered purity from confusion. Such ends could mislead inquiry by projecting human value into natural process. Yet without them, change becomes indifferent. Mechanism can say how one state follows another. It cannot, from matter and motion alone, say why completion, healing, or corruption are real features of nature rather than judgments supplied by observers.</w:t>
      </w:r>
    </w:p>
    <w:p w14:paraId="4E1A83DE" w14:textId="77777777" w:rsidR="004918E3" w:rsidRPr="004918E3" w:rsidRDefault="004918E3" w:rsidP="004918E3">
      <w:pPr>
        <w:pStyle w:val="BookBody"/>
      </w:pPr>
      <w:r w:rsidRPr="004918E3">
        <w:rPr>
          <w:szCs w:val="28"/>
        </w:rPr>
        <w:t>Fifth, alchemy preserved a porous boundary between material and moral history. The same language of trial, purification, death, and renewal could describe a metal, a medicine, a Christian, or the world near its end. This porosity generated false correspondences and dangerous certainties. It also prevented knowledge of matter from becoming ethically self-contained. To transform a body was always liable to become a question about the transformer: whose good was sought, who paid, who labored, who was deceived, and what kind of completion deserved pursuit.</w:t>
      </w:r>
    </w:p>
    <w:p w14:paraId="6A41AEE4" w14:textId="77777777" w:rsidR="004918E3" w:rsidRPr="004918E3" w:rsidRDefault="004918E3" w:rsidP="004918E3">
      <w:pPr>
        <w:pStyle w:val="BookBody"/>
      </w:pPr>
      <w:r w:rsidRPr="004918E3">
        <w:rPr>
          <w:szCs w:val="28"/>
        </w:rPr>
        <w:t>These survivals did not amount to a coherent alternative science that could simply have been chosen instead of mechanism. Alchemy’s secrecy obstructed correction. Its metaphors permitted incompatible readings. Its claims of transmutation and universal medicine attracted fraud and indefinitely postponed fulfillment. Its social world concentrated authority in adepts and patrons. The very richness of its meanings made failure difficult to specify. If a process did not work, perhaps the matter was impure, the heat mistimed, the season wrong, the operator unworthy, the secret name misunderstood, or providence unwilling.</w:t>
      </w:r>
    </w:p>
    <w:p w14:paraId="74DF5976" w14:textId="77777777" w:rsidR="004918E3" w:rsidRPr="004918E3" w:rsidRDefault="004918E3" w:rsidP="004918E3">
      <w:pPr>
        <w:pStyle w:val="BookBody"/>
      </w:pPr>
      <w:r w:rsidRPr="004918E3">
        <w:rPr>
          <w:szCs w:val="28"/>
        </w:rPr>
        <w:t>Mechanical philosophy narrowed this field productively. It asked which features could be described without reference to perfection, sympathy, prophecy, or personal illumination. It pursued accounts in which the same arrangement produced the same effect. It helped make qualities analyzable and operations transportable. The living cosmos lost authority partly because it could explain too much. Every resistance could become a hidden virtue; every delay, a deeper maturation; every failure, a veil.</w:t>
      </w:r>
    </w:p>
    <w:p w14:paraId="3777EEA4" w14:textId="77777777" w:rsidR="004918E3" w:rsidRPr="004918E3" w:rsidRDefault="004918E3" w:rsidP="004918E3">
      <w:pPr>
        <w:pStyle w:val="BookBody"/>
      </w:pPr>
      <w:r w:rsidRPr="004918E3">
        <w:rPr>
          <w:szCs w:val="28"/>
        </w:rPr>
        <w:t>But narrowing is not the same as discovering that everything excluded was unreal. Matter still has history. A crystal bears the conditions of its formation. A metal’s grain records heating and stress. A medicine’s effect depends on preparation, dose, route, and the temporality of a body. Instruments alter the objects they reveal. Chemical systems move through metastable states, display path dependence, and organize themselves far from equilibrium. None of these facts restores Paracelsian signatures or Böhmean anguish. They do show why the mechanical image of passive particles required continual supplementation.</w:t>
      </w:r>
    </w:p>
    <w:p w14:paraId="0F0ADD47" w14:textId="77777777" w:rsidR="004918E3" w:rsidRPr="004918E3" w:rsidRDefault="004918E3" w:rsidP="004918E3">
      <w:pPr>
        <w:pStyle w:val="BookBody"/>
      </w:pPr>
      <w:r w:rsidRPr="004918E3">
        <w:rPr>
          <w:szCs w:val="28"/>
        </w:rPr>
        <w:t>The alchemical vocabulary kept these dimensions together at the cost of precision. Modern sciences separate them into disciplines: kinetics studies rates, thermodynamics directions and constraints, materials science microstructure and processing history, chemistry reaction and composition, physiology metabolism, ecology cycles, geology mineral formation. The separation produces extraordinary clarity. It can also conceal their shared intuition: matter is not adequately known by inventory alone. What a body is includes what it can undergo, what it has undergone, and the relations that sustain its present form.</w:t>
      </w:r>
    </w:p>
    <w:p w14:paraId="2ED79C26" w14:textId="77777777" w:rsidR="004918E3" w:rsidRPr="004918E3" w:rsidRDefault="004918E3" w:rsidP="004918E3">
      <w:pPr>
        <w:pStyle w:val="BookBody"/>
      </w:pPr>
      <w:r w:rsidRPr="004918E3">
        <w:rPr>
          <w:szCs w:val="28"/>
        </w:rPr>
        <w:t>Alchemy’s most durable inheritance may therefore be grammatical rather than doctrinal. Its practitioners assembled a language of operations: dissolve and coagulate, separate and join, volatilize and fix, calcine, digest, ferment, circulate, precipitate, and distill. The nouns that explained these actions changed. Sulfur and mercury yielded ground to corpuscles, affinities, elements, atoms, bonds, and structures. The verbs survived because they described controlled passages that could be repeated and improved. Principe’s experimental reconstructions work precisely at this level. They do not revive the old ontology; they recover the operation closely enough to discover what its author could see.</w:t>
      </w:r>
      <w:r w:rsidRPr="004918E3">
        <w:rPr>
          <w:szCs w:val="28"/>
          <w:vertAlign w:val="superscript"/>
        </w:rPr>
        <w:t>27</w:t>
      </w:r>
    </w:p>
    <w:p w14:paraId="208E2FDA" w14:textId="77777777" w:rsidR="004918E3" w:rsidRPr="004918E3" w:rsidRDefault="004918E3" w:rsidP="004918E3">
      <w:pPr>
        <w:pStyle w:val="BookBody"/>
      </w:pPr>
      <w:r w:rsidRPr="004918E3">
        <w:rPr>
          <w:szCs w:val="28"/>
        </w:rPr>
        <w:t>That grammar also explains why alchemy cannot be dismissed as a failed hunt for gold. Transmutation and universal medicine were central ambitions, but the field produced knowledge whenever practitioners learned how a material responded to a sequence of interventions. A failed projection might still refine assaying, distillation, alloying, glassmaking, or the handling of corrosives. Newman’s history shows that questions raised by chymical transformations helped make corpuscular philosophy experimentally consequential.</w:t>
      </w:r>
      <w:r w:rsidRPr="004918E3">
        <w:rPr>
          <w:szCs w:val="28"/>
          <w:vertAlign w:val="superscript"/>
        </w:rPr>
        <w:t>28</w:t>
      </w:r>
      <w:r w:rsidRPr="004918E3">
        <w:rPr>
          <w:szCs w:val="28"/>
        </w:rPr>
        <w:t xml:space="preserve"> Nummedal’s practitioners show those questions embedded in shops, mines, contracts, and courts rather than suspended in a history of ideas.</w:t>
      </w:r>
      <w:r w:rsidRPr="004918E3">
        <w:rPr>
          <w:szCs w:val="28"/>
          <w:vertAlign w:val="superscript"/>
        </w:rPr>
        <w:t>29</w:t>
      </w:r>
    </w:p>
    <w:p w14:paraId="09CE9411" w14:textId="77777777" w:rsidR="004918E3" w:rsidRPr="004918E3" w:rsidRDefault="004918E3" w:rsidP="004918E3">
      <w:pPr>
        <w:pStyle w:val="BookBody"/>
      </w:pPr>
      <w:r w:rsidRPr="004918E3">
        <w:rPr>
          <w:szCs w:val="28"/>
        </w:rPr>
        <w:t>The distinction between completion and control remains the deepest fault line. Paracelsus imagined art completing nature by discovering and serving its latent powers. Later experimental programs increasingly defined success by the operator’s capacity to produce an effect under specified conditions. Completion asked what a thing ought to become; control asked what could reliably be made to happen. The two could overlap in the furnace, yet they ordered responsibility differently. A medicine that completed a plant’s virtue answered to the plant, patient, and cosmic order. A reagent that produced a repeatable reaction answered to procedure. The second formulation is more modest about nature’s purposes and more demanding about evidence. It is also easier to detach from a question of ends.</w:t>
      </w:r>
      <w:r w:rsidRPr="004918E3">
        <w:rPr>
          <w:szCs w:val="28"/>
          <w:vertAlign w:val="superscript"/>
        </w:rPr>
        <w:t>30</w:t>
      </w:r>
    </w:p>
    <w:p w14:paraId="551309CB" w14:textId="77777777" w:rsidR="004918E3" w:rsidRPr="004918E3" w:rsidRDefault="004918E3" w:rsidP="004918E3">
      <w:pPr>
        <w:pStyle w:val="BookBody"/>
      </w:pPr>
      <w:r w:rsidRPr="004918E3">
        <w:rPr>
          <w:szCs w:val="28"/>
        </w:rPr>
        <w:t>The chapter began with a tree in a glass. Its branches were neither proof that metal lives like a plant nor an illusion imposed by fantasy. They were the visible trace of a process whose maker understood through a language of seeds, growth, and philosophical mercury. The modern reconstruction corrected that language while vindicating the observation. Historical judgment must perform both acts. It must refuse the old explanation where evidence requires, and refuse contempt where the old practice saw something real.</w:t>
      </w:r>
    </w:p>
    <w:p w14:paraId="566BA4BC" w14:textId="77777777" w:rsidR="004918E3" w:rsidRPr="004918E3" w:rsidRDefault="004918E3" w:rsidP="004918E3">
      <w:pPr>
        <w:pStyle w:val="BookBody"/>
      </w:pPr>
      <w:r w:rsidRPr="004918E3">
        <w:rPr>
          <w:szCs w:val="28"/>
        </w:rPr>
        <w:t>The athanor, vessel, ore, tincture, and emblem therefore stand as witnesses to a transitional material imagination. The athanor holds time steady. The vessel makes change visible while enclosing it. The ore binds natural philosophy to labor and land. The tincture concentrates the hope that perfected matter can heal a larger body. The emblem gives ordeal a form that instruction alone cannot contain. Together they show matter as active, burdened with histories, and capable of surprise.</w:t>
      </w:r>
    </w:p>
    <w:p w14:paraId="7A9BA107" w14:textId="77777777" w:rsidR="004918E3" w:rsidRPr="004918E3" w:rsidRDefault="004918E3" w:rsidP="004918E3">
      <w:pPr>
        <w:pStyle w:val="BookBody"/>
      </w:pPr>
      <w:r w:rsidRPr="004918E3">
        <w:rPr>
          <w:szCs w:val="28"/>
        </w:rPr>
        <w:t>That world will not survive intact. As Europe’s sciences and states become more exact in measuring time, mapping territory, standardizing quantity, and organizing extraction, the furnace will be joined to a larger machinery. Ore will increasingly appear as resource; land as surveyed space; forests as fuel inventories; voyages as calculated routes; labor as cost; time as a unit that can be synchronized and sold. Chapter 12 follows matter out of the sealed vessel and into that measured world. The question will no longer be only what nature can become under fire. It will be how earth and time become legible to power.</w:t>
      </w:r>
    </w:p>
    <w:p w14:paraId="3F7D767D" w14:textId="77777777" w:rsidR="004918E3" w:rsidRPr="004918E3" w:rsidRDefault="004918E3" w:rsidP="004918E3">
      <w:pPr>
        <w:pStyle w:val="NotesHeading"/>
      </w:pPr>
      <w:r w:rsidRPr="004918E3">
        <w:rPr>
          <w:bCs/>
          <w:szCs w:val="28"/>
        </w:rPr>
        <w:t>Notes</w:t>
      </w:r>
    </w:p>
    <w:p w14:paraId="4B377772" w14:textId="77777777" w:rsidR="004918E3" w:rsidRPr="004918E3" w:rsidRDefault="004918E3" w:rsidP="004918E3">
      <w:pPr>
        <w:pStyle w:val="NoteEntry"/>
      </w:pPr>
      <w:r w:rsidRPr="004918E3">
        <w:rPr>
          <w:szCs w:val="28"/>
        </w:rPr>
        <w:t xml:space="preserve">1. Lawrence M. Principe, </w:t>
      </w:r>
      <w:r w:rsidRPr="004918E3">
        <w:rPr>
          <w:i/>
          <w:iCs/>
          <w:szCs w:val="28"/>
        </w:rPr>
        <w:t>The Secrets of Alchemy</w:t>
      </w:r>
      <w:r w:rsidRPr="004918E3">
        <w:rPr>
          <w:szCs w:val="28"/>
        </w:rPr>
        <w:t xml:space="preserve"> (Chicago: University of Chicago Press, 2013), 163–70. Principe reconstructed George Starkey’s “Philosophical Mercury” and obtained the branching metallic formation described in Starkey’s notebooks.</w:t>
      </w:r>
    </w:p>
    <w:p w14:paraId="29EE28AE" w14:textId="77777777" w:rsidR="004918E3" w:rsidRPr="004918E3" w:rsidRDefault="004918E3" w:rsidP="004918E3">
      <w:pPr>
        <w:pStyle w:val="NoteEntry"/>
      </w:pPr>
      <w:r w:rsidRPr="004918E3">
        <w:rPr>
          <w:szCs w:val="28"/>
        </w:rPr>
        <w:t xml:space="preserve">2. Principe, </w:t>
      </w:r>
      <w:r w:rsidRPr="004918E3">
        <w:rPr>
          <w:i/>
          <w:iCs/>
          <w:szCs w:val="28"/>
        </w:rPr>
        <w:t>Secrets of Alchemy</w:t>
      </w:r>
      <w:r w:rsidRPr="004918E3">
        <w:rPr>
          <w:szCs w:val="28"/>
        </w:rPr>
        <w:t xml:space="preserve">, 1–12, 107–36; Tara Nummedal, </w:t>
      </w:r>
      <w:r w:rsidRPr="004918E3">
        <w:rPr>
          <w:i/>
          <w:iCs/>
          <w:szCs w:val="28"/>
        </w:rPr>
        <w:t>Alchemy and Authority in the Holy Roman Empire</w:t>
      </w:r>
      <w:r w:rsidRPr="004918E3">
        <w:rPr>
          <w:szCs w:val="28"/>
        </w:rPr>
        <w:t xml:space="preserve"> (Chicago: University of Chicago Press, 2007), 1–16.</w:t>
      </w:r>
    </w:p>
    <w:p w14:paraId="309B7401" w14:textId="77777777" w:rsidR="004918E3" w:rsidRPr="004918E3" w:rsidRDefault="004918E3" w:rsidP="004918E3">
      <w:pPr>
        <w:pStyle w:val="NoteEntry"/>
      </w:pPr>
      <w:r w:rsidRPr="004918E3">
        <w:rPr>
          <w:szCs w:val="28"/>
        </w:rPr>
        <w:t xml:space="preserve">3. Principe, </w:t>
      </w:r>
      <w:r w:rsidRPr="004918E3">
        <w:rPr>
          <w:i/>
          <w:iCs/>
          <w:szCs w:val="28"/>
        </w:rPr>
        <w:t>Secrets of Alchemy</w:t>
      </w:r>
      <w:r w:rsidRPr="004918E3">
        <w:rPr>
          <w:szCs w:val="28"/>
        </w:rPr>
        <w:t>, 137–44. On the glass of antimony and the effects of quartz, iron, preparation, and heat, see especially 141–43.</w:t>
      </w:r>
    </w:p>
    <w:p w14:paraId="56BE0734" w14:textId="77777777" w:rsidR="004918E3" w:rsidRPr="004918E3" w:rsidRDefault="004918E3" w:rsidP="004918E3">
      <w:pPr>
        <w:pStyle w:val="NoteEntry"/>
      </w:pPr>
      <w:r w:rsidRPr="004918E3">
        <w:rPr>
          <w:szCs w:val="28"/>
        </w:rPr>
        <w:t xml:space="preserve">4. Principe, </w:t>
      </w:r>
      <w:r w:rsidRPr="004918E3">
        <w:rPr>
          <w:i/>
          <w:iCs/>
          <w:szCs w:val="28"/>
        </w:rPr>
        <w:t>Secrets of Alchemy</w:t>
      </w:r>
      <w:r w:rsidRPr="004918E3">
        <w:rPr>
          <w:szCs w:val="28"/>
        </w:rPr>
        <w:t xml:space="preserve">, 143–50. The text of the </w:t>
      </w:r>
      <w:r w:rsidRPr="004918E3">
        <w:rPr>
          <w:i/>
          <w:iCs/>
          <w:szCs w:val="28"/>
        </w:rPr>
        <w:t>Twelve Keys</w:t>
      </w:r>
      <w:r w:rsidRPr="004918E3">
        <w:rPr>
          <w:szCs w:val="28"/>
        </w:rPr>
        <w:t xml:space="preserve"> preceded the emblematic engravings commonly treated as its essence.</w:t>
      </w:r>
    </w:p>
    <w:p w14:paraId="5327429C" w14:textId="77777777" w:rsidR="004918E3" w:rsidRPr="004918E3" w:rsidRDefault="004918E3" w:rsidP="004918E3">
      <w:pPr>
        <w:pStyle w:val="NoteEntry"/>
      </w:pPr>
      <w:r w:rsidRPr="004918E3">
        <w:rPr>
          <w:szCs w:val="28"/>
        </w:rPr>
        <w:t xml:space="preserve">5. Principe, </w:t>
      </w:r>
      <w:r w:rsidRPr="004918E3">
        <w:rPr>
          <w:i/>
          <w:iCs/>
          <w:szCs w:val="28"/>
        </w:rPr>
        <w:t>Secrets of Alchemy</w:t>
      </w:r>
      <w:r w:rsidRPr="004918E3">
        <w:rPr>
          <w:szCs w:val="28"/>
        </w:rPr>
        <w:t>, 160–64. “Seed” could designate an organizing or transformative principle without attributing biological life to metals in a strict sense.</w:t>
      </w:r>
    </w:p>
    <w:p w14:paraId="24334A04" w14:textId="77777777" w:rsidR="004918E3" w:rsidRPr="004918E3" w:rsidRDefault="004918E3" w:rsidP="004918E3">
      <w:pPr>
        <w:pStyle w:val="NoteEntry"/>
      </w:pPr>
      <w:r w:rsidRPr="004918E3">
        <w:rPr>
          <w:szCs w:val="28"/>
        </w:rPr>
        <w:t xml:space="preserve">6. William R. Newman, </w:t>
      </w:r>
      <w:r w:rsidRPr="004918E3">
        <w:rPr>
          <w:i/>
          <w:iCs/>
          <w:szCs w:val="28"/>
        </w:rPr>
        <w:t>Atoms and Alchemy: Chymistry and the Experimental Origins of the Scientific Revolution</w:t>
      </w:r>
      <w:r w:rsidRPr="004918E3">
        <w:rPr>
          <w:szCs w:val="28"/>
        </w:rPr>
        <w:t xml:space="preserve"> (Chicago: University of Chicago Press, 2006), 23–44.</w:t>
      </w:r>
    </w:p>
    <w:p w14:paraId="5EAB5225" w14:textId="77777777" w:rsidR="004918E3" w:rsidRPr="004918E3" w:rsidRDefault="004918E3" w:rsidP="004918E3">
      <w:pPr>
        <w:pStyle w:val="NoteEntry"/>
      </w:pPr>
      <w:r w:rsidRPr="004918E3">
        <w:rPr>
          <w:szCs w:val="28"/>
        </w:rPr>
        <w:t xml:space="preserve">7. Principe, </w:t>
      </w:r>
      <w:r w:rsidRPr="004918E3">
        <w:rPr>
          <w:i/>
          <w:iCs/>
          <w:szCs w:val="28"/>
        </w:rPr>
        <w:t>Secrets of Alchemy</w:t>
      </w:r>
      <w:r w:rsidRPr="004918E3">
        <w:rPr>
          <w:szCs w:val="28"/>
        </w:rPr>
        <w:t>, 163–70.</w:t>
      </w:r>
    </w:p>
    <w:p w14:paraId="6D7B3559" w14:textId="77777777" w:rsidR="004918E3" w:rsidRPr="004918E3" w:rsidRDefault="004918E3" w:rsidP="004918E3">
      <w:pPr>
        <w:pStyle w:val="NoteEntry"/>
      </w:pPr>
      <w:r w:rsidRPr="004918E3">
        <w:rPr>
          <w:szCs w:val="28"/>
        </w:rPr>
        <w:t xml:space="preserve">8. Nummedal, </w:t>
      </w:r>
      <w:r w:rsidRPr="004918E3">
        <w:rPr>
          <w:i/>
          <w:iCs/>
          <w:szCs w:val="28"/>
        </w:rPr>
        <w:t>Alchemy and Authority</w:t>
      </w:r>
      <w:r w:rsidRPr="004918E3">
        <w:rPr>
          <w:szCs w:val="28"/>
        </w:rPr>
        <w:t>, 17–39, especially 33–36.</w:t>
      </w:r>
    </w:p>
    <w:p w14:paraId="2ABA845B" w14:textId="77777777" w:rsidR="004918E3" w:rsidRPr="004918E3" w:rsidRDefault="004918E3" w:rsidP="004918E3">
      <w:pPr>
        <w:pStyle w:val="NoteEntry"/>
      </w:pPr>
      <w:r w:rsidRPr="004918E3">
        <w:rPr>
          <w:szCs w:val="28"/>
        </w:rPr>
        <w:t xml:space="preserve">9. Nummedal, </w:t>
      </w:r>
      <w:r w:rsidRPr="004918E3">
        <w:rPr>
          <w:i/>
          <w:iCs/>
          <w:szCs w:val="28"/>
        </w:rPr>
        <w:t>Alchemy and Authority</w:t>
      </w:r>
      <w:r w:rsidRPr="004918E3">
        <w:rPr>
          <w:szCs w:val="28"/>
        </w:rPr>
        <w:t>, 1–8, 96–118.</w:t>
      </w:r>
    </w:p>
    <w:p w14:paraId="5074559F" w14:textId="77777777" w:rsidR="004918E3" w:rsidRPr="004918E3" w:rsidRDefault="004918E3" w:rsidP="004918E3">
      <w:pPr>
        <w:pStyle w:val="NoteEntry"/>
      </w:pPr>
      <w:r w:rsidRPr="004918E3">
        <w:rPr>
          <w:szCs w:val="28"/>
        </w:rPr>
        <w:t xml:space="preserve">10. Nummedal, </w:t>
      </w:r>
      <w:r w:rsidRPr="004918E3">
        <w:rPr>
          <w:i/>
          <w:iCs/>
          <w:szCs w:val="28"/>
        </w:rPr>
        <w:t>Alchemy and Authority</w:t>
      </w:r>
      <w:r w:rsidRPr="004918E3">
        <w:rPr>
          <w:szCs w:val="28"/>
        </w:rPr>
        <w:t>, 40–72, 119–80.</w:t>
      </w:r>
    </w:p>
    <w:p w14:paraId="1A05A84E" w14:textId="77777777" w:rsidR="004918E3" w:rsidRPr="004918E3" w:rsidRDefault="004918E3" w:rsidP="004918E3">
      <w:pPr>
        <w:pStyle w:val="NoteEntry"/>
      </w:pPr>
      <w:r w:rsidRPr="004918E3">
        <w:rPr>
          <w:szCs w:val="28"/>
        </w:rPr>
        <w:t xml:space="preserve">11. Paracelsus, </w:t>
      </w:r>
      <w:r w:rsidRPr="004918E3">
        <w:rPr>
          <w:i/>
          <w:iCs/>
          <w:szCs w:val="28"/>
        </w:rPr>
        <w:t>Paragranum</w:t>
      </w:r>
      <w:r w:rsidRPr="004918E3">
        <w:rPr>
          <w:szCs w:val="28"/>
        </w:rPr>
        <w:t xml:space="preserve">, in </w:t>
      </w:r>
      <w:r w:rsidRPr="004918E3">
        <w:rPr>
          <w:i/>
          <w:iCs/>
          <w:szCs w:val="28"/>
        </w:rPr>
        <w:t>Paracelsus: Essential Theoretical Writings</w:t>
      </w:r>
      <w:r w:rsidRPr="004918E3">
        <w:rPr>
          <w:szCs w:val="28"/>
        </w:rPr>
        <w:t>, ed. and trans. Andrew Weeks (Leiden: Brill, 2008), 211–57, especially 211–15.</w:t>
      </w:r>
    </w:p>
    <w:p w14:paraId="66166F42" w14:textId="77777777" w:rsidR="004918E3" w:rsidRPr="004918E3" w:rsidRDefault="004918E3" w:rsidP="004918E3">
      <w:pPr>
        <w:pStyle w:val="NoteEntry"/>
      </w:pPr>
      <w:r w:rsidRPr="004918E3">
        <w:rPr>
          <w:szCs w:val="28"/>
        </w:rPr>
        <w:t xml:space="preserve">12. Andrew Weeks, introduction to </w:t>
      </w:r>
      <w:r w:rsidRPr="004918E3">
        <w:rPr>
          <w:i/>
          <w:iCs/>
          <w:szCs w:val="28"/>
        </w:rPr>
        <w:t>Paracelsus: Essential Theoretical Writings</w:t>
      </w:r>
      <w:r w:rsidRPr="004918E3">
        <w:rPr>
          <w:szCs w:val="28"/>
        </w:rPr>
        <w:t xml:space="preserve">, 13–18; Paracelsus, </w:t>
      </w:r>
      <w:r w:rsidRPr="004918E3">
        <w:rPr>
          <w:i/>
          <w:iCs/>
          <w:szCs w:val="28"/>
        </w:rPr>
        <w:t>Opus Paramirum</w:t>
      </w:r>
      <w:r w:rsidRPr="004918E3">
        <w:rPr>
          <w:szCs w:val="28"/>
        </w:rPr>
        <w:t>, in the same volume, 299–501.</w:t>
      </w:r>
    </w:p>
    <w:p w14:paraId="05B7164A" w14:textId="77777777" w:rsidR="004918E3" w:rsidRPr="004918E3" w:rsidRDefault="004918E3" w:rsidP="004918E3">
      <w:pPr>
        <w:pStyle w:val="NoteEntry"/>
      </w:pPr>
      <w:r w:rsidRPr="004918E3">
        <w:rPr>
          <w:szCs w:val="28"/>
        </w:rPr>
        <w:t xml:space="preserve">13. Paracelsus, </w:t>
      </w:r>
      <w:r w:rsidRPr="004918E3">
        <w:rPr>
          <w:i/>
          <w:iCs/>
          <w:szCs w:val="28"/>
        </w:rPr>
        <w:t>Paragranum</w:t>
      </w:r>
      <w:r w:rsidRPr="004918E3">
        <w:rPr>
          <w:szCs w:val="28"/>
        </w:rPr>
        <w:t>, 211–57.</w:t>
      </w:r>
    </w:p>
    <w:p w14:paraId="5BDECA28" w14:textId="77777777" w:rsidR="004918E3" w:rsidRPr="004918E3" w:rsidRDefault="004918E3" w:rsidP="004918E3">
      <w:pPr>
        <w:pStyle w:val="NoteEntry"/>
      </w:pPr>
      <w:r w:rsidRPr="004918E3">
        <w:rPr>
          <w:szCs w:val="28"/>
        </w:rPr>
        <w:t>14. Weeks, introduction, 15–18.</w:t>
      </w:r>
    </w:p>
    <w:p w14:paraId="0CFE3FFE" w14:textId="77777777" w:rsidR="004918E3" w:rsidRPr="004918E3" w:rsidRDefault="004918E3" w:rsidP="004918E3">
      <w:pPr>
        <w:pStyle w:val="NoteEntry"/>
      </w:pPr>
      <w:r w:rsidRPr="004918E3">
        <w:rPr>
          <w:szCs w:val="28"/>
        </w:rPr>
        <w:t xml:space="preserve">15. Paracelsus, </w:t>
      </w:r>
      <w:r w:rsidRPr="004918E3">
        <w:rPr>
          <w:i/>
          <w:iCs/>
          <w:szCs w:val="28"/>
        </w:rPr>
        <w:t>Paragranum</w:t>
      </w:r>
      <w:r w:rsidRPr="004918E3">
        <w:rPr>
          <w:szCs w:val="28"/>
        </w:rPr>
        <w:t xml:space="preserve">, 211–57; Jakob Böhme, </w:t>
      </w:r>
      <w:r w:rsidRPr="004918E3">
        <w:rPr>
          <w:i/>
          <w:iCs/>
          <w:szCs w:val="28"/>
        </w:rPr>
        <w:t>The Signature of All Things</w:t>
      </w:r>
      <w:r w:rsidRPr="004918E3">
        <w:rPr>
          <w:szCs w:val="28"/>
        </w:rPr>
        <w:t xml:space="preserve"> (Santa Cruz, CA: Evinity Publishing, 2008), 15–29. The traditions are related but not identical; Böhme’s account is treated separately below.</w:t>
      </w:r>
    </w:p>
    <w:p w14:paraId="10E9B67D" w14:textId="77777777" w:rsidR="004918E3" w:rsidRPr="004918E3" w:rsidRDefault="004918E3" w:rsidP="004918E3">
      <w:pPr>
        <w:pStyle w:val="NoteEntry"/>
      </w:pPr>
      <w:r w:rsidRPr="004918E3">
        <w:rPr>
          <w:szCs w:val="28"/>
        </w:rPr>
        <w:t xml:space="preserve">16. Tara E. Nummedal, </w:t>
      </w:r>
      <w:r w:rsidRPr="004918E3">
        <w:rPr>
          <w:i/>
          <w:iCs/>
          <w:szCs w:val="28"/>
        </w:rPr>
        <w:t>Anna Zieglerin and the Lion’s Blood: Alchemy and End Times in Reformation Germany</w:t>
      </w:r>
      <w:r w:rsidRPr="004918E3">
        <w:rPr>
          <w:szCs w:val="28"/>
        </w:rPr>
        <w:t xml:space="preserve"> (Philadelphia: University of Pennsylvania Press, 2019), chaps. 4–5.</w:t>
      </w:r>
    </w:p>
    <w:p w14:paraId="710A8A43" w14:textId="77777777" w:rsidR="004918E3" w:rsidRPr="004918E3" w:rsidRDefault="004918E3" w:rsidP="004918E3">
      <w:pPr>
        <w:pStyle w:val="NoteEntry"/>
      </w:pPr>
      <w:r w:rsidRPr="004918E3">
        <w:rPr>
          <w:szCs w:val="28"/>
        </w:rPr>
        <w:t xml:space="preserve">17. Nummedal, </w:t>
      </w:r>
      <w:r w:rsidRPr="004918E3">
        <w:rPr>
          <w:i/>
          <w:iCs/>
          <w:szCs w:val="28"/>
        </w:rPr>
        <w:t>Anna Zieglerin and the Lion’s Blood</w:t>
      </w:r>
      <w:r w:rsidRPr="004918E3">
        <w:rPr>
          <w:szCs w:val="28"/>
        </w:rPr>
        <w:t>, introduction and chaps. 1, 4–5.</w:t>
      </w:r>
    </w:p>
    <w:p w14:paraId="3C6716AA" w14:textId="77777777" w:rsidR="004918E3" w:rsidRPr="004918E3" w:rsidRDefault="004918E3" w:rsidP="004918E3">
      <w:pPr>
        <w:pStyle w:val="NoteEntry"/>
      </w:pPr>
      <w:r w:rsidRPr="004918E3">
        <w:rPr>
          <w:szCs w:val="28"/>
        </w:rPr>
        <w:t xml:space="preserve">18. </w:t>
      </w:r>
      <w:r w:rsidRPr="004918E3">
        <w:rPr>
          <w:i/>
          <w:iCs/>
          <w:szCs w:val="28"/>
        </w:rPr>
        <w:t>Rosarium philosophorum, Donum Dei, Sol &amp; Luna</w:t>
      </w:r>
      <w:r w:rsidRPr="004918E3">
        <w:rPr>
          <w:szCs w:val="28"/>
        </w:rPr>
        <w:t>, manuscript, 1551, fol. 36r. The image is treated here as a material and textual witness, not as an autonomous key to a universal symbolic system.</w:t>
      </w:r>
    </w:p>
    <w:p w14:paraId="59DD4801" w14:textId="77777777" w:rsidR="004918E3" w:rsidRPr="004918E3" w:rsidRDefault="004918E3" w:rsidP="004918E3">
      <w:pPr>
        <w:pStyle w:val="NoteEntry"/>
      </w:pPr>
      <w:r w:rsidRPr="004918E3">
        <w:rPr>
          <w:szCs w:val="28"/>
        </w:rPr>
        <w:t xml:space="preserve">19. Principe, </w:t>
      </w:r>
      <w:r w:rsidRPr="004918E3">
        <w:rPr>
          <w:i/>
          <w:iCs/>
          <w:szCs w:val="28"/>
        </w:rPr>
        <w:t>Secrets of Alchemy</w:t>
      </w:r>
      <w:r w:rsidRPr="004918E3">
        <w:rPr>
          <w:szCs w:val="28"/>
        </w:rPr>
        <w:t>, 143–50.</w:t>
      </w:r>
    </w:p>
    <w:p w14:paraId="19203CCF" w14:textId="77777777" w:rsidR="004918E3" w:rsidRPr="004918E3" w:rsidRDefault="004918E3" w:rsidP="004918E3">
      <w:pPr>
        <w:pStyle w:val="NoteEntry"/>
      </w:pPr>
      <w:r w:rsidRPr="004918E3">
        <w:rPr>
          <w:szCs w:val="28"/>
        </w:rPr>
        <w:t xml:space="preserve">20. Böhme, </w:t>
      </w:r>
      <w:r w:rsidRPr="004918E3">
        <w:rPr>
          <w:i/>
          <w:iCs/>
          <w:szCs w:val="28"/>
        </w:rPr>
        <w:t>Signature of All Things</w:t>
      </w:r>
      <w:r w:rsidRPr="004918E3">
        <w:rPr>
          <w:szCs w:val="28"/>
        </w:rPr>
        <w:t>, 15–18.</w:t>
      </w:r>
    </w:p>
    <w:p w14:paraId="04C9A100" w14:textId="77777777" w:rsidR="004918E3" w:rsidRPr="004918E3" w:rsidRDefault="004918E3" w:rsidP="004918E3">
      <w:pPr>
        <w:pStyle w:val="NoteEntry"/>
      </w:pPr>
      <w:r w:rsidRPr="004918E3">
        <w:rPr>
          <w:szCs w:val="28"/>
        </w:rPr>
        <w:t xml:space="preserve">21. Böhme, </w:t>
      </w:r>
      <w:r w:rsidRPr="004918E3">
        <w:rPr>
          <w:i/>
          <w:iCs/>
          <w:szCs w:val="28"/>
        </w:rPr>
        <w:t>Signature of All Things</w:t>
      </w:r>
      <w:r w:rsidRPr="004918E3">
        <w:rPr>
          <w:szCs w:val="28"/>
        </w:rPr>
        <w:t>, 19–29.</w:t>
      </w:r>
    </w:p>
    <w:p w14:paraId="463241A2" w14:textId="77777777" w:rsidR="004918E3" w:rsidRPr="004918E3" w:rsidRDefault="004918E3" w:rsidP="004918E3">
      <w:pPr>
        <w:pStyle w:val="NoteEntry"/>
      </w:pPr>
      <w:r w:rsidRPr="004918E3">
        <w:rPr>
          <w:szCs w:val="28"/>
        </w:rPr>
        <w:t xml:space="preserve">22. Böhme, </w:t>
      </w:r>
      <w:r w:rsidRPr="004918E3">
        <w:rPr>
          <w:i/>
          <w:iCs/>
          <w:szCs w:val="28"/>
        </w:rPr>
        <w:t>Signature of All Things</w:t>
      </w:r>
      <w:r w:rsidRPr="004918E3">
        <w:rPr>
          <w:szCs w:val="28"/>
        </w:rPr>
        <w:t>, 43–54.</w:t>
      </w:r>
    </w:p>
    <w:p w14:paraId="110CCC61" w14:textId="77777777" w:rsidR="004918E3" w:rsidRPr="004918E3" w:rsidRDefault="004918E3" w:rsidP="004918E3">
      <w:pPr>
        <w:pStyle w:val="NoteEntry"/>
      </w:pPr>
      <w:r w:rsidRPr="004918E3">
        <w:rPr>
          <w:szCs w:val="28"/>
        </w:rPr>
        <w:t xml:space="preserve">23. Newman, </w:t>
      </w:r>
      <w:r w:rsidRPr="004918E3">
        <w:rPr>
          <w:i/>
          <w:iCs/>
          <w:szCs w:val="28"/>
        </w:rPr>
        <w:t>Atoms and Alchemy</w:t>
      </w:r>
      <w:r w:rsidRPr="004918E3">
        <w:rPr>
          <w:szCs w:val="28"/>
        </w:rPr>
        <w:t>, 1–22, 85–226.</w:t>
      </w:r>
    </w:p>
    <w:p w14:paraId="330967A0" w14:textId="77777777" w:rsidR="004918E3" w:rsidRPr="004918E3" w:rsidRDefault="004918E3" w:rsidP="004918E3">
      <w:pPr>
        <w:pStyle w:val="NoteEntry"/>
      </w:pPr>
      <w:r w:rsidRPr="004918E3">
        <w:rPr>
          <w:szCs w:val="28"/>
        </w:rPr>
        <w:t xml:space="preserve">24. Newman, </w:t>
      </w:r>
      <w:r w:rsidRPr="004918E3">
        <w:rPr>
          <w:i/>
          <w:iCs/>
          <w:szCs w:val="28"/>
        </w:rPr>
        <w:t>Atoms and Alchemy</w:t>
      </w:r>
      <w:r w:rsidRPr="004918E3">
        <w:rPr>
          <w:szCs w:val="28"/>
        </w:rPr>
        <w:t>, 85–156.</w:t>
      </w:r>
    </w:p>
    <w:p w14:paraId="0AD93C6C" w14:textId="77777777" w:rsidR="004918E3" w:rsidRPr="004918E3" w:rsidRDefault="004918E3" w:rsidP="004918E3">
      <w:pPr>
        <w:pStyle w:val="NoteEntry"/>
      </w:pPr>
      <w:r w:rsidRPr="004918E3">
        <w:rPr>
          <w:szCs w:val="28"/>
        </w:rPr>
        <w:t xml:space="preserve">25. Newman, </w:t>
      </w:r>
      <w:r w:rsidRPr="004918E3">
        <w:rPr>
          <w:i/>
          <w:iCs/>
          <w:szCs w:val="28"/>
        </w:rPr>
        <w:t>Atoms and Alchemy</w:t>
      </w:r>
      <w:r w:rsidRPr="004918E3">
        <w:rPr>
          <w:szCs w:val="28"/>
        </w:rPr>
        <w:t>, 157–216.</w:t>
      </w:r>
    </w:p>
    <w:p w14:paraId="4AEF9FCD" w14:textId="77777777" w:rsidR="004918E3" w:rsidRPr="004918E3" w:rsidRDefault="004918E3" w:rsidP="004918E3">
      <w:pPr>
        <w:pStyle w:val="NoteEntry"/>
      </w:pPr>
      <w:r w:rsidRPr="004918E3">
        <w:rPr>
          <w:szCs w:val="28"/>
        </w:rPr>
        <w:t xml:space="preserve">26. Newman, </w:t>
      </w:r>
      <w:r w:rsidRPr="004918E3">
        <w:rPr>
          <w:i/>
          <w:iCs/>
          <w:szCs w:val="28"/>
        </w:rPr>
        <w:t>Atoms and Alchemy</w:t>
      </w:r>
      <w:r w:rsidRPr="004918E3">
        <w:rPr>
          <w:szCs w:val="28"/>
        </w:rPr>
        <w:t>, 157–226.</w:t>
      </w:r>
    </w:p>
    <w:p w14:paraId="65D24786" w14:textId="77777777" w:rsidR="004918E3" w:rsidRPr="004918E3" w:rsidRDefault="004918E3" w:rsidP="004918E3">
      <w:pPr>
        <w:pStyle w:val="NoteEntry"/>
      </w:pPr>
      <w:r w:rsidRPr="004918E3">
        <w:rPr>
          <w:szCs w:val="28"/>
        </w:rPr>
        <w:t xml:space="preserve">27. Principe, </w:t>
      </w:r>
      <w:r w:rsidRPr="004918E3">
        <w:rPr>
          <w:i/>
          <w:iCs/>
          <w:szCs w:val="28"/>
        </w:rPr>
        <w:t>Secrets of Alchemy</w:t>
      </w:r>
      <w:r w:rsidRPr="004918E3">
        <w:rPr>
          <w:szCs w:val="28"/>
        </w:rPr>
        <w:t>, 107–72.</w:t>
      </w:r>
    </w:p>
    <w:p w14:paraId="4F0EC788" w14:textId="77777777" w:rsidR="004918E3" w:rsidRPr="004918E3" w:rsidRDefault="004918E3" w:rsidP="004918E3">
      <w:pPr>
        <w:pStyle w:val="NoteEntry"/>
      </w:pPr>
      <w:r w:rsidRPr="004918E3">
        <w:rPr>
          <w:szCs w:val="28"/>
        </w:rPr>
        <w:t xml:space="preserve">28. Newman, </w:t>
      </w:r>
      <w:r w:rsidRPr="004918E3">
        <w:rPr>
          <w:i/>
          <w:iCs/>
          <w:szCs w:val="28"/>
        </w:rPr>
        <w:t>Atoms and Alchemy</w:t>
      </w:r>
      <w:r w:rsidRPr="004918E3">
        <w:rPr>
          <w:szCs w:val="28"/>
        </w:rPr>
        <w:t>, 217–26.</w:t>
      </w:r>
    </w:p>
    <w:p w14:paraId="05097CCF" w14:textId="77777777" w:rsidR="004918E3" w:rsidRPr="004918E3" w:rsidRDefault="004918E3" w:rsidP="004918E3">
      <w:pPr>
        <w:pStyle w:val="NoteEntry"/>
      </w:pPr>
      <w:r w:rsidRPr="004918E3">
        <w:rPr>
          <w:szCs w:val="28"/>
        </w:rPr>
        <w:t xml:space="preserve">29. Nummedal, </w:t>
      </w:r>
      <w:r w:rsidRPr="004918E3">
        <w:rPr>
          <w:i/>
          <w:iCs/>
          <w:szCs w:val="28"/>
        </w:rPr>
        <w:t>Alchemy and Authority</w:t>
      </w:r>
      <w:r w:rsidRPr="004918E3">
        <w:rPr>
          <w:szCs w:val="28"/>
        </w:rPr>
        <w:t>, 17–39, 96–180.</w:t>
      </w:r>
    </w:p>
    <w:p w14:paraId="5805C0DA" w14:textId="77777777" w:rsidR="004918E3" w:rsidRPr="004918E3" w:rsidRDefault="004918E3" w:rsidP="004918E3">
      <w:pPr>
        <w:pStyle w:val="NoteEntry"/>
      </w:pPr>
      <w:r w:rsidRPr="004918E3">
        <w:rPr>
          <w:szCs w:val="28"/>
        </w:rPr>
        <w:t xml:space="preserve">30. Paracelsus, </w:t>
      </w:r>
      <w:r w:rsidRPr="004918E3">
        <w:rPr>
          <w:i/>
          <w:iCs/>
          <w:szCs w:val="28"/>
        </w:rPr>
        <w:t>Paragranum</w:t>
      </w:r>
      <w:r w:rsidRPr="004918E3">
        <w:rPr>
          <w:szCs w:val="28"/>
        </w:rPr>
        <w:t xml:space="preserve">, 211–57; Principe, </w:t>
      </w:r>
      <w:r w:rsidRPr="004918E3">
        <w:rPr>
          <w:i/>
          <w:iCs/>
          <w:szCs w:val="28"/>
        </w:rPr>
        <w:t>Secrets of Alchemy</w:t>
      </w:r>
      <w:r w:rsidRPr="004918E3">
        <w:rPr>
          <w:szCs w:val="28"/>
        </w:rPr>
        <w:t>, 181–206.</w:t>
      </w:r>
    </w:p>
    <w:p w14:paraId="6FC4591D" w14:textId="77777777" w:rsidR="005C6A4C" w:rsidRPr="005C6A4C" w:rsidRDefault="005C6A4C" w:rsidP="005C6A4C">
      <w:pPr>
        <w:pStyle w:val="ChapterHeading"/>
      </w:pPr>
      <w:bookmarkStart w:id="15" w:name="toc_chapter_12"/>
      <w:r>
        <w:rPr>
          <w:sz w:val="28"/>
        </w:rPr>
        <w:t>Chapter 12</w:t>
      </w:r>
      <w:r>
        <w:rPr>
          <w:sz w:val="28"/>
        </w:rPr>
        <w:br/>
      </w:r>
      <w:r>
        <w:t>Map, Clock, and Mine</w:t>
      </w:r>
      <w:bookmarkEnd w:id="15"/>
    </w:p>
    <w:p w14:paraId="5A9B9948" w14:textId="77777777" w:rsidR="005C6A4C" w:rsidRPr="005C6A4C" w:rsidRDefault="005C6A4C" w:rsidP="005C6A4C">
      <w:pPr>
        <w:pStyle w:val="SectionHeading"/>
      </w:pPr>
      <w:r w:rsidRPr="005C6A4C">
        <w:rPr>
          <w:bCs/>
          <w:szCs w:val="28"/>
        </w:rPr>
        <w:t>The Coastline Without a Center</w:t>
      </w:r>
    </w:p>
    <w:p w14:paraId="1E5440CA" w14:textId="77777777" w:rsidR="005C6A4C" w:rsidRPr="005C6A4C" w:rsidRDefault="005C6A4C" w:rsidP="005C6A4C">
      <w:pPr>
        <w:pStyle w:val="BookBody"/>
      </w:pPr>
      <w:r w:rsidRPr="005C6A4C">
        <w:rPr>
          <w:szCs w:val="28"/>
        </w:rPr>
        <w:t>A portolan chart does not begin with the world. It begins with a coastline. The Mediterranean lies on the parchment as an irregular band of coves, promontories, islands, harbors, and river mouths. Inland space is sparse; the sea is crossed by straight lines radiating from compass roses. Place-names crowd the shore and turn perpendicular to it, as though the names themselves had sailed in and tied up at the ports. Jerusalem may still be present, as may saints, sovereigns, monsters, and flags. But no sacred center determines the geometry. The chart is organized by possible movement.</w:t>
      </w:r>
    </w:p>
    <w:p w14:paraId="214652DC" w14:textId="77777777" w:rsidR="005C6A4C" w:rsidRPr="005C6A4C" w:rsidRDefault="005C6A4C" w:rsidP="005C6A4C">
      <w:pPr>
        <w:pStyle w:val="BookBody"/>
      </w:pPr>
      <w:r w:rsidRPr="005C6A4C">
        <w:rPr>
          <w:szCs w:val="28"/>
        </w:rPr>
        <w:t>To use it, a pilot places dividers on two points, reads distance against a scale, estimates direction across the network of wind lines, and relates the mark on parchment to a coast glimpsed from a moving deck. The chart does not abolish memory, story, or local experience. It condenses them into an object that can travel. Its accuracy is practical and uneven. The edge that matters is the edge against which a ship may break. A cape is important because it changes a course; an island because it shelters or obstructs; a harbor because it permits water, food, repair, trade, refuge, or attack.</w:t>
      </w:r>
    </w:p>
    <w:p w14:paraId="21E594B8" w14:textId="77777777" w:rsidR="005C6A4C" w:rsidRPr="005C6A4C" w:rsidRDefault="005C6A4C" w:rsidP="005C6A4C">
      <w:pPr>
        <w:pStyle w:val="BookBody"/>
      </w:pPr>
      <w:r w:rsidRPr="005C6A4C">
        <w:rPr>
          <w:szCs w:val="28"/>
        </w:rPr>
        <w:t>This is a different entrance into modernity from the one supplied by a philosopher alone. No sailor woke one morning having exchanged an enchanted cosmos for homogeneous extension. No clockmaker removed purpose from nature by fitting a toothed wheel. No mine owner, bookkeeper, or surveyor held a finished mechanical worldview and then applied it. The change moved through trained bodies, durable things, administrative routines, and repeated acts. Space became more nearly homogeneous because routes were plotted across it. Time became more nearly divisible because bells announced hours and work was coordinated by them. Land became more nearly surveyable because boundaries, rents, and taxes had to be fixed. Matter became more nearly extractable because shafts, pumps, assays, ledgers, forests, and furnaces were organized around yield.</w:t>
      </w:r>
      <w:r w:rsidRPr="005C6A4C">
        <w:rPr>
          <w:szCs w:val="28"/>
          <w:vertAlign w:val="superscript"/>
        </w:rPr>
        <w:t>1</w:t>
      </w:r>
    </w:p>
    <w:p w14:paraId="7F8725AA" w14:textId="77777777" w:rsidR="005C6A4C" w:rsidRPr="005C6A4C" w:rsidRDefault="005C6A4C" w:rsidP="005C6A4C">
      <w:pPr>
        <w:pStyle w:val="BookBody"/>
      </w:pPr>
      <w:r w:rsidRPr="005C6A4C">
        <w:rPr>
          <w:szCs w:val="28"/>
        </w:rPr>
        <w:t>The qualification “more nearly” is essential. Portolan charts did not depict a featureless mathematical plane, and their origins remain disputed. Mechanical clocks did not instantly make Europeans punctual or erase liturgical and seasonal time. Double-entry bookkeeping did not create capitalism. Standard measures remained local, negotiable, and politically contested for centuries. Mining had always altered landscapes, while early modern miners continued to speak of veins, juices, generation, and the living earth. The practices examined here overlapped, advanced at different speeds, and often preserved older meanings inside new operations.</w:t>
      </w:r>
    </w:p>
    <w:p w14:paraId="7EBCEE41" w14:textId="77777777" w:rsidR="005C6A4C" w:rsidRPr="005C6A4C" w:rsidRDefault="005C6A4C" w:rsidP="005C6A4C">
      <w:pPr>
        <w:pStyle w:val="BookBody"/>
      </w:pPr>
      <w:r w:rsidRPr="005C6A4C">
        <w:rPr>
          <w:szCs w:val="28"/>
        </w:rPr>
        <w:t>Yet together they changed what could be done. A coastal report could become a line on a chart used by a sailor who had never seen the reporting voyage. A bell could summon strangers to one hour. A ledger could distribute a single transaction between accounts and test whether the whole balanced. A survey could translate the slope of a mountain into triangles and the depth of an unseen tunnel. An assay could turn a sample into an expectation of the ore body’s value. These were not merely representations of a world already present. They reorganized action, and by reorganizing action they trained perception.</w:t>
      </w:r>
    </w:p>
    <w:p w14:paraId="310D2B6D" w14:textId="77777777" w:rsidR="005C6A4C" w:rsidRPr="005C6A4C" w:rsidRDefault="005C6A4C" w:rsidP="005C6A4C">
      <w:pPr>
        <w:pStyle w:val="BookBody"/>
      </w:pPr>
      <w:r w:rsidRPr="005C6A4C">
        <w:rPr>
          <w:szCs w:val="28"/>
        </w:rPr>
        <w:t>Alfred Crosby called the larger disposition “quantification”: an increasing preference for models that made experience commensurable through number, measure, and visual form. His synthesis usefully brings clocks, maps, perspective, music, and bookkeeping into one history. It also risks making a diverse Europe march too smoothly toward a single quantitative mentality. The evidence is more fractured. Exactness was demanded in some operations and unnecessary in others. A mariner might combine a measured altitude with dead reckoning, customary knowledge, prayer, and rumor. A merchant might keep precise accounts while conducting business through kinship and trust. A miner might survey a shaft geometrically and still judge a vein through traditional signs.</w:t>
      </w:r>
      <w:r w:rsidRPr="005C6A4C">
        <w:rPr>
          <w:szCs w:val="28"/>
          <w:vertAlign w:val="superscript"/>
        </w:rPr>
        <w:t>2</w:t>
      </w:r>
    </w:p>
    <w:p w14:paraId="6147B928" w14:textId="77777777" w:rsidR="005C6A4C" w:rsidRPr="005C6A4C" w:rsidRDefault="005C6A4C" w:rsidP="005C6A4C">
      <w:pPr>
        <w:pStyle w:val="BookBody"/>
      </w:pPr>
      <w:r w:rsidRPr="005C6A4C">
        <w:rPr>
          <w:szCs w:val="28"/>
        </w:rPr>
        <w:t>The decisive change was therefore not the victory of number over quality. It was the multiplication of situations in which a number could command an action. Coordinates directed ships; hours opened gates and ended labor; balances authorized accounts; dimensions fixed claims; assays attracted capital. Quantity entered a chain of consequence. Its power came from institutions and material arrangements capable of making people answer to it.</w:t>
      </w:r>
    </w:p>
    <w:p w14:paraId="17971517" w14:textId="77777777" w:rsidR="005C6A4C" w:rsidRPr="005C6A4C" w:rsidRDefault="005C6A4C" w:rsidP="005C6A4C">
      <w:pPr>
        <w:pStyle w:val="BookBody"/>
      </w:pPr>
      <w:r w:rsidRPr="005C6A4C">
        <w:rPr>
          <w:szCs w:val="28"/>
        </w:rPr>
        <w:t>This chapter asks how mapping, mechanical time, navigation, accounting, standardized measure, and mining remade the experienced world before mechanism was philosophically complete. Its protagonists are not the canonical founders of a new science but pilots, clockmakers, cartographers, merchants, notaries, surveyors, assayers, miners, smelters, printers, soldiers, enslaved laborers, and administrators. Their instruments gave genuine gains: safer routes, more reliable coordination, recoverable records, improved machines, more discriminating tests, and knowledge that could move beyond a single expert. The same instruments intensified conquest, taxation, dispossession, coerced labor, and extraction. Operational power does not divide cleanly into enlightenment and violence. The chart that saves a ship can guide a fleet. The ledger that exposes an error can turn a person into a cost. The pump that ventilates a mine can also make a deeper and more dangerous mine profitable.</w:t>
      </w:r>
    </w:p>
    <w:p w14:paraId="1A10D9DE" w14:textId="77777777" w:rsidR="005C6A4C" w:rsidRPr="005C6A4C" w:rsidRDefault="005C6A4C" w:rsidP="005C6A4C">
      <w:pPr>
        <w:pStyle w:val="SectionHeading"/>
      </w:pPr>
      <w:r w:rsidRPr="005C6A4C">
        <w:rPr>
          <w:bCs/>
          <w:szCs w:val="28"/>
        </w:rPr>
        <w:t>Lines for Going</w:t>
      </w:r>
    </w:p>
    <w:p w14:paraId="1382CA34" w14:textId="77777777" w:rsidR="005C6A4C" w:rsidRPr="005C6A4C" w:rsidRDefault="005C6A4C" w:rsidP="005C6A4C">
      <w:pPr>
        <w:pStyle w:val="BookBody"/>
      </w:pPr>
      <w:r w:rsidRPr="005C6A4C">
        <w:rPr>
          <w:szCs w:val="28"/>
        </w:rPr>
        <w:t>The earliest surviving portolan charts appeared around the end of the thirteenth century with a startlingly recognizable Mediterranean coastline. Their sudden emergence and impressive relative accuracy have made their origin one of cartography’s persistent problems. Roelof Nicolai’s geodetic study challenges the usual confidence that the charts could have been constructed simply by accumulating medieval compass bearings and estimated distances. He argues that their projection and accuracy exceed what that process can readily explain. His proposed conclusions remain controversial, but the controversy itself is instructive. A portolan is not a primitive modern map. It is a technically sophisticated object whose sources, geometry, and making cannot be reduced to a comforting story of gradual European improvement.</w:t>
      </w:r>
      <w:r w:rsidRPr="005C6A4C">
        <w:rPr>
          <w:szCs w:val="28"/>
          <w:vertAlign w:val="superscript"/>
        </w:rPr>
        <w:t>3</w:t>
      </w:r>
    </w:p>
    <w:p w14:paraId="1B93FB58" w14:textId="77777777" w:rsidR="005C6A4C" w:rsidRPr="005C6A4C" w:rsidRDefault="005C6A4C" w:rsidP="005C6A4C">
      <w:pPr>
        <w:pStyle w:val="BookBody"/>
      </w:pPr>
      <w:r w:rsidRPr="005C6A4C">
        <w:rPr>
          <w:szCs w:val="28"/>
        </w:rPr>
        <w:t>What can be said with greater confidence is what the charts privilege. They give coastlines far more detail than interiors. They mark ports densely, distinguish reefs and shoals, and cover the sea with direction lines. They belong with written portolans or rutters that list successive courses, landmarks, distances, anchorages, and hazards. Chart and sailing directions turn geographic knowledge into an itinerary. They answer not “What is the meaning of this region?” but “How does one get from here to there?”</w:t>
      </w:r>
    </w:p>
    <w:p w14:paraId="171E1944" w14:textId="77777777" w:rsidR="005C6A4C" w:rsidRPr="005C6A4C" w:rsidRDefault="005C6A4C" w:rsidP="005C6A4C">
      <w:pPr>
        <w:pStyle w:val="BookBody"/>
      </w:pPr>
      <w:r w:rsidRPr="005C6A4C">
        <w:rPr>
          <w:szCs w:val="28"/>
        </w:rPr>
        <w:t>That question still depends on embodied judgment. A line on parchment does not steer a vessel. Wind pushes the ship sideways; currents alter progress; clouds conceal celestial references; a magnetic compass may vary; an estimated speed may be wrong. The pilot watches water color, birds, swell, bottom samples, weather, and coast. He remembers how a headland appears from a particular direction. The lead line gives both depth and, when tallow brings up material, something of the seabed. The compass gives a heading but not a position. Dividers connect marks on a chart, but the marks acquire meaning only within a continuous labor of correction.</w:t>
      </w:r>
    </w:p>
    <w:p w14:paraId="78BC0550" w14:textId="77777777" w:rsidR="005C6A4C" w:rsidRPr="005C6A4C" w:rsidRDefault="005C6A4C" w:rsidP="005C6A4C">
      <w:pPr>
        <w:pStyle w:val="BookBody"/>
      </w:pPr>
      <w:r w:rsidRPr="005C6A4C">
        <w:rPr>
          <w:szCs w:val="28"/>
        </w:rPr>
        <w:t>J. H. Parry emphasizes that long before Atlantic expansion sailors possessed working charts, directions, straightedge, dividers, compass, and lead line adequate for familiar Mediterranean and western European routes. Their limitation was range. The techniques had developed within seas where voyages could often be related to known coasts and repeated corridors. The Atlantic demanded longer passages, different winds and currents, and methods that allowed a position—or at first, more reliably, a latitude—to be recorded when land was absent.</w:t>
      </w:r>
      <w:r w:rsidRPr="005C6A4C">
        <w:rPr>
          <w:szCs w:val="28"/>
          <w:vertAlign w:val="superscript"/>
        </w:rPr>
        <w:t>4</w:t>
      </w:r>
    </w:p>
    <w:p w14:paraId="6024D66E" w14:textId="77777777" w:rsidR="005C6A4C" w:rsidRPr="005C6A4C" w:rsidRDefault="005C6A4C" w:rsidP="005C6A4C">
      <w:pPr>
        <w:pStyle w:val="BookBody"/>
      </w:pPr>
      <w:r w:rsidRPr="005C6A4C">
        <w:rPr>
          <w:szCs w:val="28"/>
        </w:rPr>
        <w:t>The compass was crucial not because it made navigation automatic but because it converted direction into a repeatable relation. Winds had names and qualities; the compass card arranged them into a circle that could be divided and communicated. A course became something that another pilot could be told, a line another hand could lay across a chart. The mariner’s compass thus participated in a larger change from directional experience to directional notation. It did not eliminate the wind. It stabilized a reference through the wind’s variability.</w:t>
      </w:r>
    </w:p>
    <w:p w14:paraId="00432A48" w14:textId="77777777" w:rsidR="005C6A4C" w:rsidRPr="005C6A4C" w:rsidRDefault="005C6A4C" w:rsidP="005C6A4C">
      <w:pPr>
        <w:pStyle w:val="BookBody"/>
      </w:pPr>
      <w:r w:rsidRPr="005C6A4C">
        <w:rPr>
          <w:szCs w:val="28"/>
        </w:rPr>
        <w:t>The portolan’s web of lines can easily be mistaken for an early Cartesian grid. It is not. The lines radiate from centers and express bearings rather than universal coordinates. They form a practical network over a particular sea. Yet the chart trains an important abstraction: a course can be represented as a straight line across a surface even though the ship that follows it pitches, tacks, drifts, and never experiences the sea from above. The view from no deck becomes operationally useful to every deck.</w:t>
      </w:r>
    </w:p>
    <w:p w14:paraId="2BB9CA59" w14:textId="77777777" w:rsidR="005C6A4C" w:rsidRPr="005C6A4C" w:rsidRDefault="005C6A4C" w:rsidP="005C6A4C">
      <w:pPr>
        <w:pStyle w:val="BookBody"/>
      </w:pPr>
      <w:r w:rsidRPr="005C6A4C">
        <w:rPr>
          <w:szCs w:val="28"/>
        </w:rPr>
        <w:t>This separation between lived route and plotted line is one of the quiet revolutions of mapping. A traveler encounters places in sequence. The chart presents them simultaneously. Storm, fatigue, fear, and duration disappear from the line, which preserves direction and distance while discarding the ordeal by which they were learned. That subtraction is the source of its power. Because a voyage has been thinned into relations, its knowledge can be compared with another voyage and carried aboard another ship.</w:t>
      </w:r>
    </w:p>
    <w:p w14:paraId="11948909" w14:textId="77777777" w:rsidR="005C6A4C" w:rsidRPr="005C6A4C" w:rsidRDefault="005C6A4C" w:rsidP="005C6A4C">
      <w:pPr>
        <w:pStyle w:val="BookBody"/>
      </w:pPr>
      <w:r w:rsidRPr="005C6A4C">
        <w:rPr>
          <w:szCs w:val="28"/>
        </w:rPr>
        <w:t>But the line is never innocent. Ports marked for safety are also markets, customs points, naval bases, and targets. Coastal knowledge circulated unevenly because rulers and merchants treated charts as strategic property. Jerry Brotton’s history of early modern mapping follows stolen, purchased, copied, gifted, and diplomatically displayed maps. Their geographic information acquired value inside networks of trade and political rivalry. A chart could be a navigation aid, a courtly treasure, intelligence, and a claim to authority at once.</w:t>
      </w:r>
      <w:r w:rsidRPr="005C6A4C">
        <w:rPr>
          <w:szCs w:val="28"/>
          <w:vertAlign w:val="superscript"/>
        </w:rPr>
        <w:t>5</w:t>
      </w:r>
    </w:p>
    <w:p w14:paraId="0A59D1D3" w14:textId="77777777" w:rsidR="005C6A4C" w:rsidRPr="005C6A4C" w:rsidRDefault="005C6A4C" w:rsidP="005C6A4C">
      <w:pPr>
        <w:pStyle w:val="BookBody"/>
      </w:pPr>
      <w:r w:rsidRPr="005C6A4C">
        <w:rPr>
          <w:szCs w:val="28"/>
        </w:rPr>
        <w:t>The portolan’s achievement lies in this operational selection. It makes coastlines legible as a connected system of departures, bearings, distances, dangers, and arrivals. The sea is not emptied of life or providence. Sailors still inhabit a world of storms, vows, relics, luck, skill, and divine judgment. But across that world runs an increasingly durable second order: a set of lines for going.</w:t>
      </w:r>
    </w:p>
    <w:p w14:paraId="32D33DEE" w14:textId="77777777" w:rsidR="005C6A4C" w:rsidRPr="005C6A4C" w:rsidRDefault="005C6A4C" w:rsidP="005C6A4C">
      <w:pPr>
        <w:pStyle w:val="SectionHeading"/>
      </w:pPr>
      <w:r w:rsidRPr="005C6A4C">
        <w:rPr>
          <w:bCs/>
          <w:szCs w:val="28"/>
        </w:rPr>
        <w:t>The World on a Sheet</w:t>
      </w:r>
    </w:p>
    <w:p w14:paraId="6CFBA8BA" w14:textId="77777777" w:rsidR="005C6A4C" w:rsidRPr="005C6A4C" w:rsidRDefault="005C6A4C" w:rsidP="005C6A4C">
      <w:pPr>
        <w:pStyle w:val="BookBody"/>
      </w:pPr>
      <w:r w:rsidRPr="005C6A4C">
        <w:rPr>
          <w:szCs w:val="28"/>
        </w:rPr>
        <w:t>Oceanic navigation placed new pressure on the flat chart. A spherical earth was not an early modern discovery; learned Europeans had long known the earth to be spherical. The difficulty was practical and representational. How could positions on a globe be translated to a plane, and how could a route be drawn so that the line a pilot used corresponded to a constant compass bearing? Every projection preserves some relations by distorting others. A map of the world is therefore not a window but a controlled deformation.</w:t>
      </w:r>
    </w:p>
    <w:p w14:paraId="0D84DC89" w14:textId="77777777" w:rsidR="005C6A4C" w:rsidRPr="005C6A4C" w:rsidRDefault="005C6A4C" w:rsidP="005C6A4C">
      <w:pPr>
        <w:pStyle w:val="BookBody"/>
      </w:pPr>
      <w:r w:rsidRPr="005C6A4C">
        <w:rPr>
          <w:szCs w:val="28"/>
        </w:rPr>
        <w:t xml:space="preserve">The recovery and printing of Ptolemy’s </w:t>
      </w:r>
      <w:r w:rsidRPr="005C6A4C">
        <w:rPr>
          <w:i/>
          <w:iCs/>
          <w:szCs w:val="28"/>
        </w:rPr>
        <w:t>Geography</w:t>
      </w:r>
      <w:r w:rsidRPr="005C6A4C">
        <w:rPr>
          <w:szCs w:val="28"/>
        </w:rPr>
        <w:t xml:space="preserve"> offered a powerful coordinate language. Places could be assigned latitude and longitude and set within a graticule of parallels and meridians. Ptolemy also supplied projection methods for placing the sphere on a sheet. His data contained major errors, but the structure made correction possible. A newly reported coast could be entered into an ordered frame. The distinction matters: a list of places becomes a system when each point is related to every other through common coordinates.</w:t>
      </w:r>
      <w:r w:rsidRPr="005C6A4C">
        <w:rPr>
          <w:szCs w:val="28"/>
          <w:vertAlign w:val="superscript"/>
        </w:rPr>
        <w:t>6</w:t>
      </w:r>
    </w:p>
    <w:p w14:paraId="3D0D3C13" w14:textId="77777777" w:rsidR="005C6A4C" w:rsidRPr="005C6A4C" w:rsidRDefault="005C6A4C" w:rsidP="005C6A4C">
      <w:pPr>
        <w:pStyle w:val="BookBody"/>
      </w:pPr>
      <w:r w:rsidRPr="005C6A4C">
        <w:rPr>
          <w:szCs w:val="28"/>
        </w:rPr>
        <w:t>Latitude could be estimated from the altitude of the pole star or the midday sun with instruments and tables. Longitude was harder because it required comparing local time with the time at a reference meridian. The coordinate grid therefore promised a precision that practice could not yet deliver evenly. Early modern world maps contained measured latitudes, copied outlines, guessed longitudes, diplomatic manipulations, inherited errors, and imaginative filling. They were systematic without being uniformly exact.</w:t>
      </w:r>
    </w:p>
    <w:p w14:paraId="3FC6899B" w14:textId="77777777" w:rsidR="005C6A4C" w:rsidRPr="005C6A4C" w:rsidRDefault="005C6A4C" w:rsidP="005C6A4C">
      <w:pPr>
        <w:pStyle w:val="BookBody"/>
      </w:pPr>
      <w:r w:rsidRPr="005C6A4C">
        <w:rPr>
          <w:szCs w:val="28"/>
        </w:rPr>
        <w:t>Gerardus Mercator’s world map of 1569 addressed a navigational problem by enlarging the spacing of parallels toward the poles so that a constant compass bearing could be drawn as a straight line. The projection’s mathematical utility came with conspicuous distortion of area, especially at high latitudes. Its later ubiquity has made that distortion politically emblematic, but the historical point is more exact. Mercator did not simply make Europe look large in order to proclaim domination. He constructed a tool for plotting courses on a sphere represented as a plane. The projection’s uses and later cultural effects exceeded any single intention.</w:t>
      </w:r>
      <w:r w:rsidRPr="005C6A4C">
        <w:rPr>
          <w:szCs w:val="28"/>
          <w:vertAlign w:val="superscript"/>
        </w:rPr>
        <w:t>7</w:t>
      </w:r>
    </w:p>
    <w:p w14:paraId="3E99DDF2" w14:textId="77777777" w:rsidR="005C6A4C" w:rsidRPr="005C6A4C" w:rsidRDefault="005C6A4C" w:rsidP="005C6A4C">
      <w:pPr>
        <w:pStyle w:val="BookBody"/>
      </w:pPr>
      <w:r w:rsidRPr="005C6A4C">
        <w:rPr>
          <w:szCs w:val="28"/>
        </w:rPr>
        <w:t>To call the projected map homogeneous space is both true and insufficient. It is true because every location is placed within the same geometric field; no holy city needs to occupy the physical center, and the same mathematical operations can in principle be applied anywhere. It is insufficient because early modern maps remained crowded with unequal knowledge and unequal power. A blank inland region and a densely sounded coast are not epistemically equivalent. Decorative peoples, animals, ships, commodities, and sovereign arms return qualitative difference to the geometric sheet. Projection orders the surface; it does not cleanse it.</w:t>
      </w:r>
    </w:p>
    <w:p w14:paraId="2FE45033" w14:textId="77777777" w:rsidR="005C6A4C" w:rsidRPr="005C6A4C" w:rsidRDefault="005C6A4C" w:rsidP="005C6A4C">
      <w:pPr>
        <w:pStyle w:val="BookBody"/>
      </w:pPr>
      <w:r w:rsidRPr="005C6A4C">
        <w:rPr>
          <w:szCs w:val="28"/>
        </w:rPr>
        <w:t xml:space="preserve">Brotton’s </w:t>
      </w:r>
      <w:r w:rsidRPr="005C6A4C">
        <w:rPr>
          <w:i/>
          <w:iCs/>
          <w:szCs w:val="28"/>
        </w:rPr>
        <w:t>Trading Territories</w:t>
      </w:r>
      <w:r w:rsidRPr="005C6A4C">
        <w:rPr>
          <w:szCs w:val="28"/>
        </w:rPr>
        <w:t xml:space="preserve"> insists that maps be returned to the commercial and diplomatic transactions from which they arose. Portuguese sea power generated charts and globes that advertised command over routes and ports whose actual control might be precarious. The dispute between Portugal and Castile over the Moluccas turned cosmography into legal and diplomatic argument. Because longitude could not be determined objectively with adequate precision, cartographers could place the spice islands in ways favorable to patrons while retaining an appearance of technical authority. The map did not merely record a territorial dispute. It became one of the instruments by which the dispute was conducted.</w:t>
      </w:r>
      <w:r w:rsidRPr="005C6A4C">
        <w:rPr>
          <w:szCs w:val="28"/>
          <w:vertAlign w:val="superscript"/>
        </w:rPr>
        <w:t>8</w:t>
      </w:r>
    </w:p>
    <w:p w14:paraId="64E592B6" w14:textId="77777777" w:rsidR="005C6A4C" w:rsidRPr="005C6A4C" w:rsidRDefault="005C6A4C" w:rsidP="005C6A4C">
      <w:pPr>
        <w:pStyle w:val="BookBody"/>
      </w:pPr>
      <w:r w:rsidRPr="005C6A4C">
        <w:rPr>
          <w:szCs w:val="28"/>
        </w:rPr>
        <w:t>The stakes were immense because a line could distribute the globe. Papal grants, the Treaty of Tordesillas, and later negotiations projected jurisdiction across oceans that Europeans did not command and over peoples who had not consented. A meridian drawn in Europe claimed to divide navigation, trade, mission, and conquest elsewhere. Here abstraction reveals its political force. The line ignores the density of the lives it crosses precisely so that authority can be stated at planetary scale.</w:t>
      </w:r>
    </w:p>
    <w:p w14:paraId="563A3651" w14:textId="77777777" w:rsidR="005C6A4C" w:rsidRPr="005C6A4C" w:rsidRDefault="005C6A4C" w:rsidP="005C6A4C">
      <w:pPr>
        <w:pStyle w:val="BookBody"/>
      </w:pPr>
      <w:r w:rsidRPr="005C6A4C">
        <w:rPr>
          <w:szCs w:val="28"/>
        </w:rPr>
        <w:t>This did not make such claims effective by themselves. Brotton is careful to distinguish early maritime empires built around ports, routes, and commercial footholds from later regimes of deep territorial administration. A flag on a map could exceed power on the ground. But representational excess mattered. It invited investment, supported negotiation, trained expectation, and made distant possession imaginable as a coherent project.</w:t>
      </w:r>
    </w:p>
    <w:p w14:paraId="1242B857" w14:textId="77777777" w:rsidR="005C6A4C" w:rsidRPr="005C6A4C" w:rsidRDefault="005C6A4C" w:rsidP="005C6A4C">
      <w:pPr>
        <w:pStyle w:val="BookBody"/>
      </w:pPr>
      <w:r w:rsidRPr="005C6A4C">
        <w:rPr>
          <w:szCs w:val="28"/>
        </w:rPr>
        <w:t xml:space="preserve">Printing widened the map’s operational field. Abraham Ortelius’s </w:t>
      </w:r>
      <w:r w:rsidRPr="005C6A4C">
        <w:rPr>
          <w:i/>
          <w:iCs/>
          <w:szCs w:val="28"/>
        </w:rPr>
        <w:t>Theatrum Orbis Terrarum</w:t>
      </w:r>
      <w:r w:rsidRPr="005C6A4C">
        <w:rPr>
          <w:szCs w:val="28"/>
        </w:rPr>
        <w:t xml:space="preserve"> gathered selected regional maps into a portable and repeatedly marketable atlas. Mercator and Ortelius drew on classical geography, manuscript charts, reports of voyages, correspondence, engraving, publishing, and commercial networks. Their achievement was not solitary vision. It was compilation disciplined into a saleable form. Contradictory observations were made to inhabit the same book.</w:t>
      </w:r>
      <w:r w:rsidRPr="005C6A4C">
        <w:rPr>
          <w:szCs w:val="28"/>
          <w:vertAlign w:val="superscript"/>
        </w:rPr>
        <w:t>9</w:t>
      </w:r>
    </w:p>
    <w:p w14:paraId="24A69F33" w14:textId="77777777" w:rsidR="005C6A4C" w:rsidRPr="005C6A4C" w:rsidRDefault="005C6A4C" w:rsidP="005C6A4C">
      <w:pPr>
        <w:pStyle w:val="BookBody"/>
      </w:pPr>
      <w:r w:rsidRPr="005C6A4C">
        <w:rPr>
          <w:szCs w:val="28"/>
        </w:rPr>
        <w:t>The atlas permits a reader to turn the world page by page. Reports could be collated, errors exposed, and routes coordinated. Yet a projection hides the choices by which it preserves and distorts, and a coordinate can erase the violence through which a place was named, measured, or claimed. The more transparent the map appears, the easier it becomes to forget its making.</w:t>
      </w:r>
    </w:p>
    <w:p w14:paraId="273626D8" w14:textId="77777777" w:rsidR="005C6A4C" w:rsidRPr="005C6A4C" w:rsidRDefault="005C6A4C" w:rsidP="005C6A4C">
      <w:pPr>
        <w:pStyle w:val="BookBody"/>
      </w:pPr>
      <w:r w:rsidRPr="005C6A4C">
        <w:rPr>
          <w:szCs w:val="28"/>
        </w:rPr>
        <w:t>The world on a sheet is therefore a double achievement. It makes global relation thinkable and workable. It also gives power a surface on which to imagine itself without resistance. Homogeneous space does not arise when every place becomes the same. It arises when the same operation can be performed across places whose differences have been temporarily set aside.</w:t>
      </w:r>
    </w:p>
    <w:p w14:paraId="637CF29A" w14:textId="77777777" w:rsidR="005C6A4C" w:rsidRPr="005C6A4C" w:rsidRDefault="005C6A4C" w:rsidP="005C6A4C">
      <w:pPr>
        <w:pStyle w:val="SectionHeading"/>
      </w:pPr>
      <w:r w:rsidRPr="005C6A4C">
        <w:rPr>
          <w:bCs/>
          <w:szCs w:val="28"/>
        </w:rPr>
        <w:t>The People in the Margins</w:t>
      </w:r>
    </w:p>
    <w:p w14:paraId="4B73D862" w14:textId="77777777" w:rsidR="005C6A4C" w:rsidRPr="005C6A4C" w:rsidRDefault="005C6A4C" w:rsidP="005C6A4C">
      <w:pPr>
        <w:pStyle w:val="BookBody"/>
      </w:pPr>
      <w:r w:rsidRPr="005C6A4C">
        <w:rPr>
          <w:szCs w:val="28"/>
        </w:rPr>
        <w:t>Maps did not only organize coasts and territories. They organized human difference. Renaissance world maps and atlases often placed figures in regions: clothed rulers, naked families, hunters, cannibals, giants, Amazons, headless men, and bodies assembled from travel report, classical authority, rumor, commercial rivalry, and colonial propaganda. These figures are sometimes treated as decoration around an increasingly scientific core. Surekha Davies shows that they belonged to the map’s knowledge claims. Viewers read them comparatively. Location, climate, food, dress, settlement, bodily form, and custom were made to explain what kinds of people inhabited the earth.</w:t>
      </w:r>
      <w:r w:rsidRPr="005C6A4C">
        <w:rPr>
          <w:szCs w:val="28"/>
          <w:vertAlign w:val="superscript"/>
        </w:rPr>
        <w:t>10</w:t>
      </w:r>
    </w:p>
    <w:p w14:paraId="36410AA8" w14:textId="77777777" w:rsidR="005C6A4C" w:rsidRPr="005C6A4C" w:rsidRDefault="005C6A4C" w:rsidP="005C6A4C">
      <w:pPr>
        <w:pStyle w:val="BookBody"/>
      </w:pPr>
      <w:r w:rsidRPr="005C6A4C">
        <w:rPr>
          <w:szCs w:val="28"/>
        </w:rPr>
        <w:t>This was another form of operational selection. A population became a representative body or scene. Complex communities were reduced to a posture, costume, meal, weapon, or monstrous trait and fixed to a place. The image could then travel farther than the witness from whom it derived. Repetition stabilized association: Brazil with cannibalism, Patagonia with giants, Guiana with Amazons or headless men. The map did not merely locate a report. Placement gave the report ontological weight. A creature assigned to a region became part of what that region was thought to contain.</w:t>
      </w:r>
    </w:p>
    <w:p w14:paraId="7842ADD0" w14:textId="77777777" w:rsidR="005C6A4C" w:rsidRPr="005C6A4C" w:rsidRDefault="005C6A4C" w:rsidP="005C6A4C">
      <w:pPr>
        <w:pStyle w:val="BookBody"/>
      </w:pPr>
      <w:r w:rsidRPr="005C6A4C">
        <w:rPr>
          <w:szCs w:val="28"/>
        </w:rPr>
        <w:t>The process had legal consequences. Iberian debates over indigenous status, conversion, enslavement, and rule turned on claims about reason, civility, idolatry, warfare, and allegedly unnatural practices. Cannibalism was not an idle curiosity when it could be used to justify enslavement. Cartographic figures helped create publics for such categories. They rendered colonial argument visible at a glance.</w:t>
      </w:r>
    </w:p>
    <w:p w14:paraId="3112FC26" w14:textId="77777777" w:rsidR="005C6A4C" w:rsidRPr="005C6A4C" w:rsidRDefault="005C6A4C" w:rsidP="005C6A4C">
      <w:pPr>
        <w:pStyle w:val="BookBody"/>
      </w:pPr>
      <w:r w:rsidRPr="005C6A4C">
        <w:rPr>
          <w:szCs w:val="28"/>
        </w:rPr>
        <w:t>Yet the map’s classifications were not stable. Davies traces how different imperial and commercial interests produced different images of the same peoples. French Norman maps could emphasize exchange with Brazilians where Iberian accounts emphasized practices that authorized conquest. Ethnographic imagery arose from encounters, but experience never entered the map unmediated. It passed through translators, sailors, printers, merchants, missionaries, officials, and inherited visual conventions. The image’s apparent immediacy concealed a chain of interested hands.</w:t>
      </w:r>
      <w:r w:rsidRPr="005C6A4C">
        <w:rPr>
          <w:szCs w:val="28"/>
          <w:vertAlign w:val="superscript"/>
        </w:rPr>
        <w:t>11</w:t>
      </w:r>
    </w:p>
    <w:p w14:paraId="406013BF" w14:textId="77777777" w:rsidR="005C6A4C" w:rsidRPr="005C6A4C" w:rsidRDefault="005C6A4C" w:rsidP="005C6A4C">
      <w:pPr>
        <w:pStyle w:val="BookBody"/>
      </w:pPr>
      <w:r w:rsidRPr="005C6A4C">
        <w:rPr>
          <w:szCs w:val="28"/>
        </w:rPr>
        <w:t>The contradiction is sharp. The same cartographic culture that corrected coastlines could elaborate monsters. Better geographic location did not automatically produce more humane or more skeptical anthropology. New reports unsettled ancient authorities, but antiquity also supplied forms through which novelty was interpreted. A world made more spatially continuous could become more hierarchically divided among kinds of people.</w:t>
      </w:r>
    </w:p>
    <w:p w14:paraId="40E26D57" w14:textId="77777777" w:rsidR="005C6A4C" w:rsidRPr="005C6A4C" w:rsidRDefault="005C6A4C" w:rsidP="005C6A4C">
      <w:pPr>
        <w:pStyle w:val="BookBody"/>
      </w:pPr>
      <w:r w:rsidRPr="005C6A4C">
        <w:rPr>
          <w:szCs w:val="28"/>
        </w:rPr>
        <w:t>This is why the language of discovery must be used carefully. Europeans did not bring unknown lands into existence. They inserted reports of places and peoples into European systems of navigation, print, theology, commerce, and sovereignty. What was “discovered” was often a route for European action. The chart’s blank space could be filled because ships, traders, soldiers, missionaries, and settlers forced new encounters, not because the region had lacked history.</w:t>
      </w:r>
    </w:p>
    <w:p w14:paraId="49896C1C" w14:textId="77777777" w:rsidR="005C6A4C" w:rsidRPr="005C6A4C" w:rsidRDefault="005C6A4C" w:rsidP="005C6A4C">
      <w:pPr>
        <w:pStyle w:val="BookBody"/>
      </w:pPr>
      <w:r w:rsidRPr="005C6A4C">
        <w:rPr>
          <w:szCs w:val="28"/>
        </w:rPr>
        <w:t>This is not an argument against maps as such. A map can preserve indigenous place-names, expose routes of dispossession, and coordinate resistance as readily as it can serve empire. The point is that abstraction always requires a question: which relations are preserved for which action? Early modern cartography preserved what navigators, courts, merchants, and readers could use. The result joined extraordinary empirical labor to exclusions that were equally consequential.</w:t>
      </w:r>
    </w:p>
    <w:p w14:paraId="38054F48" w14:textId="77777777" w:rsidR="005C6A4C" w:rsidRPr="005C6A4C" w:rsidRDefault="005C6A4C" w:rsidP="005C6A4C">
      <w:pPr>
        <w:pStyle w:val="BookBody"/>
      </w:pPr>
      <w:r w:rsidRPr="005C6A4C">
        <w:rPr>
          <w:szCs w:val="28"/>
        </w:rPr>
        <w:t>The figures in the margins therefore belong at the center of this chapter’s argument. They show that rendering space operational also rendered persons administrable. Coasts became sequences of ports; territories became colored claims; peoples became regional types. The gain in reach was inseparable from a loss of reciprocity. Those represented rarely controlled the sheet on which their world was arranged.</w:t>
      </w:r>
    </w:p>
    <w:p w14:paraId="3EBF4038" w14:textId="77777777" w:rsidR="005C6A4C" w:rsidRPr="005C6A4C" w:rsidRDefault="005C6A4C" w:rsidP="005C6A4C">
      <w:pPr>
        <w:pStyle w:val="SectionHeading"/>
      </w:pPr>
      <w:r w:rsidRPr="005C6A4C">
        <w:rPr>
          <w:bCs/>
          <w:szCs w:val="28"/>
        </w:rPr>
        <w:t>The Bell Above the City</w:t>
      </w:r>
    </w:p>
    <w:p w14:paraId="4A0F6DA0" w14:textId="77777777" w:rsidR="005C6A4C" w:rsidRPr="005C6A4C" w:rsidRDefault="005C6A4C" w:rsidP="005C6A4C">
      <w:pPr>
        <w:pStyle w:val="BookBody"/>
      </w:pPr>
      <w:r w:rsidRPr="005C6A4C">
        <w:rPr>
          <w:szCs w:val="28"/>
        </w:rPr>
        <w:t>Before an hour was a uniform duration, it was a portion of daylight or darkness. Twelve daylight hours lengthened in summer and shortened in winter; the hours of night changed inversely. Monastic offices divided the day through prayer, while bells summoned communities to events whose timing could depend on season, custom, and local observation. Time was not unmeasured. It was plural, qualitative, and attached to activities.</w:t>
      </w:r>
    </w:p>
    <w:p w14:paraId="4CED5F54" w14:textId="77777777" w:rsidR="005C6A4C" w:rsidRPr="005C6A4C" w:rsidRDefault="005C6A4C" w:rsidP="005C6A4C">
      <w:pPr>
        <w:pStyle w:val="BookBody"/>
      </w:pPr>
      <w:r w:rsidRPr="005C6A4C">
        <w:rPr>
          <w:szCs w:val="28"/>
        </w:rPr>
        <w:t xml:space="preserve">The mechanical clock altered this order by producing hours through a device whose oscillation and gearing were, at least in principle, independent of daylight’s seasonal length. Its earliest development is obscure. Gerhard Dohrn-van Rossum dismantles legends of a single inventor and warns against treating monastic discipline as a sufficient cause. Medieval </w:t>
      </w:r>
      <w:r w:rsidRPr="005C6A4C">
        <w:rPr>
          <w:i/>
          <w:iCs/>
          <w:szCs w:val="28"/>
        </w:rPr>
        <w:t>horologia</w:t>
      </w:r>
      <w:r w:rsidRPr="005C6A4C">
        <w:rPr>
          <w:szCs w:val="28"/>
        </w:rPr>
        <w:t xml:space="preserve"> named different devices, and mechanical, weight-driven clocks emerged from a history that cannot be reduced to one institutional need. By the fourteenth century, however, striking clocks had become a public sensation, and authorities across European cities invested in towers, mechanisms, bells, and the specialists who maintained them.</w:t>
      </w:r>
      <w:r w:rsidRPr="005C6A4C">
        <w:rPr>
          <w:szCs w:val="28"/>
          <w:vertAlign w:val="superscript"/>
        </w:rPr>
        <w:t>12</w:t>
      </w:r>
    </w:p>
    <w:p w14:paraId="496EE8F0" w14:textId="77777777" w:rsidR="005C6A4C" w:rsidRPr="005C6A4C" w:rsidRDefault="005C6A4C" w:rsidP="005C6A4C">
      <w:pPr>
        <w:pStyle w:val="BookBody"/>
      </w:pPr>
      <w:r w:rsidRPr="005C6A4C">
        <w:rPr>
          <w:szCs w:val="28"/>
        </w:rPr>
        <w:t>Lewis Mumford famously called the clock, rather than the steam engine, the key machine of the industrial age. He linked its rise to monastic regularity and argued that it separated time from human events into measurable units. The formulation remains powerful because it recognizes that a machine can reorganize consciousness. It is historically too smooth. Public clocks did not impose a complete modern temporal regime upon a previously timeless society. They entered cities already dense with bells, markets, courts, labor customs, liturgies, astronomical calculation, and political ceremony. What changed was the reach and authority of a mechanically regulated public signal.</w:t>
      </w:r>
      <w:r w:rsidRPr="005C6A4C">
        <w:rPr>
          <w:szCs w:val="28"/>
          <w:vertAlign w:val="superscript"/>
        </w:rPr>
        <w:t>13</w:t>
      </w:r>
    </w:p>
    <w:p w14:paraId="3EEB2DB5" w14:textId="77777777" w:rsidR="005C6A4C" w:rsidRPr="005C6A4C" w:rsidRDefault="005C6A4C" w:rsidP="005C6A4C">
      <w:pPr>
        <w:pStyle w:val="BookBody"/>
      </w:pPr>
      <w:r w:rsidRPr="005C6A4C">
        <w:rPr>
          <w:szCs w:val="28"/>
        </w:rPr>
        <w:t>The tower clock is a material witness because it joins hidden mechanism to audible command. Most inhabitants do not inspect the escapement or gears. They hear the bell. Its stroke converts the motion of a device into a common announcement. A municipal hour can open or close gates, begin a council meeting, regulate a market, mark a curfew, summon workers, or display the city’s prestige. The clock becomes public not merely because it is visible but because institutions act when it sounds.</w:t>
      </w:r>
    </w:p>
    <w:p w14:paraId="5F454F85" w14:textId="77777777" w:rsidR="005C6A4C" w:rsidRPr="005C6A4C" w:rsidRDefault="005C6A4C" w:rsidP="005C6A4C">
      <w:pPr>
        <w:pStyle w:val="BookBody"/>
      </w:pPr>
      <w:r w:rsidRPr="005C6A4C">
        <w:rPr>
          <w:szCs w:val="28"/>
        </w:rPr>
        <w:t>Its regularity was imperfect. Early mechanisms drifted and required adjustment. Dials were not always present; bells could be heard farther than hands could be read. Different systems counted hours from different starting points. Clockmakers were needed because the supposed autonomy of the machine rested on maintenance. Yet an inaccurate clock could still transform temporal order if people were required to answer to the same inaccuracy.</w:t>
      </w:r>
    </w:p>
    <w:p w14:paraId="01088832" w14:textId="77777777" w:rsidR="005C6A4C" w:rsidRPr="005C6A4C" w:rsidRDefault="005C6A4C" w:rsidP="005C6A4C">
      <w:pPr>
        <w:pStyle w:val="BookBody"/>
      </w:pPr>
      <w:r w:rsidRPr="005C6A4C">
        <w:rPr>
          <w:szCs w:val="28"/>
        </w:rPr>
        <w:t>Work time changed gradually. Dohrn-van Rossum’s evidence on work bells, mining shifts, wages, and increasing precision shows no sudden birth of the timed working day. Agricultural labor still followed light, weather, task, and season. Craft work could be negotiated through custom. But bells could define a start, pause, or end; employers and workers could dispute whether the announced interval had been fulfilled; an hourly wage could turn duration into a commodity. The clock did not invent labor discipline, but it furnished a powerful instrument for specifying and contesting it.</w:t>
      </w:r>
      <w:r w:rsidRPr="005C6A4C">
        <w:rPr>
          <w:szCs w:val="28"/>
          <w:vertAlign w:val="superscript"/>
        </w:rPr>
        <w:t>14</w:t>
      </w:r>
    </w:p>
    <w:p w14:paraId="3F5DA8B3" w14:textId="77777777" w:rsidR="005C6A4C" w:rsidRPr="005C6A4C" w:rsidRDefault="005C6A4C" w:rsidP="005C6A4C">
      <w:pPr>
        <w:pStyle w:val="BookBody"/>
      </w:pPr>
      <w:r w:rsidRPr="005C6A4C">
        <w:rPr>
          <w:szCs w:val="28"/>
        </w:rPr>
        <w:t>The mine makes the connection unusually clear. Underground, daylight cannot organize work directly. Shifts, hauling, ventilation, pumping, and the movement of workers through shafts require coordination. Dohrn-van Rossum locates “working times underground” within the wider history of the measured working day. The mine is both a place where clock time becomes useful and a place where that utility can intensify control.</w:t>
      </w:r>
    </w:p>
    <w:p w14:paraId="071DC043" w14:textId="77777777" w:rsidR="005C6A4C" w:rsidRPr="005C6A4C" w:rsidRDefault="005C6A4C" w:rsidP="005C6A4C">
      <w:pPr>
        <w:pStyle w:val="BookBody"/>
      </w:pPr>
      <w:r w:rsidRPr="005C6A4C">
        <w:rPr>
          <w:szCs w:val="28"/>
        </w:rPr>
        <w:t>The change in perception was nevertheless profound. An event that occurs “at the third hour after sunrise” remains tied to a natural sign and seasonal duration. An event that occurs “at nine” belongs to an abstract sequence that repeats each day. The number can be announced in darkness, clouds, winter, or summer. Activities move within the hours rather than giving the hours their character.</w:t>
      </w:r>
    </w:p>
    <w:p w14:paraId="1B657221" w14:textId="77777777" w:rsidR="005C6A4C" w:rsidRPr="005C6A4C" w:rsidRDefault="005C6A4C" w:rsidP="005C6A4C">
      <w:pPr>
        <w:pStyle w:val="BookBody"/>
      </w:pPr>
      <w:r w:rsidRPr="005C6A4C">
        <w:rPr>
          <w:szCs w:val="28"/>
        </w:rPr>
        <w:t>This abstraction brought liberation as well as discipline. Meetings could be coordinated among people whose tasks differed. Records could specify sequence more reliably. Experiments, observations, medicines, travel, and contracts could use increasingly comparable durations. A worker could invoke the clock against an employer as well as an employer against a worker. The common hour created grounds for accountability precisely because it was no one person’s private estimate.</w:t>
      </w:r>
    </w:p>
    <w:p w14:paraId="1DD820C6" w14:textId="77777777" w:rsidR="005C6A4C" w:rsidRPr="005C6A4C" w:rsidRDefault="005C6A4C" w:rsidP="005C6A4C">
      <w:pPr>
        <w:pStyle w:val="BookBody"/>
      </w:pPr>
      <w:r w:rsidRPr="005C6A4C">
        <w:rPr>
          <w:szCs w:val="28"/>
        </w:rPr>
        <w:t>But the clock’s impartiality is limited. Equal hours do not make power equal. The person who owns the bell, writes the rule, or purchases another’s time decides which activities fill the interval. Mechanical time becomes socially effective where a schedule can be enforced. The living day does not disappear; hunger, fatigue, prayer, weather, and bodily rhythm continue. They are increasingly asked to fit inside a temporal grid that was made by machines and administered by institutions.</w:t>
      </w:r>
    </w:p>
    <w:p w14:paraId="076E1C08" w14:textId="77777777" w:rsidR="005C6A4C" w:rsidRPr="005C6A4C" w:rsidRDefault="005C6A4C" w:rsidP="005C6A4C">
      <w:pPr>
        <w:pStyle w:val="BookBody"/>
      </w:pPr>
      <w:r w:rsidRPr="005C6A4C">
        <w:rPr>
          <w:szCs w:val="28"/>
        </w:rPr>
        <w:t>The tower bell thus performs the same operation as the projected map. It takes a relation—before and after, here and there—and makes it available in a shared abstract form. The map lays a line across varied terrain; the clock lays an hour across varied activity. In each case the abstraction gains power when a community acts as if the interval were commensurable.</w:t>
      </w:r>
    </w:p>
    <w:p w14:paraId="2636190D" w14:textId="77777777" w:rsidR="005C6A4C" w:rsidRPr="005C6A4C" w:rsidRDefault="005C6A4C" w:rsidP="005C6A4C">
      <w:pPr>
        <w:pStyle w:val="SectionHeading"/>
      </w:pPr>
      <w:r w:rsidRPr="005C6A4C">
        <w:rPr>
          <w:bCs/>
          <w:szCs w:val="28"/>
        </w:rPr>
        <w:t>The Unfound Longitude</w:t>
      </w:r>
    </w:p>
    <w:p w14:paraId="046BDFC4" w14:textId="77777777" w:rsidR="005C6A4C" w:rsidRPr="005C6A4C" w:rsidRDefault="005C6A4C" w:rsidP="005C6A4C">
      <w:pPr>
        <w:pStyle w:val="BookBody"/>
      </w:pPr>
      <w:r w:rsidRPr="005C6A4C">
        <w:rPr>
          <w:szCs w:val="28"/>
        </w:rPr>
        <w:t>Latitude and longitude look like equivalent coordinates on a page. At sea they were radically unequal achievements. Latitude could be recovered by observing the altitude of a celestial body and consulting tables. Longitude required knowledge of the time difference between the ship’s location and a reference meridian. Because the earth turns through fifteen degrees in an hour, four minutes of time correspond to one degree of longitude. The principle is simple. The required observations, predictions, instruments, and timekeeping were not.</w:t>
      </w:r>
    </w:p>
    <w:p w14:paraId="39742617" w14:textId="77777777" w:rsidR="005C6A4C" w:rsidRPr="005C6A4C" w:rsidRDefault="005C6A4C" w:rsidP="005C6A4C">
      <w:pPr>
        <w:pStyle w:val="BookBody"/>
      </w:pPr>
      <w:r w:rsidRPr="005C6A4C">
        <w:rPr>
          <w:szCs w:val="28"/>
        </w:rPr>
        <w:t>This gap between conceptual clarity and operational capacity shaped centuries of navigation. A vessel could sail along a chosen latitude and still remain uncertain how far east or west it had traveled. Dead reckoning—estimating course, speed, and elapsed time—accumulated error. Wind and current altered progress unseen. Landfall might come early, late, or disastrously. Maps inherited the uncertainty because a coastline could be surveyed in latitude while its east-west position remained displaced.</w:t>
      </w:r>
    </w:p>
    <w:p w14:paraId="37E60990" w14:textId="77777777" w:rsidR="005C6A4C" w:rsidRPr="005C6A4C" w:rsidRDefault="005C6A4C" w:rsidP="005C6A4C">
      <w:pPr>
        <w:pStyle w:val="BookBody"/>
      </w:pPr>
      <w:r w:rsidRPr="005C6A4C">
        <w:rPr>
          <w:szCs w:val="28"/>
        </w:rPr>
        <w:t>The standard heroic story ends with John Harrison’s marine timekeepers in the eighteenth century. That ending lies beyond the principal chronology of this chapter, and its lateness is the point. The sixteenth-century proposal to carry reference time aboard a ship was nowhere near practical. A clock had to survive temperature changes, humidity, ship motion, wear, and a long voyage while losing or gaining only seconds a day. Astronomical alternatives—lunar distances, eclipses, occultations, and the satellites of Jupiter—required improved theory, prediction, instruments, tables, and calculation. The problem joined clockmaking, astronomy, mathematics, cartography, state finance, and seafaring because none could solve it alone.</w:t>
      </w:r>
      <w:r w:rsidRPr="005C6A4C">
        <w:rPr>
          <w:szCs w:val="28"/>
          <w:vertAlign w:val="superscript"/>
        </w:rPr>
        <w:t>15</w:t>
      </w:r>
    </w:p>
    <w:p w14:paraId="0F099E8D" w14:textId="77777777" w:rsidR="005C6A4C" w:rsidRPr="005C6A4C" w:rsidRDefault="005C6A4C" w:rsidP="005C6A4C">
      <w:pPr>
        <w:pStyle w:val="BookBody"/>
      </w:pPr>
      <w:r w:rsidRPr="005C6A4C">
        <w:rPr>
          <w:szCs w:val="28"/>
        </w:rPr>
        <w:t>The longitude problem therefore interrupts any easy claim that the world had already become a fully measured grid. The grid existed as an aspiration before positions could be fixed within it. Maps could display meridians more exactly than ships could know them. This mismatch created danger, but it also generated research. States offered rewards; observatories gathered data; instrument makers refined devices; mathematicians improved lunar theory; navigators tested procedures; clockmakers learned to control materials and friction.</w:t>
      </w:r>
    </w:p>
    <w:p w14:paraId="7F143467" w14:textId="77777777" w:rsidR="005C6A4C" w:rsidRPr="005C6A4C" w:rsidRDefault="005C6A4C" w:rsidP="005C6A4C">
      <w:pPr>
        <w:pStyle w:val="BookBody"/>
      </w:pPr>
      <w:r w:rsidRPr="005C6A4C">
        <w:rPr>
          <w:szCs w:val="28"/>
        </w:rPr>
        <w:t>Commercial and imperial motives were explicit. William Andrewes notes that the problem became urgent because exploration, colonization, naval competition, and trade placed wealth and lives at sea. Precision was pursued where power could use it. Accurate longitude would reduce wrecks and improve charts, but it would also make fleets more effective and colonial routes more reliable. Navigation’s gains cannot be detached from what navigated ships carried: commodities, guns, missionaries, administrators, settlers, captives, and disease.</w:t>
      </w:r>
      <w:r w:rsidRPr="005C6A4C">
        <w:rPr>
          <w:szCs w:val="28"/>
          <w:vertAlign w:val="superscript"/>
        </w:rPr>
        <w:t>16</w:t>
      </w:r>
    </w:p>
    <w:p w14:paraId="452B4190" w14:textId="77777777" w:rsidR="005C6A4C" w:rsidRPr="005C6A4C" w:rsidRDefault="005C6A4C" w:rsidP="005C6A4C">
      <w:pPr>
        <w:pStyle w:val="BookBody"/>
      </w:pPr>
      <w:r w:rsidRPr="005C6A4C">
        <w:rPr>
          <w:szCs w:val="28"/>
        </w:rPr>
        <w:t>This is true of operational knowledge more generally. Histories organized around inventions encourage a false sequence: device, revolution, new mentality. In practice the compass became powerful through charts, ships, training, routes, institutions, and recorded experience. The public clock required towers, maintenance, bells, authorities, and schedules. The ledger required commercial practice, numeracy, paper, legal standing, and audit. The mine pump required water power, timber, capital, labor, drainage channels, and a deposit valuable enough to justify the cost.</w:t>
      </w:r>
    </w:p>
    <w:p w14:paraId="277F0BC1" w14:textId="77777777" w:rsidR="005C6A4C" w:rsidRPr="005C6A4C" w:rsidRDefault="005C6A4C" w:rsidP="005C6A4C">
      <w:pPr>
        <w:pStyle w:val="BookBody"/>
      </w:pPr>
      <w:r w:rsidRPr="005C6A4C">
        <w:rPr>
          <w:szCs w:val="28"/>
        </w:rPr>
        <w:t>Pamela Long describes mines, arsenals, cities, shipyards, and building sites as “trading zones” where learned and practical specialists exchanged knowledge without becoming one homogeneous group. Navigational problems are exemplary. Sailors possessed embodied knowledge of ships and seas; cosmographers possessed geometric and astronomical techniques; instrument makers translated principles into manipulable brass and wood; printers circulated tables and manuals. Misunderstanding persisted, but useful coordination could occur across it.</w:t>
      </w:r>
      <w:r w:rsidRPr="005C6A4C">
        <w:rPr>
          <w:szCs w:val="28"/>
          <w:vertAlign w:val="superscript"/>
        </w:rPr>
        <w:t>17</w:t>
      </w:r>
    </w:p>
    <w:p w14:paraId="4FF2A7CE" w14:textId="77777777" w:rsidR="005C6A4C" w:rsidRPr="005C6A4C" w:rsidRDefault="005C6A4C" w:rsidP="005C6A4C">
      <w:pPr>
        <w:pStyle w:val="BookBody"/>
      </w:pPr>
      <w:r w:rsidRPr="005C6A4C">
        <w:rPr>
          <w:szCs w:val="28"/>
        </w:rPr>
        <w:t>The unresolved longitude also kept earth and heaven bound together. A position on the ocean depended on celestial motion and eventually on a portable clock disciplined by astronomical time at a reference place. Mapping the earth required observing the sky. The practical need to know where a ship was became an incentive to predict lunar and planetary motion more exactly. Here the material practices of Chapter 12 prepare the conceptual upheavals of Chapter 13. The mathematical heavens will not descend into history from pure contemplation. They are already being asked to locate cargo and bodies on a moving sea.</w:t>
      </w:r>
    </w:p>
    <w:p w14:paraId="2B1C689F" w14:textId="77777777" w:rsidR="005C6A4C" w:rsidRPr="005C6A4C" w:rsidRDefault="005C6A4C" w:rsidP="005C6A4C">
      <w:pPr>
        <w:pStyle w:val="BookBody"/>
      </w:pPr>
      <w:r w:rsidRPr="005C6A4C">
        <w:rPr>
          <w:szCs w:val="28"/>
        </w:rPr>
        <w:t>The unfound coordinate is therefore as important as the found one. It reveals the distance between imagining a measurable world and building the institutions that can measure it. That distance is filled by labor, error, experiment, wreckage, money, and time.</w:t>
      </w:r>
    </w:p>
    <w:p w14:paraId="7BE66CFB" w14:textId="77777777" w:rsidR="005C6A4C" w:rsidRPr="005C6A4C" w:rsidRDefault="005C6A4C" w:rsidP="005C6A4C">
      <w:pPr>
        <w:pStyle w:val="SectionHeading"/>
      </w:pPr>
      <w:r w:rsidRPr="005C6A4C">
        <w:rPr>
          <w:bCs/>
          <w:szCs w:val="28"/>
        </w:rPr>
        <w:t>The Balanced Page</w:t>
      </w:r>
    </w:p>
    <w:p w14:paraId="51EFD57D" w14:textId="77777777" w:rsidR="005C6A4C" w:rsidRPr="005C6A4C" w:rsidRDefault="005C6A4C" w:rsidP="005C6A4C">
      <w:pPr>
        <w:pStyle w:val="BookBody"/>
      </w:pPr>
      <w:r w:rsidRPr="005C6A4C">
        <w:rPr>
          <w:szCs w:val="28"/>
        </w:rPr>
        <w:t>The ledger makes no sound. Its discipline is visual. A transaction first entered in a daybook is transferred into a journal and then posted to accounts. Under double-entry bookkeeping, value does not appear once. It is distributed: what one account receives another gives; a debit is answered by a credit. The page becomes a field of relations in which money, goods, persons, expenses, obligations, and capital can be followed through a firm.</w:t>
      </w:r>
    </w:p>
    <w:p w14:paraId="78DE036F" w14:textId="77777777" w:rsidR="005C6A4C" w:rsidRPr="005C6A4C" w:rsidRDefault="005C6A4C" w:rsidP="005C6A4C">
      <w:pPr>
        <w:pStyle w:val="BookBody"/>
      </w:pPr>
      <w:r w:rsidRPr="005C6A4C">
        <w:rPr>
          <w:szCs w:val="28"/>
        </w:rPr>
        <w:t>Double entry developed in the commercial cities of late medieval Italy, before the Reformation and before Luca Pacioli described it in print in 1494. Pacioli did not invent the method. He organized and publicized practices already in use. This chronology matters because accounting has often been made to support confessional origin stories: Protestant discipline creates the rational capitalist, who creates exact bookkeeping. James Aho emphasizes that balances and double entry flourished in Catholic Florence, Genoa, and Venice and were described by a Franciscan friar. The ledger belongs to no simple march from Catholic ritual to Protestant rationality.</w:t>
      </w:r>
      <w:r w:rsidRPr="005C6A4C">
        <w:rPr>
          <w:szCs w:val="28"/>
          <w:vertAlign w:val="superscript"/>
        </w:rPr>
        <w:t>18</w:t>
      </w:r>
    </w:p>
    <w:p w14:paraId="7836B028" w14:textId="77777777" w:rsidR="005C6A4C" w:rsidRPr="005C6A4C" w:rsidRDefault="005C6A4C" w:rsidP="005C6A4C">
      <w:pPr>
        <w:pStyle w:val="BookBody"/>
      </w:pPr>
      <w:r w:rsidRPr="005C6A4C">
        <w:rPr>
          <w:szCs w:val="28"/>
        </w:rPr>
        <w:t>Nor did it by itself create capitalism. Merchants could accumulate, lend, invest, partner, and calculate with less elaborate records. Double entry could assist rational decision, but historians have questioned how frequently early merchants used it to compute overall profitability in a modern sense. The system’s power was broader and sometimes more modest. It made a chain of transactions recoverable. It offered evidence in disputes, allocated claims among partners and creditors, checked postings, and presented the firm as an ordered whole.</w:t>
      </w:r>
    </w:p>
    <w:p w14:paraId="6510F207" w14:textId="77777777" w:rsidR="005C6A4C" w:rsidRPr="005C6A4C" w:rsidRDefault="005C6A4C" w:rsidP="005C6A4C">
      <w:pPr>
        <w:pStyle w:val="BookBody"/>
      </w:pPr>
      <w:r w:rsidRPr="005C6A4C">
        <w:rPr>
          <w:szCs w:val="28"/>
        </w:rPr>
        <w:t>Aho’s reading restores a moral and rhetorical dimension to this order. For Pacioli, the ledger is not merely storage. It is an argument placed before an auditor. The daybook gathers the circumstances of transactions; the journal arranges them; the ledger presents the case. Clarity protects against litigation and supports claims to honest dealing. Entries often retained personal language even when the account named cash or merchandise. Goods “give”; persons and accounts “have”; debtors owe and creditors trust. The page turns exchange into a network of obligations among personified actors.</w:t>
      </w:r>
      <w:r w:rsidRPr="005C6A4C">
        <w:rPr>
          <w:szCs w:val="28"/>
          <w:vertAlign w:val="superscript"/>
        </w:rPr>
        <w:t>19</w:t>
      </w:r>
    </w:p>
    <w:p w14:paraId="5621EE5A" w14:textId="77777777" w:rsidR="005C6A4C" w:rsidRPr="005C6A4C" w:rsidRDefault="005C6A4C" w:rsidP="005C6A4C">
      <w:pPr>
        <w:pStyle w:val="BookBody"/>
      </w:pPr>
      <w:r w:rsidRPr="005C6A4C">
        <w:rPr>
          <w:szCs w:val="28"/>
        </w:rPr>
        <w:t xml:space="preserve">The ledger’s tests are material procedures of truth. Each journal item is marked as it is posted. The </w:t>
      </w:r>
      <w:r w:rsidRPr="005C6A4C">
        <w:rPr>
          <w:i/>
          <w:iCs/>
          <w:szCs w:val="28"/>
        </w:rPr>
        <w:t>bilancio del libro</w:t>
      </w:r>
      <w:r w:rsidRPr="005C6A4C">
        <w:rPr>
          <w:szCs w:val="28"/>
        </w:rPr>
        <w:t xml:space="preserve"> checks ledger postings against journal entries. The </w:t>
      </w:r>
      <w:r w:rsidRPr="005C6A4C">
        <w:rPr>
          <w:i/>
          <w:iCs/>
          <w:szCs w:val="28"/>
        </w:rPr>
        <w:t>summa summarum</w:t>
      </w:r>
      <w:r w:rsidRPr="005C6A4C">
        <w:rPr>
          <w:szCs w:val="28"/>
        </w:rPr>
        <w:t>, or trial balance, compares total debits and credits. If the totals fail to agree, the bookkeeper must search for the error. Pacioli counsels against erasure because a clean disappearance would create suspicion; correction should leave the record’s integrity visible. Accuracy is produced by redundancy.</w:t>
      </w:r>
      <w:r w:rsidRPr="005C6A4C">
        <w:rPr>
          <w:szCs w:val="28"/>
          <w:vertAlign w:val="superscript"/>
        </w:rPr>
        <w:t>20</w:t>
      </w:r>
    </w:p>
    <w:p w14:paraId="6EC1DD8A" w14:textId="77777777" w:rsidR="005C6A4C" w:rsidRPr="005C6A4C" w:rsidRDefault="005C6A4C" w:rsidP="005C6A4C">
      <w:pPr>
        <w:pStyle w:val="BookBody"/>
      </w:pPr>
      <w:r w:rsidRPr="005C6A4C">
        <w:rPr>
          <w:szCs w:val="28"/>
        </w:rPr>
        <w:t>This is a crucial form of operational knowledge. The bookkeeper does not need to remember every exchange at once. The system externalizes memory and builds error detection into the arrangement. A balanced total does not prove that every transaction was honest or even correctly classified. Fraud can be entered twice. But the correspondence constrains mistakes and makes the books auditable. The page acquires authority because its parts test one another.</w:t>
      </w:r>
    </w:p>
    <w:p w14:paraId="1E5CF816" w14:textId="77777777" w:rsidR="005C6A4C" w:rsidRPr="005C6A4C" w:rsidRDefault="005C6A4C" w:rsidP="005C6A4C">
      <w:pPr>
        <w:pStyle w:val="BookBody"/>
      </w:pPr>
      <w:r w:rsidRPr="005C6A4C">
        <w:rPr>
          <w:szCs w:val="28"/>
        </w:rPr>
        <w:t>Balance also carries ethical force. Medieval commerce existed within sustained arguments about usury, just price, risk, restitution, charity, and avarice. Pacioli begins books in the name of God and treats trust as a merchant’s essential asset. Aho argues that the bilaterally balanced ledger could function as a moral apology: profit emerged from a sequence presented as reciprocal rights and duties. Mathematical equality lent an appearance of justice to the whole.</w:t>
      </w:r>
      <w:r w:rsidRPr="005C6A4C">
        <w:rPr>
          <w:szCs w:val="28"/>
          <w:vertAlign w:val="superscript"/>
        </w:rPr>
        <w:t>21</w:t>
      </w:r>
    </w:p>
    <w:p w14:paraId="6FA62EB1" w14:textId="77777777" w:rsidR="005C6A4C" w:rsidRPr="005C6A4C" w:rsidRDefault="005C6A4C" w:rsidP="005C6A4C">
      <w:pPr>
        <w:pStyle w:val="BookBody"/>
      </w:pPr>
      <w:r w:rsidRPr="005C6A4C">
        <w:rPr>
          <w:szCs w:val="28"/>
        </w:rPr>
        <w:t>That appearance could clarify and conceal. The ledger exposes unpaid debts, missing cash, and inconsistent records. It can reveal appropriation by an agent and protect a partner against deception. Yet because it registers what has been assigned an account and a value, it can make unpriced consequences disappear. Exhausted workers, damaged forests, polluted streams, seized land, and coerced labor may enter only as wages, timber, transport, tax, or cost—if they enter at all. Balance within the book does not guarantee balance in the world.</w:t>
      </w:r>
    </w:p>
    <w:p w14:paraId="555A402C" w14:textId="77777777" w:rsidR="005C6A4C" w:rsidRPr="005C6A4C" w:rsidRDefault="005C6A4C" w:rsidP="005C6A4C">
      <w:pPr>
        <w:pStyle w:val="BookBody"/>
      </w:pPr>
      <w:r w:rsidRPr="005C6A4C">
        <w:rPr>
          <w:szCs w:val="28"/>
        </w:rPr>
        <w:t>Crosby places double-entry bookkeeping within a wider shift toward visualizing quantity. The account page resembles the chart and clock in that it spatializes a process. Exchange occurs over time and across distances; the ledger gathers it into columns available to inspection. A merchant can see an enterprise as a set of commensurable movements. The firm acquires an abstract continuity beyond the presence of particular goods or people.</w:t>
      </w:r>
      <w:r w:rsidRPr="005C6A4C">
        <w:rPr>
          <w:szCs w:val="28"/>
          <w:vertAlign w:val="superscript"/>
        </w:rPr>
        <w:t>22</w:t>
      </w:r>
    </w:p>
    <w:p w14:paraId="025CCC34" w14:textId="77777777" w:rsidR="005C6A4C" w:rsidRPr="005C6A4C" w:rsidRDefault="005C6A4C" w:rsidP="005C6A4C">
      <w:pPr>
        <w:pStyle w:val="BookBody"/>
      </w:pPr>
      <w:r w:rsidRPr="005C6A4C">
        <w:rPr>
          <w:szCs w:val="28"/>
        </w:rPr>
        <w:t>The moral ambiguity lies in that elevated view. To coordinate a complex enterprise, the bookkeeper must strip transactions of much of their circumstance. A sack of pepper, a shipment of silver, a loan, a wage, and an enslaved person can all be translated into monetary entries. Commensurability enables comparison and control. It can also convert incomparable lives and materials into equivalents for decision.</w:t>
      </w:r>
    </w:p>
    <w:p w14:paraId="3D128FCD" w14:textId="77777777" w:rsidR="005C6A4C" w:rsidRPr="005C6A4C" w:rsidRDefault="005C6A4C" w:rsidP="005C6A4C">
      <w:pPr>
        <w:pStyle w:val="BookBody"/>
      </w:pPr>
      <w:r w:rsidRPr="005C6A4C">
        <w:rPr>
          <w:szCs w:val="28"/>
        </w:rPr>
        <w:t>The balanced page therefore does more than describe wealth. It produces a particular economic object: the enterprise as a calculable whole. Once the whole can be seen, it can be judged, divided, defended, expanded, or sold. The ledger trains its keeper to perceive circulation—where value came from, where it went, what remains, and what must be recovered. It makes profit not merely a fortunate outcome but a relation that can be followed.</w:t>
      </w:r>
    </w:p>
    <w:p w14:paraId="0C238C10" w14:textId="77777777" w:rsidR="005C6A4C" w:rsidRPr="005C6A4C" w:rsidRDefault="005C6A4C" w:rsidP="005C6A4C">
      <w:pPr>
        <w:pStyle w:val="BookBody"/>
      </w:pPr>
      <w:r w:rsidRPr="005C6A4C">
        <w:rPr>
          <w:szCs w:val="28"/>
        </w:rPr>
        <w:t>The transition from alchemical vessel to merchant ledger is less abrupt than it appears. Both enclose a process and ask the observer to interpret signs. The vessel contains material transformation; the ledger contains transactions. Both depend on sequence, skilled handling, and the detection of error. But the ledger’s ideal is more impersonal. Its balance should not depend on a secret adept. Another trained reader can inspect the page. Knowledge travels because the operation has been written into a form.</w:t>
      </w:r>
    </w:p>
    <w:p w14:paraId="4AC0EB19" w14:textId="77777777" w:rsidR="005C6A4C" w:rsidRPr="005C6A4C" w:rsidRDefault="005C6A4C" w:rsidP="005C6A4C">
      <w:pPr>
        <w:pStyle w:val="BookBody"/>
      </w:pPr>
      <w:r w:rsidRPr="005C6A4C">
        <w:rPr>
          <w:b/>
          <w:bCs/>
          <w:szCs w:val="28"/>
        </w:rPr>
        <w:t>Whose Measure?</w:t>
      </w:r>
    </w:p>
    <w:p w14:paraId="6607FB24" w14:textId="77777777" w:rsidR="005C6A4C" w:rsidRPr="005C6A4C" w:rsidRDefault="005C6A4C" w:rsidP="005C6A4C">
      <w:pPr>
        <w:pStyle w:val="BookBody"/>
      </w:pPr>
      <w:r w:rsidRPr="005C6A4C">
        <w:rPr>
          <w:szCs w:val="28"/>
        </w:rPr>
        <w:t>A field measured by the seed needed to sow it is not the same kind of field as one measured in hectares. A day’s plowing changes with soil, slope, animal, tool, season, and worker. A bushel may vary by place, commodity, and whether grain is heaped or struck level. A foot recalls a body; an ell a trade; a “morning” of land the labor that can be completed within a portion of the day. Traditional measures were not failed versions of abstract units. They carried information about use.</w:t>
      </w:r>
    </w:p>
    <w:p w14:paraId="5B3A84D8" w14:textId="77777777" w:rsidR="005C6A4C" w:rsidRPr="005C6A4C" w:rsidRDefault="005C6A4C" w:rsidP="005C6A4C">
      <w:pPr>
        <w:pStyle w:val="BookBody"/>
      </w:pPr>
      <w:r w:rsidRPr="005C6A4C">
        <w:rPr>
          <w:szCs w:val="28"/>
        </w:rPr>
        <w:t xml:space="preserve">Witold Kula’s </w:t>
      </w:r>
      <w:r w:rsidRPr="005C6A4C">
        <w:rPr>
          <w:i/>
          <w:iCs/>
          <w:szCs w:val="28"/>
        </w:rPr>
        <w:t>Measures and Men</w:t>
      </w:r>
      <w:r w:rsidRPr="005C6A4C">
        <w:rPr>
          <w:szCs w:val="28"/>
        </w:rPr>
        <w:t xml:space="preserve"> recovers this qualitative metrology. Old measures were representational and functional. Different things required different units because measurement expressed the relation between an object and a social practice. Cloth answered to the loom and arm; land to seed, labor, yield, dues, and subsistence; distance to travel and endurance. Exactitude was not absent. It was attached to purposes that modern conversion can obscure.</w:t>
      </w:r>
      <w:r w:rsidRPr="005C6A4C">
        <w:rPr>
          <w:szCs w:val="28"/>
          <w:vertAlign w:val="superscript"/>
        </w:rPr>
        <w:t>23</w:t>
      </w:r>
    </w:p>
    <w:p w14:paraId="6F073A77" w14:textId="77777777" w:rsidR="005C6A4C" w:rsidRPr="005C6A4C" w:rsidRDefault="005C6A4C" w:rsidP="005C6A4C">
      <w:pPr>
        <w:pStyle w:val="BookBody"/>
      </w:pPr>
      <w:r w:rsidRPr="005C6A4C">
        <w:rPr>
          <w:szCs w:val="28"/>
        </w:rPr>
        <w:t>This attachment explains why measures bearing the same name could differ without being meaningless. A land unit based on a day’s labor might cover more fertile or easier ground than poor or steep ground, yet represent a comparable productive burden. Kula notes that such arithmetically unequal areas could be more socially commensurable than equal hectares. For dividing holdings, assessing capacity, or assigning dues, the old measure might express what mattered better than a geometric surface.</w:t>
      </w:r>
      <w:r w:rsidRPr="005C6A4C">
        <w:rPr>
          <w:szCs w:val="28"/>
          <w:vertAlign w:val="superscript"/>
        </w:rPr>
        <w:t>24</w:t>
      </w:r>
    </w:p>
    <w:p w14:paraId="035AEBEF" w14:textId="77777777" w:rsidR="005C6A4C" w:rsidRPr="005C6A4C" w:rsidRDefault="005C6A4C" w:rsidP="005C6A4C">
      <w:pPr>
        <w:pStyle w:val="BookBody"/>
      </w:pPr>
      <w:r w:rsidRPr="005C6A4C">
        <w:rPr>
          <w:szCs w:val="28"/>
        </w:rPr>
        <w:t>To standardize was therefore to change the thing measured, not merely to improve accuracy. A uniform area strips away soil, crop, labor, and local custom so that parcels can be compared through geometry. This abstraction creates important gains. Contracts become more portable; fraud based on shifting containers can be challenged; merchants can compare prices; states can apportion taxes; builders can coordinate parts; observations can be communicated. A standard allows strangers to transact without sharing a whole form of life.</w:t>
      </w:r>
    </w:p>
    <w:p w14:paraId="5219D750" w14:textId="77777777" w:rsidR="005C6A4C" w:rsidRPr="005C6A4C" w:rsidRDefault="005C6A4C" w:rsidP="005C6A4C">
      <w:pPr>
        <w:pStyle w:val="BookBody"/>
      </w:pPr>
      <w:r w:rsidRPr="005C6A4C">
        <w:rPr>
          <w:szCs w:val="28"/>
        </w:rPr>
        <w:t>It also redistributes power. Measures were attributes of authority. Towns, lords, guilds, markets, and rulers guarded standards because control of the unit affected rent, tax, price, and obligation. A larger grain measure favors the receiver of dues; a smaller land unit can multiply the units assessed; a survey can expose customary expansion or redefine it as encroachment. Arguments over measure were arguments over who possessed the right to make reality official.</w:t>
      </w:r>
    </w:p>
    <w:p w14:paraId="4465E756" w14:textId="77777777" w:rsidR="005C6A4C" w:rsidRPr="005C6A4C" w:rsidRDefault="005C6A4C" w:rsidP="005C6A4C">
      <w:pPr>
        <w:pStyle w:val="BookBody"/>
      </w:pPr>
      <w:r w:rsidRPr="005C6A4C">
        <w:rPr>
          <w:szCs w:val="28"/>
        </w:rPr>
        <w:t>Kula’s Polish examples show peasants distrusting surveys for good reason. When a lord or crown ordered land remeasured, the result could increase dues by declaring customary holdings “overlarge.” Peasants resisted not because they could not understand geometry but because they understood its consequences. The surveyor’s chain did not enter an empty field. It entered a conflict among village, manor, church, and state.</w:t>
      </w:r>
      <w:r w:rsidRPr="005C6A4C">
        <w:rPr>
          <w:szCs w:val="28"/>
          <w:vertAlign w:val="superscript"/>
        </w:rPr>
        <w:t>25</w:t>
      </w:r>
    </w:p>
    <w:p w14:paraId="1468AED4" w14:textId="77777777" w:rsidR="005C6A4C" w:rsidRPr="005C6A4C" w:rsidRDefault="005C6A4C" w:rsidP="005C6A4C">
      <w:pPr>
        <w:pStyle w:val="BookBody"/>
      </w:pPr>
      <w:r w:rsidRPr="005C6A4C">
        <w:rPr>
          <w:szCs w:val="28"/>
        </w:rPr>
        <w:t>This is the political core of homogeneous space. A geometric measure treats each equal unit of land as equal for the purpose at hand. The purpose may be sale, inheritance, taxation, military supply, drainage, enclosure, or colonization. Once local relations are removed from the unit, land becomes more readily transferable. The same abstraction that makes a fairer comparison possible can detach a holding from the work and customary rights that sustained it.</w:t>
      </w:r>
    </w:p>
    <w:p w14:paraId="0F07B3AA" w14:textId="77777777" w:rsidR="005C6A4C" w:rsidRPr="005C6A4C" w:rsidRDefault="005C6A4C" w:rsidP="005C6A4C">
      <w:pPr>
        <w:pStyle w:val="BookBody"/>
      </w:pPr>
      <w:r w:rsidRPr="005C6A4C">
        <w:rPr>
          <w:szCs w:val="28"/>
        </w:rPr>
        <w:t>Standardization was slow and incomplete. Kula’s history of repeated failures in France before the metric system prevents any claim that the sixteenth century achieved universal measure. Local units persisted because they served interests, encoded practices, and were woven into language. Even rulers who desired “one weight and one measure” lacked administrative reach. The early modern period should be understood as an expansion of standardizing projects, not their completion.</w:t>
      </w:r>
      <w:r w:rsidRPr="005C6A4C">
        <w:rPr>
          <w:szCs w:val="28"/>
          <w:vertAlign w:val="superscript"/>
        </w:rPr>
        <w:t>26</w:t>
      </w:r>
    </w:p>
    <w:p w14:paraId="35844086" w14:textId="77777777" w:rsidR="005C6A4C" w:rsidRPr="005C6A4C" w:rsidRDefault="005C6A4C" w:rsidP="005C6A4C">
      <w:pPr>
        <w:pStyle w:val="BookBody"/>
      </w:pPr>
      <w:r w:rsidRPr="005C6A4C">
        <w:rPr>
          <w:szCs w:val="28"/>
        </w:rPr>
        <w:t>The map and ledger intensify those projects. Surveyed parcels can be entered into records; quantities can be priced; taxes can be totaled; inventories can travel to administrative centers. Measurement becomes powerful when joined to inscription. The chain laid across a field and the number written in a book belong to one operation.</w:t>
      </w:r>
    </w:p>
    <w:p w14:paraId="2DAC1E43" w14:textId="77777777" w:rsidR="005C6A4C" w:rsidRPr="005C6A4C" w:rsidRDefault="005C6A4C" w:rsidP="005C6A4C">
      <w:pPr>
        <w:pStyle w:val="BookBody"/>
      </w:pPr>
      <w:r w:rsidRPr="005C6A4C">
        <w:rPr>
          <w:szCs w:val="28"/>
        </w:rPr>
        <w:t>Colonial settings magnified the stakes. European grids, bounds, and property categories were imposed upon landscapes already organized through indigenous use, sovereignty, memory, and obligation. Mapping and measuring could render those relations invisible to colonial law. A territory described as vacant or insufficiently improved became available for grant, settlement, or extraction. The violence did not arise from geometry alone. It arose when institutions made geometric description superior to other claims.</w:t>
      </w:r>
    </w:p>
    <w:p w14:paraId="3F11B20D" w14:textId="77777777" w:rsidR="005C6A4C" w:rsidRPr="005C6A4C" w:rsidRDefault="005C6A4C" w:rsidP="005C6A4C">
      <w:pPr>
        <w:pStyle w:val="BookBody"/>
      </w:pPr>
      <w:r w:rsidRPr="005C6A4C">
        <w:rPr>
          <w:szCs w:val="28"/>
        </w:rPr>
        <w:t>The material witness here is the standard itself: rod, weight, container, chain, or marked measure kept by an authority. It promises impartiality because anyone can compare an object against it. But the standard must be guarded, copied, and enforced. Its neutrality rests on a decision about which body, commodity, labor, or place no longer defines the unit.</w:t>
      </w:r>
    </w:p>
    <w:p w14:paraId="24E88207" w14:textId="77777777" w:rsidR="005C6A4C" w:rsidRPr="005C6A4C" w:rsidRDefault="005C6A4C" w:rsidP="005C6A4C">
      <w:pPr>
        <w:pStyle w:val="BookBody"/>
      </w:pPr>
      <w:r w:rsidRPr="005C6A4C">
        <w:rPr>
          <w:szCs w:val="28"/>
        </w:rPr>
        <w:t>This is why quantification changed perception by reorganizing action. A field becomes visible as acreage when sale, tax, or survey requires acreage. A working day becomes visible as hours when wages or schedules require hours. A cargo becomes visible as standardized weight when accounts and tariffs require weight. The abstraction is learned through consequences. People see the unit because institutions act upon it.</w:t>
      </w:r>
    </w:p>
    <w:p w14:paraId="06D11034" w14:textId="77777777" w:rsidR="005C6A4C" w:rsidRPr="005C6A4C" w:rsidRDefault="005C6A4C" w:rsidP="005C6A4C">
      <w:pPr>
        <w:pStyle w:val="BookBody"/>
      </w:pPr>
      <w:r w:rsidRPr="005C6A4C">
        <w:rPr>
          <w:szCs w:val="28"/>
        </w:rPr>
        <w:t>Whose measure, then? The answer is never “number” by itself. It is the merchant’s, magistrate’s, guild’s, village’s, engineer’s, lord’s, crown’s, or surveyor’s measure, sometimes negotiated and sometimes imposed. Modern measure gains its strength by hiding that possessive. The unit appears to belong to nature. Its history remains inside the standard.</w:t>
      </w:r>
    </w:p>
    <w:p w14:paraId="1D673D36" w14:textId="77777777" w:rsidR="005C6A4C" w:rsidRPr="005C6A4C" w:rsidRDefault="005C6A4C" w:rsidP="005C6A4C">
      <w:pPr>
        <w:pStyle w:val="SectionHeading"/>
      </w:pPr>
      <w:r w:rsidRPr="005C6A4C">
        <w:rPr>
          <w:bCs/>
          <w:szCs w:val="28"/>
        </w:rPr>
        <w:t>The Shaft</w:t>
      </w:r>
    </w:p>
    <w:p w14:paraId="1CA3FB70" w14:textId="77777777" w:rsidR="005C6A4C" w:rsidRPr="005C6A4C" w:rsidRDefault="005C6A4C" w:rsidP="005C6A4C">
      <w:pPr>
        <w:pStyle w:val="BookBody"/>
      </w:pPr>
      <w:r w:rsidRPr="005C6A4C">
        <w:rPr>
          <w:szCs w:val="28"/>
        </w:rPr>
        <w:t xml:space="preserve">Georgius Agricola’s </w:t>
      </w:r>
      <w:r w:rsidRPr="005C6A4C">
        <w:rPr>
          <w:i/>
          <w:iCs/>
          <w:szCs w:val="28"/>
        </w:rPr>
        <w:t>De re metallica</w:t>
      </w:r>
      <w:r w:rsidRPr="005C6A4C">
        <w:rPr>
          <w:szCs w:val="28"/>
        </w:rPr>
        <w:t>, published in 1556, is one of the century’s great monuments to practical knowledge. Its twelve books move from the miner’s education and the choice of sites through veins, claims, surveying, shafts, machinery, assaying, ore preparation, smelting, separation, and the manufacture of mineral products. Hundreds of woodcuts open the mine to the reader: workers descend ladders, buckets rise, horses turn machines, waterwheels transmit force, bellows drive air, launders carry water, furnaces glow, and surveyors stretch cords across mountains.</w:t>
      </w:r>
    </w:p>
    <w:p w14:paraId="59F1C1B7" w14:textId="77777777" w:rsidR="005C6A4C" w:rsidRPr="005C6A4C" w:rsidRDefault="005C6A4C" w:rsidP="005C6A4C">
      <w:pPr>
        <w:pStyle w:val="BookBody"/>
      </w:pPr>
      <w:r w:rsidRPr="005C6A4C">
        <w:rPr>
          <w:szCs w:val="28"/>
        </w:rPr>
        <w:t>The book is not a philosophical declaration that matter is dead. Agricola still discusses veins and subterranean formation through inherited natural philosophy. His mine is embedded in law, custom, place, and human skill. Yet its organization makes the earth newly operational. The deposit is divided into problems that can be observed, measured, illustrated, taught, and managed. The mountain becomes a field of coordinated interventions.</w:t>
      </w:r>
    </w:p>
    <w:p w14:paraId="2AA17501" w14:textId="77777777" w:rsidR="005C6A4C" w:rsidRPr="005C6A4C" w:rsidRDefault="005C6A4C" w:rsidP="005C6A4C">
      <w:pPr>
        <w:pStyle w:val="BookBody"/>
      </w:pPr>
      <w:r w:rsidRPr="005C6A4C">
        <w:rPr>
          <w:szCs w:val="28"/>
        </w:rPr>
        <w:t>Agricola begins by defending mining against charges of sordidness, instability, danger, greed, and injury. He insists that the skilled miner requires knowledge of geology, medicine, astronomy, surveying, arithmetic, architecture, drawing, and law. Surveying determines how deep a shaft must be sunk to meet a tunnel and where underground boundaries lie. Arithmetic calculates machinery and operating costs. Architecture constructs timbering and machines. The mine is not brute digging. It is an interdisciplinary enterprise organized around extraction.</w:t>
      </w:r>
      <w:r w:rsidRPr="005C6A4C">
        <w:rPr>
          <w:szCs w:val="28"/>
          <w:vertAlign w:val="superscript"/>
        </w:rPr>
        <w:t>27</w:t>
      </w:r>
    </w:p>
    <w:p w14:paraId="0F1273F1" w14:textId="77777777" w:rsidR="005C6A4C" w:rsidRPr="005C6A4C" w:rsidRDefault="005C6A4C" w:rsidP="005C6A4C">
      <w:pPr>
        <w:pStyle w:val="BookBody"/>
      </w:pPr>
      <w:r w:rsidRPr="005C6A4C">
        <w:rPr>
          <w:szCs w:val="28"/>
        </w:rPr>
        <w:t>The shaft is its governing form. It makes vertical space into access. Descending through rock, it connects surface ownership, underground veins, workers, air, water, waste, and ore. Its depth is not visible from above, so measurement must create a relation between the unseen and the surveyed surface. Agricola describes cords, triangles, compass directions, inclinations, and instruments by which the surveyor estimates where tunnel and shaft will meet. Geometry reaches through opaque matter.</w:t>
      </w:r>
      <w:r w:rsidRPr="005C6A4C">
        <w:rPr>
          <w:szCs w:val="28"/>
          <w:vertAlign w:val="superscript"/>
        </w:rPr>
        <w:t>28</w:t>
      </w:r>
    </w:p>
    <w:p w14:paraId="51F6B074" w14:textId="77777777" w:rsidR="005C6A4C" w:rsidRPr="005C6A4C" w:rsidRDefault="005C6A4C" w:rsidP="005C6A4C">
      <w:pPr>
        <w:pStyle w:val="BookBody"/>
      </w:pPr>
      <w:r w:rsidRPr="005C6A4C">
        <w:rPr>
          <w:szCs w:val="28"/>
        </w:rPr>
        <w:t>It also settles property. Underground workings can cross beneath surface boundaries or encroach upon neighboring claims. The surveyor cuts marks in rock and supplies evidence for disputes. Homogeneous space enters the mountain as jurisdiction. A vein generated by nature is divided into legally delimited portions whose limits must be projected into darkness.</w:t>
      </w:r>
    </w:p>
    <w:p w14:paraId="7FDC2C0D" w14:textId="77777777" w:rsidR="005C6A4C" w:rsidRPr="005C6A4C" w:rsidRDefault="005C6A4C" w:rsidP="005C6A4C">
      <w:pPr>
        <w:pStyle w:val="BookBody"/>
      </w:pPr>
      <w:r w:rsidRPr="005C6A4C">
        <w:rPr>
          <w:szCs w:val="28"/>
        </w:rPr>
        <w:t>Water sets a material limit to depth. Shafts fill; tunnels flood; workers and ore must be lifted; stale and poisonous air accumulates. Book VI catalogs winding, pumping, and ventilating machines powered by people, horses, wind, or water. Conduits catch breezes and direct them downward. Fans force air into shafts. Bellows can supply fresh air or draw out heavy vapors. Waterwheels turn gearing continuously where streams permit. Each machine converts a local flow into a controlled service.</w:t>
      </w:r>
      <w:r w:rsidRPr="005C6A4C">
        <w:rPr>
          <w:szCs w:val="28"/>
          <w:vertAlign w:val="superscript"/>
        </w:rPr>
        <w:t>29</w:t>
      </w:r>
    </w:p>
    <w:p w14:paraId="3C92EDBA" w14:textId="77777777" w:rsidR="005C6A4C" w:rsidRPr="005C6A4C" w:rsidRDefault="005C6A4C" w:rsidP="005C6A4C">
      <w:pPr>
        <w:pStyle w:val="BookBody"/>
      </w:pPr>
      <w:r w:rsidRPr="005C6A4C">
        <w:rPr>
          <w:szCs w:val="28"/>
        </w:rPr>
        <w:t>The illustrations are more than ornament. They separate mechanisms into parts, label components, and allow the reader to imagine motion across a still page. A device built at one mine can be considered elsewhere. Pamela Long places such technical books within a growing exchange between artisans and learned readers. Mines became “trading zones” in which practical skill, investment, natural philosophy, state administration, and illustrated print met. The craft did not become disembodied science, but some of its operations became communicable beyond apprenticeship.</w:t>
      </w:r>
      <w:r w:rsidRPr="005C6A4C">
        <w:rPr>
          <w:szCs w:val="28"/>
          <w:vertAlign w:val="superscript"/>
        </w:rPr>
        <w:t>30</w:t>
      </w:r>
    </w:p>
    <w:p w14:paraId="6BB6CDE9" w14:textId="77777777" w:rsidR="005C6A4C" w:rsidRPr="005C6A4C" w:rsidRDefault="005C6A4C" w:rsidP="005C6A4C">
      <w:pPr>
        <w:pStyle w:val="BookBody"/>
      </w:pPr>
      <w:r w:rsidRPr="005C6A4C">
        <w:rPr>
          <w:szCs w:val="28"/>
        </w:rPr>
        <w:t>Agricola does not entirely remove the body. He acknowledges miners killed by pestilential air, lung disease, falling rock, ladders, and shafts. His answer is that dangers can often be mitigated by skill and precaution and that metals are necessary to civilized life. The argument holds benefits and costs together but resolves the dispute in favor of use. Metal tools support agriculture, building, clothing, medicine, and defense; abuse belongs to people rather than to the material.</w:t>
      </w:r>
      <w:r w:rsidRPr="005C6A4C">
        <w:rPr>
          <w:szCs w:val="28"/>
          <w:vertAlign w:val="superscript"/>
        </w:rPr>
        <w:t>31</w:t>
      </w:r>
    </w:p>
    <w:p w14:paraId="5F065F93" w14:textId="77777777" w:rsidR="005C6A4C" w:rsidRPr="005C6A4C" w:rsidRDefault="005C6A4C" w:rsidP="005C6A4C">
      <w:pPr>
        <w:pStyle w:val="BookBody"/>
      </w:pPr>
      <w:r w:rsidRPr="005C6A4C">
        <w:rPr>
          <w:szCs w:val="28"/>
        </w:rPr>
        <w:t>The defense resembles the ledger’s moral logic. Mining’s harms are entered, but the balance is declared positive because metals enable innumerable goods. This is not simple hypocrisy. Early modern life did depend on metal. The problem lies in how benefits and injuries are distributed. The person who receives a coin or tool may be far from the worker breathing dust, the forest cut for charcoal, or the stream carrying tailings.</w:t>
      </w:r>
    </w:p>
    <w:p w14:paraId="128D7507" w14:textId="77777777" w:rsidR="005C6A4C" w:rsidRPr="005C6A4C" w:rsidRDefault="005C6A4C" w:rsidP="005C6A4C">
      <w:pPr>
        <w:pStyle w:val="BookBody"/>
      </w:pPr>
      <w:r w:rsidRPr="005C6A4C">
        <w:rPr>
          <w:szCs w:val="28"/>
        </w:rPr>
        <w:t>The mine shaft reorganizes those distances. Capital supplied at court or by investors pays for pumps and timber. Surveyed claims define rights. Books and assays estimate yield. Machines make deeper extraction possible. Carts and waterways carry ore to furnaces; merchants carry metal into wider markets. Each link allows the decision to extract to be made farther from the site where extraction is suffered.</w:t>
      </w:r>
    </w:p>
    <w:p w14:paraId="57CF533A" w14:textId="77777777" w:rsidR="005C6A4C" w:rsidRPr="005C6A4C" w:rsidRDefault="005C6A4C" w:rsidP="005C6A4C">
      <w:pPr>
        <w:pStyle w:val="BookBody"/>
      </w:pPr>
      <w:r w:rsidRPr="005C6A4C">
        <w:rPr>
          <w:szCs w:val="28"/>
        </w:rPr>
        <w:t>Lewis Mumford saw early modern mining as a school of capitalist organization. Deeper operations demanded expensive drainage, ventilation, hauling, timbering, and smelting, encouraging outside investment, wage labor, and separation between ownership and work. His formulation is again too comprehensive to serve as a single cause. Mines differed, and capital, wage labor, and coercion had many histories. But the shaft makes his central perception visible: when access to matter depends on large coordinated systems, the organization of those systems becomes part of what matter is allowed to be.</w:t>
      </w:r>
      <w:r w:rsidRPr="005C6A4C">
        <w:rPr>
          <w:szCs w:val="28"/>
          <w:vertAlign w:val="superscript"/>
        </w:rPr>
        <w:t>32</w:t>
      </w:r>
    </w:p>
    <w:p w14:paraId="47B8AF10" w14:textId="77777777" w:rsidR="005C6A4C" w:rsidRPr="005C6A4C" w:rsidRDefault="005C6A4C" w:rsidP="005C6A4C">
      <w:pPr>
        <w:pStyle w:val="BookBody"/>
      </w:pPr>
      <w:r w:rsidRPr="005C6A4C">
        <w:rPr>
          <w:szCs w:val="28"/>
        </w:rPr>
        <w:t>The ore body does not present itself as a resource in isolation. It becomes a resource through roads, rights, prices, assays, labor, fuel, water, and machines. A vein too poor or deep for one arrangement may become profitable under another. Extractability is not merely a natural property. It is a relation between geology and organization.</w:t>
      </w:r>
    </w:p>
    <w:p w14:paraId="1320CE3C" w14:textId="77777777" w:rsidR="005C6A4C" w:rsidRPr="005C6A4C" w:rsidRDefault="005C6A4C" w:rsidP="005C6A4C">
      <w:pPr>
        <w:pStyle w:val="BookBody"/>
      </w:pPr>
      <w:r w:rsidRPr="005C6A4C">
        <w:rPr>
          <w:szCs w:val="28"/>
        </w:rPr>
        <w:t>The shaft therefore marks a decisive threshold in the death of the living cosmos. The earth may still be described as generating metals, but the mine increasingly treats subterranean time as an obstacle to human use. Instead of waiting for metals to mature within veins, the enterprise locates, tests, removes, crushes, washes, roasts, and smelts them. Alchemy accelerated nature in the vessel; mining dismantles the place in which natural generation was imagined to occur.</w:t>
      </w:r>
    </w:p>
    <w:p w14:paraId="6C9489F8" w14:textId="77777777" w:rsidR="005C6A4C" w:rsidRPr="005C6A4C" w:rsidRDefault="005C6A4C" w:rsidP="005C6A4C">
      <w:pPr>
        <w:pStyle w:val="SectionHeading"/>
      </w:pPr>
      <w:r w:rsidRPr="005C6A4C">
        <w:rPr>
          <w:bCs/>
          <w:szCs w:val="28"/>
        </w:rPr>
        <w:t>Earth Opened for Use</w:t>
      </w:r>
    </w:p>
    <w:p w14:paraId="197DD573" w14:textId="77777777" w:rsidR="005C6A4C" w:rsidRPr="005C6A4C" w:rsidRDefault="005C6A4C" w:rsidP="005C6A4C">
      <w:pPr>
        <w:pStyle w:val="BookBody"/>
      </w:pPr>
      <w:r w:rsidRPr="005C6A4C">
        <w:rPr>
          <w:szCs w:val="28"/>
        </w:rPr>
        <w:t xml:space="preserve">Carolyn Merchant made mining central to an influential history of the transition from an organic to a mechanical worldview. In </w:t>
      </w:r>
      <w:r w:rsidRPr="005C6A4C">
        <w:rPr>
          <w:i/>
          <w:iCs/>
          <w:szCs w:val="28"/>
        </w:rPr>
        <w:t>The Death of Nature</w:t>
      </w:r>
      <w:r w:rsidRPr="005C6A4C">
        <w:rPr>
          <w:szCs w:val="28"/>
        </w:rPr>
        <w:t>, the female earth of Renaissance imagery nourishes, generates, conceives, and suffers violation. Ancient and early modern authors could condemn mining as cutting into a mother’s body. By the seventeenth century, Merchant argues, images of mastery and mechanism helped remove ethical restraints upon drainage, deforestation, mining, and commercial exploitation. The earth underfoot changed alongside the heavens above.</w:t>
      </w:r>
      <w:r w:rsidRPr="005C6A4C">
        <w:rPr>
          <w:szCs w:val="28"/>
          <w:vertAlign w:val="superscript"/>
        </w:rPr>
        <w:t>33</w:t>
      </w:r>
    </w:p>
    <w:p w14:paraId="0B72550D" w14:textId="77777777" w:rsidR="005C6A4C" w:rsidRPr="005C6A4C" w:rsidRDefault="005C6A4C" w:rsidP="005C6A4C">
      <w:pPr>
        <w:pStyle w:val="BookBody"/>
      </w:pPr>
      <w:r w:rsidRPr="005C6A4C">
        <w:rPr>
          <w:szCs w:val="28"/>
        </w:rPr>
        <w:t>The argument captures a real and important connection among metaphor, economy, gender, and environmental action. It also requires care. There was no uniformly organic, protective society before mechanism. Europeans mined extensively while describing the earth as alive. Maternal imagery could authorize domination as well as restraint: a fertile mother might be expected to yield. Mechanical philosophies did not cause mining, and miners did not need Descartes or Bacon to cut a shaft. Material need, profit, war, coinage, state power, and craft knowledge already drove extraction.</w:t>
      </w:r>
    </w:p>
    <w:p w14:paraId="3C359702" w14:textId="77777777" w:rsidR="005C6A4C" w:rsidRPr="005C6A4C" w:rsidRDefault="005C6A4C" w:rsidP="005C6A4C">
      <w:pPr>
        <w:pStyle w:val="BookBody"/>
      </w:pPr>
      <w:r w:rsidRPr="005C6A4C">
        <w:rPr>
          <w:szCs w:val="28"/>
        </w:rPr>
        <w:t>Merchant’s strongest insight is not that one metaphor mechanically produced one behavior. It is that images establish what actions can appear normal, shameful, heroic, or necessary. A living earth can make extraction resemble injury. An inert store of matter can make the same action resemble neutral acquisition. Neither image determines conduct, but each distributes moral attention differently.</w:t>
      </w:r>
    </w:p>
    <w:p w14:paraId="6EEF05E9" w14:textId="77777777" w:rsidR="005C6A4C" w:rsidRPr="005C6A4C" w:rsidRDefault="005C6A4C" w:rsidP="005C6A4C">
      <w:pPr>
        <w:pStyle w:val="BookBody"/>
      </w:pPr>
      <w:r w:rsidRPr="005C6A4C">
        <w:rPr>
          <w:szCs w:val="28"/>
        </w:rPr>
        <w:t>Agricola’s Book I records the conflict before it is resolved. Critics charge that mining destroys fields and forests, endangers workers, excites greed, and supplies instruments of war. Agricola replies through utility, expertise, and the moral neutrality of metals. Money and iron are good or bad according to use; civilized life cannot do without them. The controversy shows that extraction needed justification precisely because its injuries were visible.</w:t>
      </w:r>
      <w:r w:rsidRPr="005C6A4C">
        <w:rPr>
          <w:szCs w:val="28"/>
          <w:vertAlign w:val="superscript"/>
        </w:rPr>
        <w:t>34</w:t>
      </w:r>
    </w:p>
    <w:p w14:paraId="62C2A1D8" w14:textId="77777777" w:rsidR="005C6A4C" w:rsidRPr="005C6A4C" w:rsidRDefault="005C6A4C" w:rsidP="005C6A4C">
      <w:pPr>
        <w:pStyle w:val="BookBody"/>
      </w:pPr>
      <w:r w:rsidRPr="005C6A4C">
        <w:rPr>
          <w:szCs w:val="28"/>
        </w:rPr>
        <w:t>The material practices then worked upon the metaphor. A mine surveyed into claims and represented as machines invites an engineer’s gaze. Ore samples assayed into expected yield invite an investor’s gaze. Timber counted as support and fuel invites an inventory. Water becomes power, obstacle, or drainage. The forest, stream, mountain, and laboring body enter the enterprise through functions.</w:t>
      </w:r>
    </w:p>
    <w:p w14:paraId="5FC7D261" w14:textId="77777777" w:rsidR="005C6A4C" w:rsidRPr="005C6A4C" w:rsidRDefault="005C6A4C" w:rsidP="005C6A4C">
      <w:pPr>
        <w:pStyle w:val="BookBody"/>
      </w:pPr>
      <w:r w:rsidRPr="005C6A4C">
        <w:rPr>
          <w:szCs w:val="28"/>
        </w:rPr>
        <w:t>This functional vision produces genuine knowledge. Agricola’s attention to tools, ventilation, pumps, ore preparation, assay, and occupational danger is not an ideological screen. It records and organizes difficult achievements. The mistake would be to imagine that accurate knowledge is politically innocent. The better the mine is understood as an extractive system, the more effectively extraction can proceed.</w:t>
      </w:r>
    </w:p>
    <w:p w14:paraId="0FDEB732" w14:textId="77777777" w:rsidR="005C6A4C" w:rsidRPr="005C6A4C" w:rsidRDefault="005C6A4C" w:rsidP="005C6A4C">
      <w:pPr>
        <w:pStyle w:val="BookBody"/>
      </w:pPr>
      <w:r w:rsidRPr="005C6A4C">
        <w:rPr>
          <w:szCs w:val="28"/>
        </w:rPr>
        <w:t>The colonial extension of this system multiplied both reach and violence. European navigation connected American silver, African and indigenous labor, Asian markets, and European warfare. Mines at places such as Potosí depended on imperial claims, coerced labor regimes, mercury processing, transport, and global demand. Chart, ledger, clock, and standard allowed extraction to be administered as circulation.</w:t>
      </w:r>
    </w:p>
    <w:p w14:paraId="6E26B87A" w14:textId="77777777" w:rsidR="005C6A4C" w:rsidRPr="005C6A4C" w:rsidRDefault="005C6A4C" w:rsidP="005C6A4C">
      <w:pPr>
        <w:pStyle w:val="BookBody"/>
      </w:pPr>
      <w:r w:rsidRPr="005C6A4C">
        <w:rPr>
          <w:szCs w:val="28"/>
        </w:rPr>
        <w:t>The concept of nature as “standing reserve” belongs to a later philosophical vocabulary, but its material preconditions are visible here. A forest can be imagined as so many loads of charcoal because mines and furnaces demand fuel. A deposit can be imagined as future coin because assay and price relate sample to market. A river can be imagined as horsepower because wheels transmit its motion. These perceptions are not false. They are partial truths made dominant by an enterprise.</w:t>
      </w:r>
    </w:p>
    <w:p w14:paraId="5E800CD1" w14:textId="77777777" w:rsidR="005C6A4C" w:rsidRPr="005C6A4C" w:rsidRDefault="005C6A4C" w:rsidP="005C6A4C">
      <w:pPr>
        <w:pStyle w:val="BookBody"/>
      </w:pPr>
      <w:r w:rsidRPr="005C6A4C">
        <w:rPr>
          <w:szCs w:val="28"/>
        </w:rPr>
        <w:t>What disappears is not all life but the authority of the place to define the terms of use. The mountain’s history matters as geology; the forest’s as fuel supply; the worker’s as capacity and cost. Relations that do not enter the operation lose decision-making weight. The living cosmos dies administratively before it dies philosophically.</w:t>
      </w:r>
    </w:p>
    <w:p w14:paraId="7178885D" w14:textId="77777777" w:rsidR="005C6A4C" w:rsidRPr="005C6A4C" w:rsidRDefault="005C6A4C" w:rsidP="005C6A4C">
      <w:pPr>
        <w:pStyle w:val="BookBody"/>
      </w:pPr>
      <w:r w:rsidRPr="005C6A4C">
        <w:rPr>
          <w:szCs w:val="28"/>
        </w:rPr>
        <w:t>This is why benefits and violence must remain in the same account. Metal tools make agriculture and surgery possible. Pumps drain mines and cities. Navigation joins communities and enlarges knowledge. Clocks coordinate care, worship, travel, and work. Standard measures expose cheating. Accounts preserve obligation. Maps permit rescue and return. None of these gains cancels dispossession, exploitation, or ecological damage. Nor do the harms make the knowledge unreal.</w:t>
      </w:r>
    </w:p>
    <w:p w14:paraId="38143AD7" w14:textId="77777777" w:rsidR="005C6A4C" w:rsidRPr="005C6A4C" w:rsidRDefault="005C6A4C" w:rsidP="005C6A4C">
      <w:pPr>
        <w:pStyle w:val="BookBody"/>
      </w:pPr>
      <w:r w:rsidRPr="005C6A4C">
        <w:rPr>
          <w:szCs w:val="28"/>
        </w:rPr>
        <w:t>The problem is not measurement but monopoly over what measurement is for. An assay can protect miners and buyers from fraud or help investors intensify a dangerous operation. A survey can defend customary rights or extinguish them. A chart can guide a ship away from shoals or toward conquest. An hour can limit a working day or make every pause appear stolen. Operational forms are ethically underdetermined until institutions attach consequences to them.</w:t>
      </w:r>
    </w:p>
    <w:p w14:paraId="7B222909" w14:textId="77777777" w:rsidR="005C6A4C" w:rsidRPr="005C6A4C" w:rsidRDefault="005C6A4C" w:rsidP="005C6A4C">
      <w:pPr>
        <w:pStyle w:val="BookBody"/>
      </w:pPr>
      <w:r w:rsidRPr="005C6A4C">
        <w:rPr>
          <w:szCs w:val="28"/>
        </w:rPr>
        <w:t>Merchant’s history therefore belongs here as a warning against accounts of scientific advance that price only intellectual gain. The earth was not killed by an idea in a philosopher’s study. It was rendered increasingly available through practices that could describe their own success in precise terms while leaving many costs outside the measure.</w:t>
      </w:r>
    </w:p>
    <w:p w14:paraId="688D43CA" w14:textId="77777777" w:rsidR="005C6A4C" w:rsidRPr="005C6A4C" w:rsidRDefault="005C6A4C" w:rsidP="005C6A4C">
      <w:pPr>
        <w:pStyle w:val="SectionHeading"/>
      </w:pPr>
      <w:r w:rsidRPr="005C6A4C">
        <w:rPr>
          <w:bCs/>
          <w:szCs w:val="28"/>
        </w:rPr>
        <w:t>An Operational World</w:t>
      </w:r>
    </w:p>
    <w:p w14:paraId="0E6E909A" w14:textId="77777777" w:rsidR="005C6A4C" w:rsidRPr="005C6A4C" w:rsidRDefault="005C6A4C" w:rsidP="005C6A4C">
      <w:pPr>
        <w:pStyle w:val="BookBody"/>
      </w:pPr>
      <w:r w:rsidRPr="005C6A4C">
        <w:rPr>
          <w:szCs w:val="28"/>
        </w:rPr>
        <w:t>Map, clock, compass, ledger, standard, and mine shaft do not share a single inventor, date, or doctrine. Their histories begin in different centuries and institutions. Some depend on ancient learning recovered through Arabic and Greek traditions; some on artisanal practice; some on merchants, monasteries, cities, courts, ships, or mines. Their convergence should not be mistaken for coordination by an invisible spirit of modernity.</w:t>
      </w:r>
    </w:p>
    <w:p w14:paraId="42AE0CDB" w14:textId="77777777" w:rsidR="005C6A4C" w:rsidRPr="005C6A4C" w:rsidRDefault="005C6A4C" w:rsidP="005C6A4C">
      <w:pPr>
        <w:pStyle w:val="BookBody"/>
      </w:pPr>
      <w:r w:rsidRPr="005C6A4C">
        <w:rPr>
          <w:szCs w:val="28"/>
        </w:rPr>
        <w:t>They nevertheless perform related acts. Each removes a relation from the immediate event and gives it a durable form. The chart extracts bearing and distance from a voyage. The clock extracts duration from the activity that fills it. The ledger extracts monetary relation from exchange. The standard extracts magnitude from local use. The survey extracts position from terrain. The assay extracts expected composition and yield from a sample. The operation preserves something by discarding something else.</w:t>
      </w:r>
    </w:p>
    <w:p w14:paraId="2A300E25" w14:textId="77777777" w:rsidR="005C6A4C" w:rsidRPr="005C6A4C" w:rsidRDefault="005C6A4C" w:rsidP="005C6A4C">
      <w:pPr>
        <w:pStyle w:val="BookBody"/>
      </w:pPr>
      <w:r w:rsidRPr="005C6A4C">
        <w:rPr>
          <w:szCs w:val="28"/>
        </w:rPr>
        <w:t>This selective reduction is the source of portability. The sailor need not repeat the first voyage to use its charted course. The merchant need not witness every transaction to inspect the ledger. The mine owner need not descend the shaft to consider the survey and assay. The magistrate need not know every field’s history to total its measured assessment. Knowledge can travel upward and outward because the local scene has been compressed.</w:t>
      </w:r>
    </w:p>
    <w:p w14:paraId="109B5A17" w14:textId="77777777" w:rsidR="005C6A4C" w:rsidRPr="005C6A4C" w:rsidRDefault="005C6A4C" w:rsidP="005C6A4C">
      <w:pPr>
        <w:pStyle w:val="BookBody"/>
      </w:pPr>
      <w:r w:rsidRPr="005C6A4C">
        <w:rPr>
          <w:szCs w:val="28"/>
        </w:rPr>
        <w:t>Compression alters authority. The person who can read the representation gains power over people whose knowledge remains embodied or local. A pilot’s report can be appropriated by a cosmographer; a worker’s time by an employer’s schedule; a peasant’s field by a survey; a miner’s judgment by a printed manual and investor’s calculation. Yet the dependency never vanishes. The map needs the voyage, the schedule the worker, the ledger the transaction, the assay the ore, and the book the craft. Operational modernity rests on what it subordinates.</w:t>
      </w:r>
    </w:p>
    <w:p w14:paraId="32DBE41F" w14:textId="77777777" w:rsidR="005C6A4C" w:rsidRPr="005C6A4C" w:rsidRDefault="005C6A4C" w:rsidP="005C6A4C">
      <w:pPr>
        <w:pStyle w:val="BookBody"/>
      </w:pPr>
      <w:r w:rsidRPr="005C6A4C">
        <w:rPr>
          <w:szCs w:val="28"/>
        </w:rPr>
        <w:t>Pamela Long’s artisan/practitioner helps keep this dependency visible. Navigators, instrument makers, engineers, miners, builders, potters, painters, surveyors, and apothecaries possessed values and methods—hands-on manipulation, observation, measurement, testing, individual experience—that increasingly entered learned investigations of nature. Long rejects both the story in which artisans simply cause the Scientific Revolution and the story in which ideas develop autonomously. The crucial process is exchange across blurred boundaries and specific “trading zones.”</w:t>
      </w:r>
      <w:r w:rsidRPr="005C6A4C">
        <w:rPr>
          <w:szCs w:val="28"/>
          <w:vertAlign w:val="superscript"/>
        </w:rPr>
        <w:t>35</w:t>
      </w:r>
    </w:p>
    <w:p w14:paraId="38CB42D8" w14:textId="77777777" w:rsidR="005C6A4C" w:rsidRPr="005C6A4C" w:rsidRDefault="005C6A4C" w:rsidP="005C6A4C">
      <w:pPr>
        <w:pStyle w:val="BookBody"/>
      </w:pPr>
      <w:r w:rsidRPr="005C6A4C">
        <w:rPr>
          <w:szCs w:val="28"/>
        </w:rPr>
        <w:t>The city itself is such a zone. Clocks require metalworkers, mathematicians, civic officials, patrons, and keepers. Maps require pilots, engravers, printers, merchants, diplomats, and readers. Mines require surveyors, assayers, carpenters, physicians, jurists, laborers, and engineers. No participant understands the whole system. A shared object—clock, chart, shaft, book—allows partial knowledges to cooperate.</w:t>
      </w:r>
    </w:p>
    <w:p w14:paraId="68D01A2E" w14:textId="77777777" w:rsidR="005C6A4C" w:rsidRPr="005C6A4C" w:rsidRDefault="005C6A4C" w:rsidP="005C6A4C">
      <w:pPr>
        <w:pStyle w:val="BookBody"/>
      </w:pPr>
      <w:r w:rsidRPr="005C6A4C">
        <w:rPr>
          <w:szCs w:val="28"/>
        </w:rPr>
        <w:t>This cooperation is one reason practices can change a worldview without anyone announcing the change. A person repeatedly acting within a measured arrangement learns its ontology. The surveyor learns to treat unseen underground space as geometrically continuous with the surface. The bookkeeper learns to treat diverse goods and obligations as commensurable entries. The clock-governed citizen learns to place activities within equal hours. The navigator learns to locate a moving body through relations among chart, compass, celestial angle, and time.</w:t>
      </w:r>
    </w:p>
    <w:p w14:paraId="12893C04" w14:textId="77777777" w:rsidR="005C6A4C" w:rsidRPr="005C6A4C" w:rsidRDefault="005C6A4C" w:rsidP="005C6A4C">
      <w:pPr>
        <w:pStyle w:val="BookBody"/>
      </w:pPr>
      <w:r w:rsidRPr="005C6A4C">
        <w:rPr>
          <w:szCs w:val="28"/>
        </w:rPr>
        <w:t>The resulting world is operational before it is mechanical. Its defining question is not yet “Of what inert particles is everything composed?” It is “Which intervention will produce a reliable result?” A route is good if it can be followed; a clock if it keeps an acceptable rate; an account if it can be reconciled; a survey if workings meet; an assay if the larger smelt confirms it; a pump if it drains the shaft. Reliability precedes philosophical unification.</w:t>
      </w:r>
    </w:p>
    <w:p w14:paraId="35D02F1C" w14:textId="77777777" w:rsidR="005C6A4C" w:rsidRPr="005C6A4C" w:rsidRDefault="005C6A4C" w:rsidP="005C6A4C">
      <w:pPr>
        <w:pStyle w:val="BookBody"/>
      </w:pPr>
      <w:r w:rsidRPr="005C6A4C">
        <w:rPr>
          <w:szCs w:val="28"/>
        </w:rPr>
        <w:t>This priority helps explain why older cosmologies persisted within effective techniques. An astrologically minded miner could survey accurately. A devout merchant could keep double-entry books in the name of God. A sailor could trust saints and a compass. A cartographer could place monsters within coordinates. Practice does not wait for ontological consistency. It stabilizes local relations while the larger meaning remains contested.</w:t>
      </w:r>
    </w:p>
    <w:p w14:paraId="0EAC0DDB" w14:textId="77777777" w:rsidR="005C6A4C" w:rsidRPr="005C6A4C" w:rsidRDefault="005C6A4C" w:rsidP="005C6A4C">
      <w:pPr>
        <w:pStyle w:val="BookBody"/>
      </w:pPr>
      <w:r w:rsidRPr="005C6A4C">
        <w:rPr>
          <w:szCs w:val="28"/>
        </w:rPr>
        <w:t>Nor does operational success inevitably produce mechanism. Long’s practitioners blur art and nature rather than simply making nature inert. The artisan’s capacity to imitate, transform, and investigate natural processes could elevate art as a collaborator with nature. Alchemy, discussed in Chapter 11, belongs to the same history of intervention. What pushes some practices toward mechanism is the increasing value placed on repeatability, commensurability, and explanations portable across places—not intervention alone.</w:t>
      </w:r>
    </w:p>
    <w:p w14:paraId="799C4560" w14:textId="77777777" w:rsidR="005C6A4C" w:rsidRPr="005C6A4C" w:rsidRDefault="005C6A4C" w:rsidP="005C6A4C">
      <w:pPr>
        <w:pStyle w:val="BookBody"/>
      </w:pPr>
      <w:r w:rsidRPr="005C6A4C">
        <w:rPr>
          <w:szCs w:val="28"/>
        </w:rPr>
        <w:t>Crosby’s “quantitative model” is strongest when understood at this level. The shift is not a sudden preference for number in every aspect of life. It is the growth of networks in which numbers, diagrams, and records can be acted upon at a distance. A quantity becomes consequential because a shipmaster, court, guild, tax office, merchant house, mine administration, or workshop has procedures attached to it.</w:t>
      </w:r>
      <w:r w:rsidRPr="005C6A4C">
        <w:rPr>
          <w:szCs w:val="28"/>
          <w:vertAlign w:val="superscript"/>
        </w:rPr>
        <w:t>36</w:t>
      </w:r>
    </w:p>
    <w:p w14:paraId="7B1E6444" w14:textId="77777777" w:rsidR="005C6A4C" w:rsidRPr="005C6A4C" w:rsidRDefault="005C6A4C" w:rsidP="005C6A4C">
      <w:pPr>
        <w:pStyle w:val="BookBody"/>
      </w:pPr>
      <w:r w:rsidRPr="005C6A4C">
        <w:rPr>
          <w:szCs w:val="28"/>
        </w:rPr>
        <w:t>The benefits are cumulative. Reliable records permit correction across generations. Printed diagrams enlarge the community of criticism. Common units allow findings to be compared. Clocks make observations temporally relatable. Maps integrate reports from multiple voyages. These forms create the infrastructure of collective knowledge. They reduce dependence on the memory and moral authority of one adept.</w:t>
      </w:r>
    </w:p>
    <w:p w14:paraId="57F97039" w14:textId="77777777" w:rsidR="005C6A4C" w:rsidRPr="005C6A4C" w:rsidRDefault="005C6A4C" w:rsidP="005C6A4C">
      <w:pPr>
        <w:pStyle w:val="BookBody"/>
      </w:pPr>
      <w:r w:rsidRPr="005C6A4C">
        <w:rPr>
          <w:szCs w:val="28"/>
        </w:rPr>
        <w:t>The violence is cumulative for the same reason. Administrative distance allows decision makers to command places they do not inhabit. A mapped territory can be claimed, a measured population taxed, a timed workforce intensified, a balanced enterprise expanded, a surveyed deposit financed. The very portability that supports shared inquiry also supports empire.</w:t>
      </w:r>
    </w:p>
    <w:p w14:paraId="17532DBA" w14:textId="77777777" w:rsidR="005C6A4C" w:rsidRPr="005C6A4C" w:rsidRDefault="005C6A4C" w:rsidP="005C6A4C">
      <w:pPr>
        <w:pStyle w:val="BookBody"/>
      </w:pPr>
      <w:r w:rsidRPr="005C6A4C">
        <w:rPr>
          <w:szCs w:val="28"/>
        </w:rPr>
        <w:t>Technological determinism would say that the instruments caused the new order. An idealist history would say that a new conception of reality created the instruments’ significance. The evidence requires a loop. Problems generate devices and procedures; devices reorganize action; repeated action trains perception; new perceptions generate further problems and institutions. The map changes navigation, navigation changes the map, and both change what governments and merchants imagine possible.</w:t>
      </w:r>
    </w:p>
    <w:p w14:paraId="6D0DE513" w14:textId="77777777" w:rsidR="005C6A4C" w:rsidRPr="005C6A4C" w:rsidRDefault="005C6A4C" w:rsidP="005C6A4C">
      <w:pPr>
        <w:pStyle w:val="BookBody"/>
      </w:pPr>
      <w:r w:rsidRPr="005C6A4C">
        <w:rPr>
          <w:szCs w:val="28"/>
        </w:rPr>
        <w:t>The loop has no single master. It is stabilized by interests, accidents, inherited forms, resistance, and material limits. Longitude refuses to be solved on schedule. Clocks drift. Mines flood. Ledgers fail to balance. Peasants resist surveys. Indigenous peoples contest maps and claims. Forests run short. The operational world is never frictionless. Its dream of transparency grows from repeated encounters with resistance.</w:t>
      </w:r>
    </w:p>
    <w:p w14:paraId="491A060F" w14:textId="77777777" w:rsidR="005C6A4C" w:rsidRPr="005C6A4C" w:rsidRDefault="005C6A4C" w:rsidP="005C6A4C">
      <w:pPr>
        <w:pStyle w:val="BookBody"/>
      </w:pPr>
      <w:r w:rsidRPr="005C6A4C">
        <w:rPr>
          <w:szCs w:val="28"/>
        </w:rPr>
        <w:t>That resistance matters for the history of the living cosmos. Nature does not become dead because it ceases to act. It becomes dead when its action is interpreted primarily as a variable to be controlled. Wind remains powerful but enters as force on course; water as drainage problem or wheel power; ore as grade and yield; daylight as a correction to clock time; land as measured area. Qualities survive, but they are increasingly subordinated to the operation’s goal.</w:t>
      </w:r>
    </w:p>
    <w:p w14:paraId="0667468B" w14:textId="77777777" w:rsidR="005C6A4C" w:rsidRPr="005C6A4C" w:rsidRDefault="005C6A4C" w:rsidP="005C6A4C">
      <w:pPr>
        <w:pStyle w:val="BookBody"/>
      </w:pPr>
      <w:r w:rsidRPr="005C6A4C">
        <w:rPr>
          <w:szCs w:val="28"/>
        </w:rPr>
        <w:t>The death is therefore selective. It is a loss of authority, not of activity. The world remains full of motion, danger, surprise, and life. What changes is which of those motions count as meaningful in public knowledge. The chart, clock, ledger, and mine do not prove that matter is inert. They teach institutions how to proceed as though the world’s own meanings need not be consulted.</w:t>
      </w:r>
    </w:p>
    <w:p w14:paraId="4309F4D9" w14:textId="77777777" w:rsidR="005C6A4C" w:rsidRPr="005C6A4C" w:rsidRDefault="005C6A4C" w:rsidP="005C6A4C">
      <w:pPr>
        <w:pStyle w:val="SectionHeading"/>
      </w:pPr>
      <w:r w:rsidRPr="005C6A4C">
        <w:rPr>
          <w:bCs/>
          <w:szCs w:val="28"/>
        </w:rPr>
        <w:t>Bacon Arrives Late</w:t>
      </w:r>
    </w:p>
    <w:p w14:paraId="70030511" w14:textId="77777777" w:rsidR="005C6A4C" w:rsidRPr="005C6A4C" w:rsidRDefault="005C6A4C" w:rsidP="005C6A4C">
      <w:pPr>
        <w:pStyle w:val="BookBody"/>
      </w:pPr>
      <w:r w:rsidRPr="005C6A4C">
        <w:rPr>
          <w:szCs w:val="28"/>
        </w:rPr>
        <w:t>Francis Bacon is often made the herald of a new relation to nature: knowledge as power, experiment as intervention, secrets extracted for human use. His language matters, and Chapter 15 will return to the larger programs that turn method into philosophy. Here chronology imposes a limit. By the time Bacon wrote at the end of the sixteenth and beginning of the seventeenth century, portolan charts had guided ships for centuries; public clocks had long sounded over cities; Italian merchants had kept double-entry ledgers; Ptolemaic coordinates had entered print; transoceanic voyages had redrawn maps; Agricola had described surveying, pumping, ventilation, assaying, and smelting; rulers and merchants had already learned to value operational knowledge.</w:t>
      </w:r>
    </w:p>
    <w:p w14:paraId="3EE64E05" w14:textId="77777777" w:rsidR="005C6A4C" w:rsidRPr="005C6A4C" w:rsidRDefault="005C6A4C" w:rsidP="005C6A4C">
      <w:pPr>
        <w:pStyle w:val="BookBody"/>
      </w:pPr>
      <w:r w:rsidRPr="005C6A4C">
        <w:rPr>
          <w:szCs w:val="28"/>
        </w:rPr>
        <w:t>Bacon did not invent the active stance toward nature. Artisans, navigators, miners, physicians, alchemists, and engineers had intervened for generations. Long’s history is especially important here: the empirical and manipulative values later associated with experimental philosophy were present in practices whose makers did not need a Baconian manifesto.</w:t>
      </w:r>
      <w:r w:rsidRPr="005C6A4C">
        <w:rPr>
          <w:szCs w:val="28"/>
          <w:vertAlign w:val="superscript"/>
        </w:rPr>
        <w:t>37</w:t>
      </w:r>
    </w:p>
    <w:p w14:paraId="244BDE93" w14:textId="77777777" w:rsidR="005C6A4C" w:rsidRPr="005C6A4C" w:rsidRDefault="005C6A4C" w:rsidP="005C6A4C">
      <w:pPr>
        <w:pStyle w:val="BookBody"/>
      </w:pPr>
      <w:r w:rsidRPr="005C6A4C">
        <w:rPr>
          <w:szCs w:val="28"/>
        </w:rPr>
        <w:t>What Bacon supplied was philosophical codification and political scale. He argued that arts and experiments, organized cooperatively and freed from the accidents of isolated craft, could enlarge human power. Scattered operations might become a program. Knowledge hidden in workshops could be collected, ordered, tested, and directed toward works. The operational world acquired a spokesman who could imagine it as an institution.</w:t>
      </w:r>
    </w:p>
    <w:p w14:paraId="0DA66F31" w14:textId="77777777" w:rsidR="005C6A4C" w:rsidRPr="005C6A4C" w:rsidRDefault="005C6A4C" w:rsidP="005C6A4C">
      <w:pPr>
        <w:pStyle w:val="BookBody"/>
      </w:pPr>
      <w:r w:rsidRPr="005C6A4C">
        <w:rPr>
          <w:szCs w:val="28"/>
        </w:rPr>
        <w:t>Merchant reads Bacon’s imagery within the gendered transformation of nature. The investigator pursues, constrains, and exposes secrets; art does not merely imitate nature but reveals what nature does under pressure. Such rhetoric could sanction domination, especially when joined to images of a passive female nature and a masculine knower. Later polemic has sometimes compressed the evidence into sensational claims that Bacon straightforwardly instructed science to torture nature. The more defensible point is that his program elevated controlled intervention and usefulness while participating in a language of mastery whose moral consequences cannot be dismissed.</w:t>
      </w:r>
      <w:r w:rsidRPr="005C6A4C">
        <w:rPr>
          <w:szCs w:val="28"/>
          <w:vertAlign w:val="superscript"/>
        </w:rPr>
        <w:t>38</w:t>
      </w:r>
    </w:p>
    <w:p w14:paraId="450470B5" w14:textId="77777777" w:rsidR="005C6A4C" w:rsidRPr="005C6A4C" w:rsidRDefault="005C6A4C" w:rsidP="005C6A4C">
      <w:pPr>
        <w:pStyle w:val="BookBody"/>
      </w:pPr>
      <w:r w:rsidRPr="005C6A4C">
        <w:rPr>
          <w:szCs w:val="28"/>
        </w:rPr>
        <w:t>Even here, Bacon arrives after the shaft. The mine had already forced air, lifted water, divided underground space, tested ore, and calculated cost. The navigator had already joined instrument, table, and observation. The bookkeeper had already built audit into the page. Bacon’s novelty lies partly in making such practices exemplary for knowledge in general.</w:t>
      </w:r>
    </w:p>
    <w:p w14:paraId="5664BBA6" w14:textId="77777777" w:rsidR="005C6A4C" w:rsidRPr="005C6A4C" w:rsidRDefault="005C6A4C" w:rsidP="005C6A4C">
      <w:pPr>
        <w:pStyle w:val="BookBody"/>
      </w:pPr>
      <w:r w:rsidRPr="005C6A4C">
        <w:rPr>
          <w:szCs w:val="28"/>
        </w:rPr>
        <w:t>That generalization completes the chapter’s movement. The portolan began with a coastline useful for going somewhere. The clock produced a common hour useful for coordinating something. The ledger produced a balance useful for judging an enterprise. The survey produced a geometry useful for meeting a tunnel and defending a claim. The assay produced a number useful for deciding whether to invest. Bacon’s program asks what would happen if inquiry as a whole were organized around useful operations.</w:t>
      </w:r>
    </w:p>
    <w:p w14:paraId="717FBEB8" w14:textId="77777777" w:rsidR="005C6A4C" w:rsidRPr="005C6A4C" w:rsidRDefault="005C6A4C" w:rsidP="005C6A4C">
      <w:pPr>
        <w:pStyle w:val="BookBody"/>
      </w:pPr>
      <w:r w:rsidRPr="005C6A4C">
        <w:rPr>
          <w:szCs w:val="28"/>
        </w:rPr>
        <w:t>The answer is not simply disenchantment. The projected map can inspire wonder; the clock can embody cosmic order; the mine can still be imagined through veins and generation; Bacon himself uses biblical and providential language. Older meanings do not vanish when operations become exact. They lose jurisdiction. A chart need not decide whether a newly mapped people fits a sacred history before it guides a fleet. A pump need not decide whether the earth is a mother before it drains a shaft.</w:t>
      </w:r>
    </w:p>
    <w:p w14:paraId="4CC49CDE" w14:textId="77777777" w:rsidR="005C6A4C" w:rsidRPr="005C6A4C" w:rsidRDefault="005C6A4C" w:rsidP="005C6A4C">
      <w:pPr>
        <w:pStyle w:val="BookBody"/>
      </w:pPr>
      <w:r w:rsidRPr="005C6A4C">
        <w:rPr>
          <w:szCs w:val="28"/>
        </w:rPr>
        <w:t>The practical suspension of meaning is one of modernity’s greatest strengths. It allows people who disagree about ultimate things to cooperate on a measurement. A Catholic, Protestant, Jew, Muslim, or skeptic can in principle read the same angle or test the same balance. Operational forms make limited agreement possible without metaphysical unity.</w:t>
      </w:r>
    </w:p>
    <w:p w14:paraId="2DC2CC96" w14:textId="77777777" w:rsidR="005C6A4C" w:rsidRPr="005C6A4C" w:rsidRDefault="005C6A4C" w:rsidP="005C6A4C">
      <w:pPr>
        <w:pStyle w:val="BookBody"/>
      </w:pPr>
      <w:r w:rsidRPr="005C6A4C">
        <w:rPr>
          <w:szCs w:val="28"/>
        </w:rPr>
        <w:t>They also make moral suspension easy. If the only shared question is whether the operation works, its end can escape scrutiny. A precisely navigated slave ship is not redeemed by precision. A balanced account of coerced labor is not just because it balances. A productive mine is not harmless because its assay was accurate. Means can be collectively tested while ends remain the privilege of power.</w:t>
      </w:r>
    </w:p>
    <w:p w14:paraId="252F6B76" w14:textId="77777777" w:rsidR="005C6A4C" w:rsidRPr="005C6A4C" w:rsidRDefault="005C6A4C" w:rsidP="005C6A4C">
      <w:pPr>
        <w:pStyle w:val="BookBody"/>
      </w:pPr>
      <w:r w:rsidRPr="005C6A4C">
        <w:rPr>
          <w:szCs w:val="28"/>
        </w:rPr>
        <w:t>The material practices of this chapter thus prepare mechanism in two senses. They prepare its conceptual world by making space, time, value, and matter increasingly available as commensurable relations. And they prepare its social world by building institutions that reward portable, repeatable, useful knowledge. When philosophers later describe nature as matter in motion governed by mathematical law, they will speak to people already inhabiting maps, schedules, accounts, measures, and extractive systems.</w:t>
      </w:r>
    </w:p>
    <w:p w14:paraId="273A66F5" w14:textId="77777777" w:rsidR="005C6A4C" w:rsidRPr="005C6A4C" w:rsidRDefault="005C6A4C" w:rsidP="005C6A4C">
      <w:pPr>
        <w:pStyle w:val="BookBody"/>
      </w:pPr>
      <w:r w:rsidRPr="005C6A4C">
        <w:rPr>
          <w:szCs w:val="28"/>
        </w:rPr>
        <w:t>Yet one decisive bridge remains. The earth’s surface has been plotted and its hours divided, but the heavens still supply latitude, calendars, celestial events, and the possibility of longitude. Cartography requires astronomy; clock time is corrected by the sky; projection assumes a globe; navigation waits upon better models of celestial motion. The operational world looks upward for its coordinates.</w:t>
      </w:r>
    </w:p>
    <w:p w14:paraId="068C9DB9" w14:textId="77777777" w:rsidR="005C6A4C" w:rsidRPr="005C6A4C" w:rsidRDefault="005C6A4C" w:rsidP="005C6A4C">
      <w:pPr>
        <w:pStyle w:val="BookBody"/>
      </w:pPr>
      <w:r w:rsidRPr="005C6A4C">
        <w:rPr>
          <w:szCs w:val="28"/>
        </w:rPr>
        <w:t>Chapter 13 therefore begins not with an isolated idea that the earth moves, but with a convergence of mathematical astronomy, instruments, calendars, voyages, observations, and printed diagrams. Heliocentrism will reorder the cosmos conceptually, but it enters a culture already learning to trust relations that no unaided observer directly experiences. No sailor sees the route from above, no citizen sees an hour, no bookkeeper sees the firm as a total balance, and no miner sees the triangle inside the mountain. Yet each acts through a representation.</w:t>
      </w:r>
    </w:p>
    <w:p w14:paraId="5B8B7814" w14:textId="77777777" w:rsidR="005C6A4C" w:rsidRPr="005C6A4C" w:rsidRDefault="005C6A4C" w:rsidP="005C6A4C">
      <w:pPr>
        <w:pStyle w:val="BookBody"/>
      </w:pPr>
      <w:r w:rsidRPr="005C6A4C">
        <w:rPr>
          <w:szCs w:val="28"/>
        </w:rPr>
        <w:t>The path to the mathematical universe runs through that trained confidence. The living cosmos is not displaced only because a new theory wins an argument. It is weakened whenever an operation succeeds without asking what the world means. Map, clock, and mine make that success ordinary.</w:t>
      </w:r>
    </w:p>
    <w:p w14:paraId="108A881C" w14:textId="77777777" w:rsidR="005C6A4C" w:rsidRPr="005C6A4C" w:rsidRDefault="005C6A4C" w:rsidP="005C6A4C">
      <w:pPr>
        <w:pStyle w:val="NotesHeading"/>
      </w:pPr>
      <w:r w:rsidRPr="005C6A4C">
        <w:rPr>
          <w:bCs/>
          <w:szCs w:val="28"/>
        </w:rPr>
        <w:t>Notes</w:t>
      </w:r>
    </w:p>
    <w:p w14:paraId="2D9462C7" w14:textId="77777777" w:rsidR="005C6A4C" w:rsidRPr="005C6A4C" w:rsidRDefault="005C6A4C" w:rsidP="005C6A4C">
      <w:pPr>
        <w:pStyle w:val="NoteEntry"/>
      </w:pPr>
      <w:r w:rsidRPr="005C6A4C">
        <w:rPr>
          <w:szCs w:val="28"/>
        </w:rPr>
        <w:t xml:space="preserve">1. Pamela O. Long, </w:t>
      </w:r>
      <w:r w:rsidRPr="005C6A4C">
        <w:rPr>
          <w:i/>
          <w:iCs/>
          <w:szCs w:val="28"/>
        </w:rPr>
        <w:t>Artisan/Practitioners and the Rise of the New Sciences, 1400–1600</w:t>
      </w:r>
      <w:r w:rsidRPr="005C6A4C">
        <w:rPr>
          <w:szCs w:val="28"/>
        </w:rPr>
        <w:t xml:space="preserve"> (Corvallis: Oregon State University Press, 2011), 1–9, 94–131. Long’s account of practices and “trading zones” is used throughout this chapter to avoid treating philosophical mechanism as the sole source of material change.</w:t>
      </w:r>
    </w:p>
    <w:p w14:paraId="309E4682" w14:textId="77777777" w:rsidR="005C6A4C" w:rsidRPr="005C6A4C" w:rsidRDefault="005C6A4C" w:rsidP="005C6A4C">
      <w:pPr>
        <w:pStyle w:val="NoteEntry"/>
      </w:pPr>
      <w:r w:rsidRPr="005C6A4C">
        <w:rPr>
          <w:szCs w:val="28"/>
        </w:rPr>
        <w:t xml:space="preserve">2. Alfred W. Crosby, </w:t>
      </w:r>
      <w:r w:rsidRPr="005C6A4C">
        <w:rPr>
          <w:i/>
          <w:iCs/>
          <w:szCs w:val="28"/>
        </w:rPr>
        <w:t>The Measure of Reality: Quantification and Western Society, 1250–1600</w:t>
      </w:r>
      <w:r w:rsidRPr="005C6A4C">
        <w:rPr>
          <w:szCs w:val="28"/>
        </w:rPr>
        <w:t xml:space="preserve"> (Cambridge: Cambridge University Press, 1997), 3–20, 227–40. Crosby’s synthetic argument is indispensable but should not be read as a single-cause or uniform account of “the West.”</w:t>
      </w:r>
    </w:p>
    <w:p w14:paraId="4303B760" w14:textId="77777777" w:rsidR="005C6A4C" w:rsidRPr="005C6A4C" w:rsidRDefault="005C6A4C" w:rsidP="005C6A4C">
      <w:pPr>
        <w:pStyle w:val="NoteEntry"/>
      </w:pPr>
      <w:r w:rsidRPr="005C6A4C">
        <w:rPr>
          <w:szCs w:val="28"/>
        </w:rPr>
        <w:t xml:space="preserve">3. Roel Nicolai, </w:t>
      </w:r>
      <w:r w:rsidRPr="005C6A4C">
        <w:rPr>
          <w:i/>
          <w:iCs/>
          <w:szCs w:val="28"/>
        </w:rPr>
        <w:t>The Enigma of the Origin of Portolan Charts: A Geodetic Analysis of the Hypothesis of a Medieval Origin</w:t>
      </w:r>
      <w:r w:rsidRPr="005C6A4C">
        <w:rPr>
          <w:szCs w:val="28"/>
        </w:rPr>
        <w:t xml:space="preserve"> (Leiden: Brill, 2016), 11–43, 195–200, 285–323, 429–52. Nicolai’s conclusions about projection and origin are revisionist and debated; they are cited here to mark the technical and historiographical difficulty of the charts, not as settled consensus. Edward Luther Stevenson, </w:t>
      </w:r>
      <w:r w:rsidRPr="005C6A4C">
        <w:rPr>
          <w:i/>
          <w:iCs/>
          <w:szCs w:val="28"/>
        </w:rPr>
        <w:t>Portolan Charts: Their Origin and Characteristics</w:t>
      </w:r>
      <w:r w:rsidRPr="005C6A4C">
        <w:rPr>
          <w:szCs w:val="28"/>
        </w:rPr>
        <w:t xml:space="preserve"> (New York: American Geographical Society, 1911), offers an older survey and should be used with modern scholarship.</w:t>
      </w:r>
    </w:p>
    <w:p w14:paraId="009EC907" w14:textId="77777777" w:rsidR="005C6A4C" w:rsidRPr="005C6A4C" w:rsidRDefault="005C6A4C" w:rsidP="005C6A4C">
      <w:pPr>
        <w:pStyle w:val="NoteEntry"/>
      </w:pPr>
      <w:r w:rsidRPr="005C6A4C">
        <w:rPr>
          <w:szCs w:val="28"/>
        </w:rPr>
        <w:t xml:space="preserve">4. J. H. Parry, </w:t>
      </w:r>
      <w:r w:rsidRPr="005C6A4C">
        <w:rPr>
          <w:i/>
          <w:iCs/>
          <w:szCs w:val="28"/>
        </w:rPr>
        <w:t>The Age of Reconnaissance: Discovery, Exploration and Settlement, 1450–1650</w:t>
      </w:r>
      <w:r w:rsidRPr="005C6A4C">
        <w:rPr>
          <w:szCs w:val="28"/>
        </w:rPr>
        <w:t xml:space="preserve"> (London: Weidenfeld and Nicolson, 1963), introduction and chaps. 4–6.</w:t>
      </w:r>
    </w:p>
    <w:p w14:paraId="6692BB47" w14:textId="77777777" w:rsidR="005C6A4C" w:rsidRPr="005C6A4C" w:rsidRDefault="005C6A4C" w:rsidP="005C6A4C">
      <w:pPr>
        <w:pStyle w:val="NoteEntry"/>
      </w:pPr>
      <w:r w:rsidRPr="005C6A4C">
        <w:rPr>
          <w:szCs w:val="28"/>
        </w:rPr>
        <w:t xml:space="preserve">5. Jerry Brotton, </w:t>
      </w:r>
      <w:r w:rsidRPr="005C6A4C">
        <w:rPr>
          <w:i/>
          <w:iCs/>
          <w:szCs w:val="28"/>
        </w:rPr>
        <w:t>Trading Territories: Mapping the Early Modern World</w:t>
      </w:r>
      <w:r w:rsidRPr="005C6A4C">
        <w:rPr>
          <w:szCs w:val="28"/>
        </w:rPr>
        <w:t xml:space="preserve"> (Ithaca, NY: Cornell University Press, 1998), 17–45.</w:t>
      </w:r>
    </w:p>
    <w:p w14:paraId="2627734E" w14:textId="77777777" w:rsidR="005C6A4C" w:rsidRPr="005C6A4C" w:rsidRDefault="005C6A4C" w:rsidP="005C6A4C">
      <w:pPr>
        <w:pStyle w:val="NoteEntry"/>
      </w:pPr>
      <w:r w:rsidRPr="005C6A4C">
        <w:rPr>
          <w:szCs w:val="28"/>
        </w:rPr>
        <w:t xml:space="preserve">6. Parry, </w:t>
      </w:r>
      <w:r w:rsidRPr="005C6A4C">
        <w:rPr>
          <w:i/>
          <w:iCs/>
          <w:szCs w:val="28"/>
        </w:rPr>
        <w:t>Age of Reconnaissance</w:t>
      </w:r>
      <w:r w:rsidRPr="005C6A4C">
        <w:rPr>
          <w:szCs w:val="28"/>
        </w:rPr>
        <w:t xml:space="preserve">, chaps. 5–6; David Woodward, ed., </w:t>
      </w:r>
      <w:r w:rsidRPr="005C6A4C">
        <w:rPr>
          <w:i/>
          <w:iCs/>
          <w:szCs w:val="28"/>
        </w:rPr>
        <w:t>The History of Cartography</w:t>
      </w:r>
      <w:r w:rsidRPr="005C6A4C">
        <w:rPr>
          <w:szCs w:val="28"/>
        </w:rPr>
        <w:t xml:space="preserve">, vol. 3, bk. 2, </w:t>
      </w:r>
      <w:r w:rsidRPr="005C6A4C">
        <w:rPr>
          <w:i/>
          <w:iCs/>
          <w:szCs w:val="28"/>
        </w:rPr>
        <w:t>Cartography in the European Renaissance</w:t>
      </w:r>
      <w:r w:rsidRPr="005C6A4C">
        <w:rPr>
          <w:szCs w:val="28"/>
        </w:rPr>
        <w:t xml:space="preserve"> (Chicago: University of Chicago Press, 2007), especially the chapters on maritime and colonial cartography. The supplied volume is Book 2 of Volume 3 and is most useful for its regional and maritime studies.</w:t>
      </w:r>
    </w:p>
    <w:p w14:paraId="527F347A" w14:textId="77777777" w:rsidR="005C6A4C" w:rsidRPr="005C6A4C" w:rsidRDefault="005C6A4C" w:rsidP="005C6A4C">
      <w:pPr>
        <w:pStyle w:val="NoteEntry"/>
      </w:pPr>
      <w:r w:rsidRPr="005C6A4C">
        <w:rPr>
          <w:szCs w:val="28"/>
        </w:rPr>
        <w:t xml:space="preserve">7. Crosby, </w:t>
      </w:r>
      <w:r w:rsidRPr="005C6A4C">
        <w:rPr>
          <w:i/>
          <w:iCs/>
          <w:szCs w:val="28"/>
        </w:rPr>
        <w:t>Measure of Reality</w:t>
      </w:r>
      <w:r w:rsidRPr="005C6A4C">
        <w:rPr>
          <w:szCs w:val="28"/>
        </w:rPr>
        <w:t xml:space="preserve">, 95–108; Brotton, </w:t>
      </w:r>
      <w:r w:rsidRPr="005C6A4C">
        <w:rPr>
          <w:i/>
          <w:iCs/>
          <w:szCs w:val="28"/>
        </w:rPr>
        <w:t>Trading Territories</w:t>
      </w:r>
      <w:r w:rsidRPr="005C6A4C">
        <w:rPr>
          <w:szCs w:val="28"/>
        </w:rPr>
        <w:t>, 151–79.</w:t>
      </w:r>
    </w:p>
    <w:p w14:paraId="750D0E8C" w14:textId="77777777" w:rsidR="005C6A4C" w:rsidRPr="005C6A4C" w:rsidRDefault="005C6A4C" w:rsidP="005C6A4C">
      <w:pPr>
        <w:pStyle w:val="NoteEntry"/>
      </w:pPr>
      <w:r w:rsidRPr="005C6A4C">
        <w:rPr>
          <w:szCs w:val="28"/>
        </w:rPr>
        <w:t xml:space="preserve">8. Brotton, </w:t>
      </w:r>
      <w:r w:rsidRPr="005C6A4C">
        <w:rPr>
          <w:i/>
          <w:iCs/>
          <w:szCs w:val="28"/>
        </w:rPr>
        <w:t>Trading Territories</w:t>
      </w:r>
      <w:r w:rsidRPr="005C6A4C">
        <w:rPr>
          <w:szCs w:val="28"/>
        </w:rPr>
        <w:t>, 119–50.</w:t>
      </w:r>
    </w:p>
    <w:p w14:paraId="10F41616" w14:textId="77777777" w:rsidR="005C6A4C" w:rsidRPr="005C6A4C" w:rsidRDefault="005C6A4C" w:rsidP="005C6A4C">
      <w:pPr>
        <w:pStyle w:val="NoteEntry"/>
      </w:pPr>
      <w:r w:rsidRPr="005C6A4C">
        <w:rPr>
          <w:szCs w:val="28"/>
        </w:rPr>
        <w:t xml:space="preserve">9. Brotton, </w:t>
      </w:r>
      <w:r w:rsidRPr="005C6A4C">
        <w:rPr>
          <w:i/>
          <w:iCs/>
          <w:szCs w:val="28"/>
        </w:rPr>
        <w:t>Trading Territories</w:t>
      </w:r>
      <w:r w:rsidRPr="005C6A4C">
        <w:rPr>
          <w:szCs w:val="28"/>
        </w:rPr>
        <w:t>, 151–86.</w:t>
      </w:r>
    </w:p>
    <w:p w14:paraId="7EFFFBF7" w14:textId="77777777" w:rsidR="005C6A4C" w:rsidRPr="005C6A4C" w:rsidRDefault="005C6A4C" w:rsidP="005C6A4C">
      <w:pPr>
        <w:pStyle w:val="NoteEntry"/>
      </w:pPr>
      <w:r w:rsidRPr="005C6A4C">
        <w:rPr>
          <w:szCs w:val="28"/>
        </w:rPr>
        <w:t xml:space="preserve">10. Surekha Davies, </w:t>
      </w:r>
      <w:r w:rsidRPr="005C6A4C">
        <w:rPr>
          <w:i/>
          <w:iCs/>
          <w:szCs w:val="28"/>
        </w:rPr>
        <w:t>Renaissance Ethnography and the Invention of the Human: New Worlds, Maps and Monsters</w:t>
      </w:r>
      <w:r w:rsidRPr="005C6A4C">
        <w:rPr>
          <w:szCs w:val="28"/>
        </w:rPr>
        <w:t xml:space="preserve"> (Cambridge: Cambridge University Press, 2016), 1–22, 47–108, 148–218.</w:t>
      </w:r>
    </w:p>
    <w:p w14:paraId="3D7238DA" w14:textId="77777777" w:rsidR="005C6A4C" w:rsidRPr="005C6A4C" w:rsidRDefault="005C6A4C" w:rsidP="005C6A4C">
      <w:pPr>
        <w:pStyle w:val="NoteEntry"/>
      </w:pPr>
      <w:r w:rsidRPr="005C6A4C">
        <w:rPr>
          <w:szCs w:val="28"/>
        </w:rPr>
        <w:t xml:space="preserve">11. Davies, </w:t>
      </w:r>
      <w:r w:rsidRPr="005C6A4C">
        <w:rPr>
          <w:i/>
          <w:iCs/>
          <w:szCs w:val="28"/>
        </w:rPr>
        <w:t>Renaissance Ethnography</w:t>
      </w:r>
      <w:r w:rsidRPr="005C6A4C">
        <w:rPr>
          <w:szCs w:val="28"/>
        </w:rPr>
        <w:t>, 65–147, 219–94.</w:t>
      </w:r>
    </w:p>
    <w:p w14:paraId="61FBE26D" w14:textId="77777777" w:rsidR="005C6A4C" w:rsidRPr="005C6A4C" w:rsidRDefault="005C6A4C" w:rsidP="005C6A4C">
      <w:pPr>
        <w:pStyle w:val="NoteEntry"/>
      </w:pPr>
      <w:r w:rsidRPr="005C6A4C">
        <w:rPr>
          <w:szCs w:val="28"/>
        </w:rPr>
        <w:t xml:space="preserve">12. Gerhard Dohrn-van Rossum, </w:t>
      </w:r>
      <w:r w:rsidRPr="005C6A4C">
        <w:rPr>
          <w:i/>
          <w:iCs/>
          <w:szCs w:val="28"/>
        </w:rPr>
        <w:t>History of the Hour: Clocks and Modern Temporal Orders</w:t>
      </w:r>
      <w:r w:rsidRPr="005C6A4C">
        <w:rPr>
          <w:szCs w:val="28"/>
        </w:rPr>
        <w:t>, trans. Thomas Dunlap (Chicago: University of Chicago Press, 1996), 45–124, 125–76.</w:t>
      </w:r>
    </w:p>
    <w:p w14:paraId="172A6AA2" w14:textId="77777777" w:rsidR="005C6A4C" w:rsidRPr="005C6A4C" w:rsidRDefault="005C6A4C" w:rsidP="005C6A4C">
      <w:pPr>
        <w:pStyle w:val="NoteEntry"/>
      </w:pPr>
      <w:r w:rsidRPr="005C6A4C">
        <w:rPr>
          <w:szCs w:val="28"/>
        </w:rPr>
        <w:t xml:space="preserve">13. Lewis Mumford, </w:t>
      </w:r>
      <w:r w:rsidRPr="005C6A4C">
        <w:rPr>
          <w:i/>
          <w:iCs/>
          <w:szCs w:val="28"/>
        </w:rPr>
        <w:t>Technics and Civilization</w:t>
      </w:r>
      <w:r w:rsidRPr="005C6A4C">
        <w:rPr>
          <w:szCs w:val="28"/>
        </w:rPr>
        <w:t xml:space="preserve"> (New York: Harcourt, Brace, 1934), 12–23. Mumford’s synthesis remains suggestive, but Dohrn-van Rossum supplies the more differentiated history of origins, diffusion, and social use.</w:t>
      </w:r>
    </w:p>
    <w:p w14:paraId="51498611" w14:textId="77777777" w:rsidR="005C6A4C" w:rsidRPr="005C6A4C" w:rsidRDefault="005C6A4C" w:rsidP="005C6A4C">
      <w:pPr>
        <w:pStyle w:val="NoteEntry"/>
      </w:pPr>
      <w:r w:rsidRPr="005C6A4C">
        <w:rPr>
          <w:szCs w:val="28"/>
        </w:rPr>
        <w:t xml:space="preserve">14. Dohrn-van Rossum, </w:t>
      </w:r>
      <w:r w:rsidRPr="005C6A4C">
        <w:rPr>
          <w:i/>
          <w:iCs/>
          <w:szCs w:val="28"/>
        </w:rPr>
        <w:t>History of the Hour</w:t>
      </w:r>
      <w:r w:rsidRPr="005C6A4C">
        <w:rPr>
          <w:szCs w:val="28"/>
        </w:rPr>
        <w:t>, 217–88, 289–322.</w:t>
      </w:r>
    </w:p>
    <w:p w14:paraId="0CA92361" w14:textId="77777777" w:rsidR="005C6A4C" w:rsidRPr="005C6A4C" w:rsidRDefault="005C6A4C" w:rsidP="005C6A4C">
      <w:pPr>
        <w:pStyle w:val="NoteEntry"/>
      </w:pPr>
      <w:r w:rsidRPr="005C6A4C">
        <w:rPr>
          <w:szCs w:val="28"/>
        </w:rPr>
        <w:t xml:space="preserve">15. William J. H. Andrewes, ed., </w:t>
      </w:r>
      <w:r w:rsidRPr="005C6A4C">
        <w:rPr>
          <w:i/>
          <w:iCs/>
          <w:szCs w:val="28"/>
        </w:rPr>
        <w:t>The Quest for Longitude</w:t>
      </w:r>
      <w:r w:rsidRPr="005C6A4C">
        <w:rPr>
          <w:szCs w:val="28"/>
        </w:rPr>
        <w:t xml:space="preserve"> (Cambridge, MA: Collection of Historical Scientific Instruments, Harvard University, 1996), 1–10, 19–69, 71–164. The practical lunar-distance and marine-timekeeper solutions belong primarily to the eighteenth century; their lateness is central to the argument here.</w:t>
      </w:r>
    </w:p>
    <w:p w14:paraId="4FBEF49D" w14:textId="77777777" w:rsidR="005C6A4C" w:rsidRPr="005C6A4C" w:rsidRDefault="005C6A4C" w:rsidP="005C6A4C">
      <w:pPr>
        <w:pStyle w:val="NoteEntry"/>
      </w:pPr>
      <w:r w:rsidRPr="005C6A4C">
        <w:rPr>
          <w:szCs w:val="28"/>
        </w:rPr>
        <w:t xml:space="preserve">16. Andrewes, </w:t>
      </w:r>
      <w:r w:rsidRPr="005C6A4C">
        <w:rPr>
          <w:i/>
          <w:iCs/>
          <w:szCs w:val="28"/>
        </w:rPr>
        <w:t>Quest for Longitude</w:t>
      </w:r>
      <w:r w:rsidRPr="005C6A4C">
        <w:rPr>
          <w:szCs w:val="28"/>
        </w:rPr>
        <w:t>, 1–10, 43–61, 71–100.</w:t>
      </w:r>
    </w:p>
    <w:p w14:paraId="6BBB0399" w14:textId="77777777" w:rsidR="005C6A4C" w:rsidRPr="005C6A4C" w:rsidRDefault="005C6A4C" w:rsidP="005C6A4C">
      <w:pPr>
        <w:pStyle w:val="NoteEntry"/>
      </w:pPr>
      <w:r w:rsidRPr="005C6A4C">
        <w:rPr>
          <w:szCs w:val="28"/>
        </w:rPr>
        <w:t xml:space="preserve">17. Long, </w:t>
      </w:r>
      <w:r w:rsidRPr="005C6A4C">
        <w:rPr>
          <w:i/>
          <w:iCs/>
          <w:szCs w:val="28"/>
        </w:rPr>
        <w:t>Artisan/Practitioners</w:t>
      </w:r>
      <w:r w:rsidRPr="005C6A4C">
        <w:rPr>
          <w:szCs w:val="28"/>
        </w:rPr>
        <w:t>, 94–131.</w:t>
      </w:r>
    </w:p>
    <w:p w14:paraId="0085F940" w14:textId="77777777" w:rsidR="005C6A4C" w:rsidRPr="005C6A4C" w:rsidRDefault="005C6A4C" w:rsidP="005C6A4C">
      <w:pPr>
        <w:pStyle w:val="NoteEntry"/>
      </w:pPr>
      <w:r w:rsidRPr="005C6A4C">
        <w:rPr>
          <w:szCs w:val="28"/>
        </w:rPr>
        <w:t xml:space="preserve">18. James A. Aho, </w:t>
      </w:r>
      <w:r w:rsidRPr="005C6A4C">
        <w:rPr>
          <w:i/>
          <w:iCs/>
          <w:szCs w:val="28"/>
        </w:rPr>
        <w:t>Confession and Bookkeeping: The Religious, Moral, and Rhetorical Roots of Modern Accounting</w:t>
      </w:r>
      <w:r w:rsidRPr="005C6A4C">
        <w:rPr>
          <w:szCs w:val="28"/>
        </w:rPr>
        <w:t xml:space="preserve"> (Albany: State University of New York Press, 2005), 1–12, 55–79. Aho’s proposed relation between confession and bookkeeping is provocative rather than a demonstrated single causal origin; the chapter uses it to recover accounting’s moral rhetoric while rejecting simple confessional determinism.</w:t>
      </w:r>
    </w:p>
    <w:p w14:paraId="2EB7B8AF" w14:textId="77777777" w:rsidR="005C6A4C" w:rsidRPr="005C6A4C" w:rsidRDefault="005C6A4C" w:rsidP="005C6A4C">
      <w:pPr>
        <w:pStyle w:val="NoteEntry"/>
      </w:pPr>
      <w:r w:rsidRPr="005C6A4C">
        <w:rPr>
          <w:szCs w:val="28"/>
        </w:rPr>
        <w:t xml:space="preserve">19. Aho, </w:t>
      </w:r>
      <w:r w:rsidRPr="005C6A4C">
        <w:rPr>
          <w:i/>
          <w:iCs/>
          <w:szCs w:val="28"/>
        </w:rPr>
        <w:t>Confession and Bookkeeping</w:t>
      </w:r>
      <w:r w:rsidRPr="005C6A4C">
        <w:rPr>
          <w:szCs w:val="28"/>
        </w:rPr>
        <w:t>, 63–79.</w:t>
      </w:r>
    </w:p>
    <w:p w14:paraId="5934E066" w14:textId="77777777" w:rsidR="005C6A4C" w:rsidRPr="005C6A4C" w:rsidRDefault="005C6A4C" w:rsidP="005C6A4C">
      <w:pPr>
        <w:pStyle w:val="NoteEntry"/>
      </w:pPr>
      <w:r w:rsidRPr="005C6A4C">
        <w:rPr>
          <w:szCs w:val="28"/>
        </w:rPr>
        <w:t xml:space="preserve">20. Aho, </w:t>
      </w:r>
      <w:r w:rsidRPr="005C6A4C">
        <w:rPr>
          <w:i/>
          <w:iCs/>
          <w:szCs w:val="28"/>
        </w:rPr>
        <w:t>Confession and Bookkeeping</w:t>
      </w:r>
      <w:r w:rsidRPr="005C6A4C">
        <w:rPr>
          <w:szCs w:val="28"/>
        </w:rPr>
        <w:t>, 69–74.</w:t>
      </w:r>
    </w:p>
    <w:p w14:paraId="5C9191B1" w14:textId="77777777" w:rsidR="005C6A4C" w:rsidRPr="005C6A4C" w:rsidRDefault="005C6A4C" w:rsidP="005C6A4C">
      <w:pPr>
        <w:pStyle w:val="NoteEntry"/>
      </w:pPr>
      <w:r w:rsidRPr="005C6A4C">
        <w:rPr>
          <w:szCs w:val="28"/>
        </w:rPr>
        <w:t xml:space="preserve">21. Aho, </w:t>
      </w:r>
      <w:r w:rsidRPr="005C6A4C">
        <w:rPr>
          <w:i/>
          <w:iCs/>
          <w:szCs w:val="28"/>
        </w:rPr>
        <w:t>Confession and Bookkeeping</w:t>
      </w:r>
      <w:r w:rsidRPr="005C6A4C">
        <w:rPr>
          <w:szCs w:val="28"/>
        </w:rPr>
        <w:t>, 71–90.</w:t>
      </w:r>
    </w:p>
    <w:p w14:paraId="578F135C" w14:textId="77777777" w:rsidR="005C6A4C" w:rsidRPr="005C6A4C" w:rsidRDefault="005C6A4C" w:rsidP="005C6A4C">
      <w:pPr>
        <w:pStyle w:val="NoteEntry"/>
      </w:pPr>
      <w:r w:rsidRPr="005C6A4C">
        <w:rPr>
          <w:szCs w:val="28"/>
        </w:rPr>
        <w:t xml:space="preserve">22. Crosby, </w:t>
      </w:r>
      <w:r w:rsidRPr="005C6A4C">
        <w:rPr>
          <w:i/>
          <w:iCs/>
          <w:szCs w:val="28"/>
        </w:rPr>
        <w:t>Measure of Reality</w:t>
      </w:r>
      <w:r w:rsidRPr="005C6A4C">
        <w:rPr>
          <w:szCs w:val="28"/>
        </w:rPr>
        <w:t>, 199–224.</w:t>
      </w:r>
    </w:p>
    <w:p w14:paraId="26E68505" w14:textId="77777777" w:rsidR="005C6A4C" w:rsidRPr="005C6A4C" w:rsidRDefault="005C6A4C" w:rsidP="005C6A4C">
      <w:pPr>
        <w:pStyle w:val="NoteEntry"/>
      </w:pPr>
      <w:r w:rsidRPr="005C6A4C">
        <w:rPr>
          <w:szCs w:val="28"/>
        </w:rPr>
        <w:t xml:space="preserve">23. Witold Kula, </w:t>
      </w:r>
      <w:r w:rsidRPr="005C6A4C">
        <w:rPr>
          <w:i/>
          <w:iCs/>
          <w:szCs w:val="28"/>
        </w:rPr>
        <w:t>Measures and Men</w:t>
      </w:r>
      <w:r w:rsidRPr="005C6A4C">
        <w:rPr>
          <w:szCs w:val="28"/>
        </w:rPr>
        <w:t>, trans. R. Szreter (Princeton: Princeton University Press, 1986), 3–28.</w:t>
      </w:r>
    </w:p>
    <w:p w14:paraId="7489C710" w14:textId="77777777" w:rsidR="005C6A4C" w:rsidRPr="005C6A4C" w:rsidRDefault="005C6A4C" w:rsidP="005C6A4C">
      <w:pPr>
        <w:pStyle w:val="NoteEntry"/>
      </w:pPr>
      <w:r w:rsidRPr="005C6A4C">
        <w:rPr>
          <w:szCs w:val="28"/>
        </w:rPr>
        <w:t xml:space="preserve">24. Kula, </w:t>
      </w:r>
      <w:r w:rsidRPr="005C6A4C">
        <w:rPr>
          <w:i/>
          <w:iCs/>
          <w:szCs w:val="28"/>
        </w:rPr>
        <w:t>Measures and Men</w:t>
      </w:r>
      <w:r w:rsidRPr="005C6A4C">
        <w:rPr>
          <w:szCs w:val="28"/>
        </w:rPr>
        <w:t>, 29–78, especially the discussion of labor- and seed-based agrarian measures.</w:t>
      </w:r>
    </w:p>
    <w:p w14:paraId="64A69E22" w14:textId="77777777" w:rsidR="005C6A4C" w:rsidRPr="005C6A4C" w:rsidRDefault="005C6A4C" w:rsidP="005C6A4C">
      <w:pPr>
        <w:pStyle w:val="NoteEntry"/>
      </w:pPr>
      <w:r w:rsidRPr="005C6A4C">
        <w:rPr>
          <w:szCs w:val="28"/>
        </w:rPr>
        <w:t xml:space="preserve">25. Kula, </w:t>
      </w:r>
      <w:r w:rsidRPr="005C6A4C">
        <w:rPr>
          <w:i/>
          <w:iCs/>
          <w:szCs w:val="28"/>
        </w:rPr>
        <w:t>Measures and Men</w:t>
      </w:r>
      <w:r w:rsidRPr="005C6A4C">
        <w:rPr>
          <w:szCs w:val="28"/>
        </w:rPr>
        <w:t>, 29–42, 102–55.</w:t>
      </w:r>
    </w:p>
    <w:p w14:paraId="670D58CA" w14:textId="77777777" w:rsidR="005C6A4C" w:rsidRPr="005C6A4C" w:rsidRDefault="005C6A4C" w:rsidP="005C6A4C">
      <w:pPr>
        <w:pStyle w:val="NoteEntry"/>
      </w:pPr>
      <w:r w:rsidRPr="005C6A4C">
        <w:rPr>
          <w:szCs w:val="28"/>
        </w:rPr>
        <w:t xml:space="preserve">26. Kula, </w:t>
      </w:r>
      <w:r w:rsidRPr="005C6A4C">
        <w:rPr>
          <w:i/>
          <w:iCs/>
          <w:szCs w:val="28"/>
        </w:rPr>
        <w:t>Measures and Men</w:t>
      </w:r>
      <w:r w:rsidRPr="005C6A4C">
        <w:rPr>
          <w:szCs w:val="28"/>
        </w:rPr>
        <w:t>, 156–288.</w:t>
      </w:r>
    </w:p>
    <w:p w14:paraId="06142071" w14:textId="77777777" w:rsidR="005C6A4C" w:rsidRPr="005C6A4C" w:rsidRDefault="005C6A4C" w:rsidP="005C6A4C">
      <w:pPr>
        <w:pStyle w:val="NoteEntry"/>
      </w:pPr>
      <w:r w:rsidRPr="005C6A4C">
        <w:rPr>
          <w:szCs w:val="28"/>
        </w:rPr>
        <w:t xml:space="preserve">27. Georgius Agricola, </w:t>
      </w:r>
      <w:r w:rsidRPr="005C6A4C">
        <w:rPr>
          <w:i/>
          <w:iCs/>
          <w:szCs w:val="28"/>
        </w:rPr>
        <w:t>De Re Metallica</w:t>
      </w:r>
      <w:r w:rsidRPr="005C6A4C">
        <w:rPr>
          <w:szCs w:val="28"/>
        </w:rPr>
        <w:t>, trans. Herbert Clark Hoover and Lou Henry Hoover (New York: Dover, 1950), Book I, 1–21.</w:t>
      </w:r>
    </w:p>
    <w:p w14:paraId="4D2D4779" w14:textId="77777777" w:rsidR="005C6A4C" w:rsidRPr="005C6A4C" w:rsidRDefault="005C6A4C" w:rsidP="005C6A4C">
      <w:pPr>
        <w:pStyle w:val="NoteEntry"/>
      </w:pPr>
      <w:r w:rsidRPr="005C6A4C">
        <w:rPr>
          <w:szCs w:val="28"/>
        </w:rPr>
        <w:t xml:space="preserve">28. Agricola, </w:t>
      </w:r>
      <w:r w:rsidRPr="005C6A4C">
        <w:rPr>
          <w:i/>
          <w:iCs/>
          <w:szCs w:val="28"/>
        </w:rPr>
        <w:t>De Re Metallica</w:t>
      </w:r>
      <w:r w:rsidRPr="005C6A4C">
        <w:rPr>
          <w:szCs w:val="28"/>
        </w:rPr>
        <w:t>, Books IV–V, 77–146.</w:t>
      </w:r>
    </w:p>
    <w:p w14:paraId="5D1BBE2E" w14:textId="77777777" w:rsidR="005C6A4C" w:rsidRPr="005C6A4C" w:rsidRDefault="005C6A4C" w:rsidP="005C6A4C">
      <w:pPr>
        <w:pStyle w:val="NoteEntry"/>
      </w:pPr>
      <w:r w:rsidRPr="005C6A4C">
        <w:rPr>
          <w:szCs w:val="28"/>
        </w:rPr>
        <w:t xml:space="preserve">29. Agricola, </w:t>
      </w:r>
      <w:r w:rsidRPr="005C6A4C">
        <w:rPr>
          <w:i/>
          <w:iCs/>
          <w:szCs w:val="28"/>
        </w:rPr>
        <w:t>De Re Metallica</w:t>
      </w:r>
      <w:r w:rsidRPr="005C6A4C">
        <w:rPr>
          <w:szCs w:val="28"/>
        </w:rPr>
        <w:t>, Book VI, 147–222, especially 200–10 on ventilation.</w:t>
      </w:r>
    </w:p>
    <w:p w14:paraId="0C5BC0A8" w14:textId="77777777" w:rsidR="005C6A4C" w:rsidRPr="005C6A4C" w:rsidRDefault="005C6A4C" w:rsidP="005C6A4C">
      <w:pPr>
        <w:pStyle w:val="NoteEntry"/>
      </w:pPr>
      <w:r w:rsidRPr="005C6A4C">
        <w:rPr>
          <w:szCs w:val="28"/>
        </w:rPr>
        <w:t xml:space="preserve">30. Long, </w:t>
      </w:r>
      <w:r w:rsidRPr="005C6A4C">
        <w:rPr>
          <w:i/>
          <w:iCs/>
          <w:szCs w:val="28"/>
        </w:rPr>
        <w:t>Artisan/Practitioners</w:t>
      </w:r>
      <w:r w:rsidRPr="005C6A4C">
        <w:rPr>
          <w:szCs w:val="28"/>
        </w:rPr>
        <w:t>, 94–131, especially the discussion of mines, pumps, surveying, and illustrated technical exchange.</w:t>
      </w:r>
    </w:p>
    <w:p w14:paraId="36FAAD9F" w14:textId="77777777" w:rsidR="005C6A4C" w:rsidRPr="005C6A4C" w:rsidRDefault="005C6A4C" w:rsidP="005C6A4C">
      <w:pPr>
        <w:pStyle w:val="NoteEntry"/>
      </w:pPr>
      <w:r w:rsidRPr="005C6A4C">
        <w:rPr>
          <w:szCs w:val="28"/>
        </w:rPr>
        <w:t xml:space="preserve">31. Agricola, </w:t>
      </w:r>
      <w:r w:rsidRPr="005C6A4C">
        <w:rPr>
          <w:i/>
          <w:iCs/>
          <w:szCs w:val="28"/>
        </w:rPr>
        <w:t>De Re Metallica</w:t>
      </w:r>
      <w:r w:rsidRPr="005C6A4C">
        <w:rPr>
          <w:szCs w:val="28"/>
        </w:rPr>
        <w:t>, Book I, 1–21.</w:t>
      </w:r>
    </w:p>
    <w:p w14:paraId="49E37644" w14:textId="77777777" w:rsidR="005C6A4C" w:rsidRPr="005C6A4C" w:rsidRDefault="005C6A4C" w:rsidP="005C6A4C">
      <w:pPr>
        <w:pStyle w:val="NoteEntry"/>
      </w:pPr>
      <w:r w:rsidRPr="005C6A4C">
        <w:rPr>
          <w:szCs w:val="28"/>
        </w:rPr>
        <w:t xml:space="preserve">32. Mumford, </w:t>
      </w:r>
      <w:r w:rsidRPr="005C6A4C">
        <w:rPr>
          <w:i/>
          <w:iCs/>
          <w:szCs w:val="28"/>
        </w:rPr>
        <w:t>Technics and Civilization</w:t>
      </w:r>
      <w:r w:rsidRPr="005C6A4C">
        <w:rPr>
          <w:szCs w:val="28"/>
        </w:rPr>
        <w:t>, 65–80. Mumford’s claim that mining established a general capitalist pattern should be treated as a broad interpretation, not a monocausal account.</w:t>
      </w:r>
    </w:p>
    <w:p w14:paraId="363CEFD0" w14:textId="77777777" w:rsidR="005C6A4C" w:rsidRPr="005C6A4C" w:rsidRDefault="005C6A4C" w:rsidP="005C6A4C">
      <w:pPr>
        <w:pStyle w:val="NoteEntry"/>
      </w:pPr>
      <w:r w:rsidRPr="005C6A4C">
        <w:rPr>
          <w:szCs w:val="28"/>
        </w:rPr>
        <w:t xml:space="preserve">33. Carolyn Merchant, </w:t>
      </w:r>
      <w:r w:rsidRPr="005C6A4C">
        <w:rPr>
          <w:i/>
          <w:iCs/>
          <w:szCs w:val="28"/>
        </w:rPr>
        <w:t>The Death of Nature: Women, Ecology, and the Scientific Revolution</w:t>
      </w:r>
      <w:r w:rsidRPr="005C6A4C">
        <w:rPr>
          <w:szCs w:val="28"/>
        </w:rPr>
        <w:t xml:space="preserve"> (San Francisco: Harper &amp; Row, 1980), 1–41, 42–68, 99–126, 164–91, 216–52.</w:t>
      </w:r>
    </w:p>
    <w:p w14:paraId="5AC8C19F" w14:textId="77777777" w:rsidR="005C6A4C" w:rsidRPr="005C6A4C" w:rsidRDefault="005C6A4C" w:rsidP="005C6A4C">
      <w:pPr>
        <w:pStyle w:val="NoteEntry"/>
      </w:pPr>
      <w:r w:rsidRPr="005C6A4C">
        <w:rPr>
          <w:szCs w:val="28"/>
        </w:rPr>
        <w:t xml:space="preserve">34. Merchant, </w:t>
      </w:r>
      <w:r w:rsidRPr="005C6A4C">
        <w:rPr>
          <w:i/>
          <w:iCs/>
          <w:szCs w:val="28"/>
        </w:rPr>
        <w:t>Death of Nature</w:t>
      </w:r>
      <w:r w:rsidRPr="005C6A4C">
        <w:rPr>
          <w:szCs w:val="28"/>
        </w:rPr>
        <w:t xml:space="preserve">, 1–41; Agricola, </w:t>
      </w:r>
      <w:r w:rsidRPr="005C6A4C">
        <w:rPr>
          <w:i/>
          <w:iCs/>
          <w:szCs w:val="28"/>
        </w:rPr>
        <w:t>De Re Metallica</w:t>
      </w:r>
      <w:r w:rsidRPr="005C6A4C">
        <w:rPr>
          <w:szCs w:val="28"/>
        </w:rPr>
        <w:t>, Book I.</w:t>
      </w:r>
    </w:p>
    <w:p w14:paraId="62B8E067" w14:textId="77777777" w:rsidR="005C6A4C" w:rsidRPr="005C6A4C" w:rsidRDefault="005C6A4C" w:rsidP="005C6A4C">
      <w:pPr>
        <w:pStyle w:val="NoteEntry"/>
      </w:pPr>
      <w:r w:rsidRPr="005C6A4C">
        <w:rPr>
          <w:szCs w:val="28"/>
        </w:rPr>
        <w:t xml:space="preserve">35. Long, </w:t>
      </w:r>
      <w:r w:rsidRPr="005C6A4C">
        <w:rPr>
          <w:i/>
          <w:iCs/>
          <w:szCs w:val="28"/>
        </w:rPr>
        <w:t>Artisan/Practitioners</w:t>
      </w:r>
      <w:r w:rsidRPr="005C6A4C">
        <w:rPr>
          <w:szCs w:val="28"/>
        </w:rPr>
        <w:t>, 1–29, 94–131.</w:t>
      </w:r>
    </w:p>
    <w:p w14:paraId="6985C1FB" w14:textId="77777777" w:rsidR="005C6A4C" w:rsidRPr="005C6A4C" w:rsidRDefault="005C6A4C" w:rsidP="005C6A4C">
      <w:pPr>
        <w:pStyle w:val="NoteEntry"/>
      </w:pPr>
      <w:r w:rsidRPr="005C6A4C">
        <w:rPr>
          <w:szCs w:val="28"/>
        </w:rPr>
        <w:t xml:space="preserve">36. Crosby, </w:t>
      </w:r>
      <w:r w:rsidRPr="005C6A4C">
        <w:rPr>
          <w:i/>
          <w:iCs/>
          <w:szCs w:val="28"/>
        </w:rPr>
        <w:t>Measure of Reality</w:t>
      </w:r>
      <w:r w:rsidRPr="005C6A4C">
        <w:rPr>
          <w:szCs w:val="28"/>
        </w:rPr>
        <w:t>, 3–20, 75–108, 199–240.</w:t>
      </w:r>
    </w:p>
    <w:p w14:paraId="4B6FAFF8" w14:textId="77777777" w:rsidR="005C6A4C" w:rsidRPr="005C6A4C" w:rsidRDefault="005C6A4C" w:rsidP="005C6A4C">
      <w:pPr>
        <w:pStyle w:val="NoteEntry"/>
      </w:pPr>
      <w:r w:rsidRPr="005C6A4C">
        <w:rPr>
          <w:szCs w:val="28"/>
        </w:rPr>
        <w:t xml:space="preserve">37. Long, </w:t>
      </w:r>
      <w:r w:rsidRPr="005C6A4C">
        <w:rPr>
          <w:i/>
          <w:iCs/>
          <w:szCs w:val="28"/>
        </w:rPr>
        <w:t>Artisan/Practitioners</w:t>
      </w:r>
      <w:r w:rsidRPr="005C6A4C">
        <w:rPr>
          <w:szCs w:val="28"/>
        </w:rPr>
        <w:t>, 30–61, 94–131.</w:t>
      </w:r>
    </w:p>
    <w:p w14:paraId="16BEAB9E" w14:textId="77777777" w:rsidR="005C6A4C" w:rsidRPr="005C6A4C" w:rsidRDefault="005C6A4C" w:rsidP="005C6A4C">
      <w:pPr>
        <w:pStyle w:val="NoteEntry"/>
      </w:pPr>
      <w:r w:rsidRPr="005C6A4C">
        <w:rPr>
          <w:szCs w:val="28"/>
        </w:rPr>
        <w:t xml:space="preserve">38. Merchant, </w:t>
      </w:r>
      <w:r w:rsidRPr="005C6A4C">
        <w:rPr>
          <w:i/>
          <w:iCs/>
          <w:szCs w:val="28"/>
        </w:rPr>
        <w:t>Death of Nature</w:t>
      </w:r>
      <w:r w:rsidRPr="005C6A4C">
        <w:rPr>
          <w:szCs w:val="28"/>
        </w:rPr>
        <w:t>, 164–91. Merchant’s connection between gendered imagery, experimental mastery, and environmental transformation remains influential and contested; it is used here as a critical lens, not as proof that Baconian rhetoric alone caused extractive practice.</w:t>
      </w:r>
    </w:p>
    <w:p w14:paraId="2BCA7CCE" w14:textId="77777777" w:rsidR="00F93551" w:rsidRDefault="00DD7D58">
      <w:pPr>
        <w:pStyle w:val="PartHeading"/>
      </w:pPr>
      <w:bookmarkStart w:id="16" w:name="toc_part_13"/>
      <w:r>
        <w:t>Part IV</w:t>
      </w:r>
      <w:r>
        <w:br/>
      </w:r>
      <w:r>
        <w:rPr>
          <w:sz w:val="40"/>
        </w:rPr>
        <w:t>The Making of the Universe</w:t>
      </w:r>
      <w:bookmarkEnd w:id="16"/>
    </w:p>
    <w:p w14:paraId="1222AB5A" w14:textId="77777777" w:rsidR="00C90BDB" w:rsidRPr="00C90BDB" w:rsidRDefault="00C90BDB" w:rsidP="00C90BDB">
      <w:pPr>
        <w:pStyle w:val="ChapterHeading"/>
      </w:pPr>
      <w:bookmarkStart w:id="17" w:name="toc_chapter_13"/>
      <w:r>
        <w:rPr>
          <w:sz w:val="28"/>
        </w:rPr>
        <w:t>Chapter 13</w:t>
      </w:r>
      <w:r>
        <w:rPr>
          <w:sz w:val="28"/>
        </w:rPr>
        <w:br/>
      </w:r>
      <w:r>
        <w:t>Earth Displaced, Harmony Retained</w:t>
      </w:r>
      <w:bookmarkEnd w:id="17"/>
    </w:p>
    <w:p w14:paraId="57145E3B" w14:textId="77777777" w:rsidR="00C90BDB" w:rsidRPr="00C90BDB" w:rsidRDefault="00C90BDB" w:rsidP="00C90BDB">
      <w:pPr>
        <w:pStyle w:val="SectionHeading"/>
      </w:pPr>
      <w:r w:rsidRPr="00C90BDB">
        <w:rPr>
          <w:bCs/>
          <w:szCs w:val="28"/>
        </w:rPr>
        <w:t>A Diagram That Moves the Observer</w:t>
      </w:r>
    </w:p>
    <w:p w14:paraId="436FE2A9" w14:textId="77777777" w:rsidR="00C90BDB" w:rsidRPr="00C90BDB" w:rsidRDefault="00C90BDB" w:rsidP="00C90BDB">
      <w:pPr>
        <w:pStyle w:val="BookBody"/>
      </w:pPr>
      <w:r w:rsidRPr="00C90BDB">
        <w:rPr>
          <w:szCs w:val="28"/>
        </w:rPr>
        <w:t>The preceding chapter ended with people learning to act through representations. A pilot followed a coastline no eye could see at once; a bookkeeper judged a firm through balances; a surveyor carried a geometry through the mountain. Mathematical astronomy asked for a still stranger confidence. It required readers standing on Earth to imagine the Earth from elsewhere. The decisive move was not simply to draw a new set of circles. It was to make the observer’s own platform one of the moving terms.</w:t>
      </w:r>
    </w:p>
    <w:p w14:paraId="36575672" w14:textId="77777777" w:rsidR="00C90BDB" w:rsidRPr="00C90BDB" w:rsidRDefault="00C90BDB" w:rsidP="00C90BDB">
      <w:pPr>
        <w:pStyle w:val="BookBody"/>
      </w:pPr>
      <w:r w:rsidRPr="00C90BDB">
        <w:rPr>
          <w:szCs w:val="28"/>
        </w:rPr>
        <w:t xml:space="preserve">The heliocentric diagram in the first edition of Nicolaus Copernicus’s </w:t>
      </w:r>
      <w:r w:rsidRPr="00C90BDB">
        <w:rPr>
          <w:i/>
          <w:szCs w:val="28"/>
        </w:rPr>
        <w:t>De revolutionibus orbium coelestium</w:t>
      </w:r>
      <w:r w:rsidRPr="00C90BDB">
        <w:rPr>
          <w:szCs w:val="28"/>
        </w:rPr>
        <w:t xml:space="preserve"> performs that displacement with deceptive calm. Six planetary paths surround a small sign for the Sun. Earth appears among them, carrying the Moon’s orbit like a small loop. Beyond Saturn lies the immovable sphere of the fixed stars. The diagram offers no falling buildings, no human vertigo, no torn fabric of heaven. Its concentric order makes an extraordinary proposition look almost inevitable.</w:t>
      </w:r>
      <w:r w:rsidRPr="00C90BDB">
        <w:rPr>
          <w:szCs w:val="28"/>
          <w:vertAlign w:val="superscript"/>
        </w:rPr>
        <w:t>1</w:t>
      </w:r>
    </w:p>
    <w:p w14:paraId="4F9C2037" w14:textId="77777777" w:rsidR="00C90BDB" w:rsidRPr="00C90BDB" w:rsidRDefault="00C90BDB" w:rsidP="00C90BDB">
      <w:pPr>
        <w:pStyle w:val="BookBody"/>
      </w:pPr>
      <w:r w:rsidRPr="00C90BDB">
        <w:rPr>
          <w:szCs w:val="28"/>
        </w:rPr>
        <w:t>That composure is part of the argument. The reader views a system from a position no embodied observer occupies. From Earth, one sees the Sun travel, the stars wheel, and the planets halt and reverse. From the diagram, those appearances become effects of related motions. Retrogradation can be read as a changing line of sight from a moving Earth to another moving planet. A disorder in the sky becomes an order in the representation.</w:t>
      </w:r>
    </w:p>
    <w:p w14:paraId="338CBECA" w14:textId="77777777" w:rsidR="00C90BDB" w:rsidRPr="00C90BDB" w:rsidRDefault="00C90BDB" w:rsidP="00C90BDB">
      <w:pPr>
        <w:pStyle w:val="BookBody"/>
      </w:pPr>
      <w:r w:rsidRPr="00C90BDB">
        <w:rPr>
          <w:szCs w:val="28"/>
        </w:rPr>
        <w:t>Yet the outer circumference warns against treating the page as an icon of the modern universe. This is not an empty expanse filled with bodies obeying a single mechanical law. It is still a cosmos of ordered spheres, privileged figures, ranked motions, and a fixed stellar boundary. The page moves Earth while preserving a visible architecture. The new astronomy enters the book not as the death of cosmic order but as a proposal for recovering it.</w:t>
      </w:r>
    </w:p>
    <w:p w14:paraId="398018EF" w14:textId="77777777" w:rsidR="00C90BDB" w:rsidRPr="00C90BDB" w:rsidRDefault="00C90BDB" w:rsidP="00C90BDB">
      <w:pPr>
        <w:pStyle w:val="FigureImage"/>
      </w:pPr>
      <w:r w:rsidRPr="00C90BDB">
        <w:rPr>
          <w:noProof/>
          <w:szCs w:val="28"/>
        </w:rPr>
        <w:drawing>
          <wp:inline distT="0" distB="0" distL="0" distR="0" wp14:anchorId="3A39AB64" wp14:editId="5170EE46">
            <wp:extent cx="3977639" cy="6243383"/>
            <wp:effectExtent l="0" t="0" r="0" b="0"/>
            <wp:docPr id="1" name="Picture 1" descr="Facsimile page from the 1543 De revolutionibus showing concentric planetary circles around the Sun, with Earth and the Moon among the plan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ernicus_heliocentric_1543.png"/>
                    <pic:cNvPicPr/>
                  </pic:nvPicPr>
                  <pic:blipFill>
                    <a:blip r:embed="rId12"/>
                    <a:stretch>
                      <a:fillRect/>
                    </a:stretch>
                  </pic:blipFill>
                  <pic:spPr>
                    <a:xfrm>
                      <a:off x="0" y="0"/>
                      <a:ext cx="3977639" cy="6243383"/>
                    </a:xfrm>
                    <a:prstGeom prst="rect">
                      <a:avLst/>
                    </a:prstGeom>
                  </pic:spPr>
                </pic:pic>
              </a:graphicData>
            </a:graphic>
          </wp:inline>
        </w:drawing>
      </w:r>
    </w:p>
    <w:p w14:paraId="02496298" w14:textId="77777777" w:rsidR="00C90BDB" w:rsidRPr="00C90BDB" w:rsidRDefault="00C90BDB" w:rsidP="00C90BDB">
      <w:pPr>
        <w:pStyle w:val="FigureCaption"/>
      </w:pPr>
      <w:r w:rsidRPr="00C90BDB">
        <w:rPr>
          <w:szCs w:val="28"/>
        </w:rPr>
        <w:t>Figure 13.1. The heliocentric diagram in Nicolaus Copernicus, De revolutionibus orbium coelestium (Nuremberg, 1543), bk. I, chap. 10, fol. 9v. Earth is placed among the planets while the fixed stars retain the outer boundary. Public-domain facsimile from the supplied first-edition scan.</w:t>
      </w:r>
    </w:p>
    <w:p w14:paraId="5458058F" w14:textId="77777777" w:rsidR="00C90BDB" w:rsidRPr="00C90BDB" w:rsidRDefault="00C90BDB" w:rsidP="00C90BDB">
      <w:pPr>
        <w:pStyle w:val="BookBody"/>
      </w:pPr>
      <w:r w:rsidRPr="00C90BDB">
        <w:rPr>
          <w:szCs w:val="28"/>
        </w:rPr>
        <w:t>This distinction matters because “the Copernican revolution” has become larger than Copernicus. It can mean the Earth’s motion, the victory of science over authority, the loss of human centrality, the opening of infinite space, or the beginning of secular modernity. Those later meanings are historically consequential, but they do not all occur in 1543. To understand what moved when Earth moved, the diagram must be returned to its book, its calculations, its readers, and its theological language.</w:t>
      </w:r>
    </w:p>
    <w:p w14:paraId="4FDA1C76" w14:textId="77777777" w:rsidR="00C90BDB" w:rsidRPr="00C90BDB" w:rsidRDefault="00C90BDB" w:rsidP="00C90BDB">
      <w:pPr>
        <w:pStyle w:val="BookBody"/>
      </w:pPr>
      <w:r w:rsidRPr="00C90BDB">
        <w:rPr>
          <w:szCs w:val="28"/>
        </w:rPr>
        <w:t>The result is more complicated than a triumphal story and more interesting than a simple disenchantment. Copernicus displaced Earth from the center of planetary motion. Johannes Kepler later broke the circle, made the Sun physically effective, and turned planetary inequalities into laws. Both changes were profound. Neither astronomer imagined that mathematical precision required a meaningless universe. Their mathematics reconfigured harmony before it weakened harmony’s authority.</w:t>
      </w:r>
    </w:p>
    <w:p w14:paraId="7D82BFB8" w14:textId="77777777" w:rsidR="00C90BDB" w:rsidRPr="00C90BDB" w:rsidRDefault="00C90BDB" w:rsidP="00C90BDB">
      <w:pPr>
        <w:pStyle w:val="BookBody"/>
      </w:pPr>
      <w:r w:rsidRPr="00C90BDB">
        <w:rPr>
          <w:szCs w:val="28"/>
        </w:rPr>
        <w:t>The printed diagram also changes the reader’s body. A medieval sphere could be demonstrated by turning rings around a fixed terrestrial globe. Copernicus’s page has no handle and no privileged place for the person using it. The eye must move conceptually among several centers: Earth for the Moon, the Sun for the planetary order, the fixed stars for celestial orientation. Learning the system means learning that the same appearance can be described from more than one frame.</w:t>
      </w:r>
    </w:p>
    <w:p w14:paraId="1C01E26B" w14:textId="77777777" w:rsidR="00C90BDB" w:rsidRPr="00C90BDB" w:rsidRDefault="00C90BDB" w:rsidP="00C90BDB">
      <w:pPr>
        <w:pStyle w:val="BookBody"/>
      </w:pPr>
      <w:r w:rsidRPr="00C90BDB">
        <w:rPr>
          <w:szCs w:val="28"/>
        </w:rPr>
        <w:t>This is why the image belongs beside the tables rather than above them as mere illustration. The diagram teaches the relation that the numbers presuppose. It compresses a sequence of observations into a simultaneous order, and it lets that order govern interpretations of what the sky appears to do. Like the map in Chapter 12, it earns authority by showing less than the world contains.</w:t>
      </w:r>
    </w:p>
    <w:p w14:paraId="0F57DDFE" w14:textId="77777777" w:rsidR="00C90BDB" w:rsidRPr="00C90BDB" w:rsidRDefault="00C90BDB" w:rsidP="00C90BDB">
      <w:pPr>
        <w:pStyle w:val="SectionHeading"/>
      </w:pPr>
      <w:r w:rsidRPr="00C90BDB">
        <w:rPr>
          <w:bCs/>
          <w:szCs w:val="28"/>
        </w:rPr>
        <w:t>A Revolution of Order</w:t>
      </w:r>
    </w:p>
    <w:p w14:paraId="38EC18D0" w14:textId="77777777" w:rsidR="00C90BDB" w:rsidRPr="00C90BDB" w:rsidRDefault="00C90BDB" w:rsidP="00C90BDB">
      <w:pPr>
        <w:pStyle w:val="BookBody"/>
      </w:pPr>
      <w:r w:rsidRPr="00C90BDB">
        <w:rPr>
          <w:szCs w:val="28"/>
        </w:rPr>
        <w:t>Copernicus presented his work to Pope Paul III as a remedy for incoherence. Astronomers could calculate many appearances, but their models did not form one intelligible body. Some employed concentric circles, others eccentrics and epicycles, and the parts did not share consistent principles. Copernicus compared their achievement to an artist assembling hands, feet, and a head from different models: each part might be well drawn, but the result would be a monster. What he sought was not novelty for its own sake. It was “the shape of the Universe and the unchangeable symmetry of its parts.”</w:t>
      </w:r>
      <w:r w:rsidRPr="00C90BDB">
        <w:rPr>
          <w:szCs w:val="28"/>
          <w:vertAlign w:val="superscript"/>
        </w:rPr>
        <w:t>2</w:t>
      </w:r>
    </w:p>
    <w:p w14:paraId="5480BE99" w14:textId="77777777" w:rsidR="00C90BDB" w:rsidRPr="00C90BDB" w:rsidRDefault="00C90BDB" w:rsidP="00C90BDB">
      <w:pPr>
        <w:pStyle w:val="BookBody"/>
      </w:pPr>
      <w:r w:rsidRPr="00C90BDB">
        <w:rPr>
          <w:szCs w:val="28"/>
        </w:rPr>
        <w:t>The proposed motion of Earth supplied the organizing relation. Once planetary motions were measured against Earth’s annual circuit, Copernicus wrote, the order and magnitudes of the spheres became so bound together that no part could be moved without confusing the whole. The phrase belongs as much to cosmology as to computation. The point was not merely that one could save the appearances with different circles. A single arrangement now joined order, period, and distance.</w:t>
      </w:r>
    </w:p>
    <w:p w14:paraId="6A1CE805" w14:textId="77777777" w:rsidR="00C90BDB" w:rsidRPr="00C90BDB" w:rsidRDefault="00C90BDB" w:rsidP="00C90BDB">
      <w:pPr>
        <w:pStyle w:val="BookBody"/>
      </w:pPr>
      <w:r w:rsidRPr="00C90BDB">
        <w:rPr>
          <w:szCs w:val="28"/>
        </w:rPr>
        <w:t>The outer planets made the gain easiest to see. Mars, Jupiter, and Saturn appear brightest and closest when opposite the Sun; their backward loops occur in relation to the Earth’s overtaking motion. In a geocentric construction these phenomena could be represented, but the sizes and periods of the planetary mechanisms lacked one necessary sequence. In the Copernican arrangement, the observed relation to the Sun yielded an order: Mercury, Venus, Earth with its Moon, Mars, Jupiter, and Saturn. The longer the period, the larger the path.</w:t>
      </w:r>
    </w:p>
    <w:p w14:paraId="71FDEBFE" w14:textId="77777777" w:rsidR="00C90BDB" w:rsidRPr="00C90BDB" w:rsidRDefault="00C90BDB" w:rsidP="00C90BDB">
      <w:pPr>
        <w:pStyle w:val="BookBody"/>
      </w:pPr>
      <w:r w:rsidRPr="00C90BDB">
        <w:rPr>
          <w:szCs w:val="28"/>
        </w:rPr>
        <w:t xml:space="preserve">The word </w:t>
      </w:r>
      <w:r w:rsidRPr="00C90BDB">
        <w:rPr>
          <w:i/>
          <w:szCs w:val="28"/>
        </w:rPr>
        <w:t>revolution</w:t>
      </w:r>
      <w:r w:rsidRPr="00C90BDB">
        <w:rPr>
          <w:szCs w:val="28"/>
        </w:rPr>
        <w:t xml:space="preserve"> in Copernicus’s title referred first to those celestial circuits, not to a political or cultural rupture. He kept the ancient demand that heavenly motions be uniform, circular, and perpetual, or compounded from uniform circles. He removed Ptolemy’s equant because its motion violated that ideal, but he did not abandon epicycles. His system remained technically demanding and in some respects as intricate as its competitors. Its elegance lay less in the total number of circles than in the relations it made visible.</w:t>
      </w:r>
      <w:r w:rsidRPr="00C90BDB">
        <w:rPr>
          <w:szCs w:val="28"/>
          <w:vertAlign w:val="superscript"/>
        </w:rPr>
        <w:t>3</w:t>
      </w:r>
    </w:p>
    <w:p w14:paraId="355369DB" w14:textId="77777777" w:rsidR="00C90BDB" w:rsidRPr="00C90BDB" w:rsidRDefault="00C90BDB" w:rsidP="00C90BDB">
      <w:pPr>
        <w:pStyle w:val="BookBody"/>
      </w:pPr>
      <w:r w:rsidRPr="00C90BDB">
        <w:rPr>
          <w:szCs w:val="28"/>
        </w:rPr>
        <w:t>Nor did moving Earth simply turn a sacred center into an insignificant periphery. In Aristotelian cosmology the center was the place toward which heavy bodies fell, not a royal seat of honor. The incorruptible heavens were superior to the changeable region around Earth. Copernicus could therefore make Earth a planet without announcing the humiliation of humanity. Spatial centrality, physical nobility, and theological dignity were never identical properties.</w:t>
      </w:r>
    </w:p>
    <w:p w14:paraId="5C10D6B1" w14:textId="77777777" w:rsidR="00C90BDB" w:rsidRPr="00C90BDB" w:rsidRDefault="00C90BDB" w:rsidP="00C90BDB">
      <w:pPr>
        <w:pStyle w:val="BookBody"/>
      </w:pPr>
      <w:r w:rsidRPr="00C90BDB">
        <w:rPr>
          <w:szCs w:val="28"/>
        </w:rPr>
        <w:t>His description of the Sun makes the point. “In the middle of all sits Sun enthroned,” Copernicus wrote. In the most beautiful temple, the luminary occupies the place from which it can illuminate the whole. It is lamp, mind, ruler, and visible god; it sits on a royal throne while the Earth “conceives by the Sun” and becomes pregnant with annual rebirth. This is not the language of a universe becoming affectively neutral. Heliocentrism intensified the Sun’s symbolic office even as it changed the geometry of the heavens.</w:t>
      </w:r>
      <w:r w:rsidRPr="00C90BDB">
        <w:rPr>
          <w:szCs w:val="28"/>
          <w:vertAlign w:val="superscript"/>
        </w:rPr>
        <w:t>4</w:t>
      </w:r>
    </w:p>
    <w:p w14:paraId="0D091FDE" w14:textId="77777777" w:rsidR="00C90BDB" w:rsidRPr="00C90BDB" w:rsidRDefault="00C90BDB" w:rsidP="00C90BDB">
      <w:pPr>
        <w:pStyle w:val="BookBody"/>
      </w:pPr>
      <w:r w:rsidRPr="00C90BDB">
        <w:rPr>
          <w:szCs w:val="28"/>
        </w:rPr>
        <w:t>Copernicus’s world also remained a divine work whose arrangement human reason might discover. His dedication described philosophy as the search for truth so far as God permitted reason to reach. When he considered whether Earth might move, he did so because the “supremely good and orderly Creator” could not have made the incoherent monster found in the schools. Theological intelligibility did not sit beside the astronomy as decorative piety. It defined why mathematical coherence could count as a clue to physical order.</w:t>
      </w:r>
    </w:p>
    <w:p w14:paraId="321839C7" w14:textId="77777777" w:rsidR="00C90BDB" w:rsidRPr="00C90BDB" w:rsidRDefault="00C90BDB" w:rsidP="00C90BDB">
      <w:pPr>
        <w:pStyle w:val="BookBody"/>
      </w:pPr>
      <w:r w:rsidRPr="00C90BDB">
        <w:rPr>
          <w:szCs w:val="28"/>
        </w:rPr>
        <w:t>The exact status of the cosmos beyond Saturn remained less settled than later summaries imply. Copernicus made the fixed stars immeasurably distant compared with the Earth’s orbit, thereby answering the objection that annual stellar parallax was not observed. His printed diagram still bounded the system with the sphere of fixed stars. Elsewhere he declined to settle whether the universe itself was finite. What he did not offer was a homogeneous infinity in which the Sun was merely one star and Earth one accidental clump of matter. That transformation belongs to other arguments and later chapters.</w:t>
      </w:r>
    </w:p>
    <w:p w14:paraId="666D4E9F" w14:textId="77777777" w:rsidR="00C90BDB" w:rsidRPr="00C90BDB" w:rsidRDefault="00C90BDB" w:rsidP="00C90BDB">
      <w:pPr>
        <w:pStyle w:val="BookBody"/>
      </w:pPr>
      <w:r w:rsidRPr="00C90BDB">
        <w:rPr>
          <w:szCs w:val="28"/>
        </w:rPr>
        <w:t>The Copernican change was therefore selective but real. Earth lost its rest and its role as the common center of celestial circuits. Apparent solar and planetary motions became consequences of the observer’s motion. The planetary order acquired a systematic relation to periods and distances. But circles, spheres, divine architecture, and the search for harmony survived. The living cosmos was not yet dead; it had been rearranged.</w:t>
      </w:r>
    </w:p>
    <w:p w14:paraId="0A6E26F8" w14:textId="77777777" w:rsidR="00C90BDB" w:rsidRPr="00C90BDB" w:rsidRDefault="00C90BDB" w:rsidP="00C90BDB">
      <w:pPr>
        <w:pStyle w:val="BookBody"/>
      </w:pPr>
      <w:r w:rsidRPr="00C90BDB">
        <w:rPr>
          <w:szCs w:val="28"/>
        </w:rPr>
        <w:t>Copernicus also had to reverse the ordinary burden of proof. Experience seemed to certify rest: a dropped stone falls at the foot of the tower; birds and clouds are not left behind; the stars appear to turn. He replied by placing air, water, and terrestrial things within Earth’s common motion. What is shared cannot be detected as a difference. The argument did more than defend rotation. It made relative motion a discipline of suspicion toward immediate sensation.</w:t>
      </w:r>
    </w:p>
    <w:p w14:paraId="3ED9BF93" w14:textId="77777777" w:rsidR="00C90BDB" w:rsidRPr="00C90BDB" w:rsidRDefault="00C90BDB" w:rsidP="00C90BDB">
      <w:pPr>
        <w:pStyle w:val="BookBody"/>
      </w:pPr>
      <w:r w:rsidRPr="00C90BDB">
        <w:rPr>
          <w:szCs w:val="28"/>
        </w:rPr>
        <w:t>The defense carried a new epistemic cost. If the senses faithfully report appearances while misidentifying their cause, then truth requires a reconstruction of the observer’s position. Mathematics becomes the means by which experience is corrected without being dismissed. The planet’s loop is real as an appearance and false as an independent reversal. This layered account of perception will become increasingly important when instruments begin to multiply appearances in the next chapter.</w:t>
      </w:r>
    </w:p>
    <w:p w14:paraId="42974F2E" w14:textId="77777777" w:rsidR="00C90BDB" w:rsidRPr="00C90BDB" w:rsidRDefault="00C90BDB" w:rsidP="00C90BDB">
      <w:pPr>
        <w:pStyle w:val="SectionHeading"/>
      </w:pPr>
      <w:r w:rsidRPr="00C90BDB">
        <w:rPr>
          <w:bCs/>
          <w:szCs w:val="28"/>
        </w:rPr>
        <w:t>A Book Read in the Margins</w:t>
      </w:r>
    </w:p>
    <w:p w14:paraId="41C57D50" w14:textId="77777777" w:rsidR="00C90BDB" w:rsidRPr="00C90BDB" w:rsidRDefault="00C90BDB" w:rsidP="00C90BDB">
      <w:pPr>
        <w:pStyle w:val="BookBody"/>
      </w:pPr>
      <w:r w:rsidRPr="00C90BDB">
        <w:rPr>
          <w:szCs w:val="28"/>
        </w:rPr>
        <w:t xml:space="preserve">The printed book itself complicates the story of an instant revolution. </w:t>
      </w:r>
      <w:r w:rsidRPr="00C90BDB">
        <w:rPr>
          <w:i/>
          <w:szCs w:val="28"/>
        </w:rPr>
        <w:t>De revolutionibus</w:t>
      </w:r>
      <w:r w:rsidRPr="00C90BDB">
        <w:rPr>
          <w:szCs w:val="28"/>
        </w:rPr>
        <w:t xml:space="preserve"> opened with an anonymous address “to the reader” that advised treating astronomical hypotheses as calculating devices. They need not be true or even probable, the preface declared, so long as they reproduced the observations. Andreas Osiander, the Nuremberg theologian who supervised the printing after Georg Joachim Rheticus left the city, inserted this caution without Copernicus’s name or consent.</w:t>
      </w:r>
      <w:r w:rsidRPr="00C90BDB">
        <w:rPr>
          <w:szCs w:val="28"/>
          <w:vertAlign w:val="superscript"/>
        </w:rPr>
        <w:t>5</w:t>
      </w:r>
    </w:p>
    <w:p w14:paraId="50654B97" w14:textId="77777777" w:rsidR="00C90BDB" w:rsidRPr="00C90BDB" w:rsidRDefault="00C90BDB" w:rsidP="00C90BDB">
      <w:pPr>
        <w:pStyle w:val="BookBody"/>
      </w:pPr>
      <w:r w:rsidRPr="00C90BDB">
        <w:rPr>
          <w:szCs w:val="28"/>
        </w:rPr>
        <w:t>The preface did not make the book harmless, but it gave readers a familiar option. Mathematical astronomers had long distinguished predictive construction from natural philosophy. One could use a geometrical model without claiming that crystalline mechanisms actually occupied the sky. Copernicus’s own dedication spoke more boldly about truth, world structure, and Earth’s real motion, yet even committed readers had to decide how much physical reality to grant a system whose mathematical forms could be translated into other reference frames.</w:t>
      </w:r>
    </w:p>
    <w:p w14:paraId="5911BE6A" w14:textId="77777777" w:rsidR="00C90BDB" w:rsidRPr="00C90BDB" w:rsidRDefault="00C90BDB" w:rsidP="00C90BDB">
      <w:pPr>
        <w:pStyle w:val="BookBody"/>
      </w:pPr>
      <w:r w:rsidRPr="00C90BDB">
        <w:rPr>
          <w:szCs w:val="28"/>
        </w:rPr>
        <w:t xml:space="preserve">Kepler would later rage against Osiander’s retreat. He believed that Copernicus had described the true arrangement, and his copy of </w:t>
      </w:r>
      <w:r w:rsidRPr="00C90BDB">
        <w:rPr>
          <w:i/>
          <w:szCs w:val="28"/>
        </w:rPr>
        <w:t>De revolutionibus</w:t>
      </w:r>
      <w:r w:rsidRPr="00C90BDB">
        <w:rPr>
          <w:szCs w:val="28"/>
        </w:rPr>
        <w:t xml:space="preserve"> identified the anonymous author. Most sixteenth-century astronomers did not begin from Kepler’s realism. They could appropriate Copernican parameters, diagrams, and transformations while retaining a stationary Earth. The distinction between accepting a calculation and accepting a cosmos was not hypocrisy. It was a working feature of the discipline.</w:t>
      </w:r>
    </w:p>
    <w:p w14:paraId="18C2CB31" w14:textId="77777777" w:rsidR="00C90BDB" w:rsidRPr="00C90BDB" w:rsidRDefault="00C90BDB" w:rsidP="00C90BDB">
      <w:pPr>
        <w:pStyle w:val="BookBody"/>
      </w:pPr>
      <w:r w:rsidRPr="00C90BDB">
        <w:rPr>
          <w:szCs w:val="28"/>
        </w:rPr>
        <w:t>Owen Gingerich’s census of surviving copies overturns the old joke that this was “the book nobody read.” Readers left dense annotations not only in the accessible opening chapters but in the difficult planetary theory. Erasmus Reinhold’s copy is heavily worked through; notes, corrections, and diagrams moved among later readers. The margins show a dispersed workshop. They also show uneven reception. A reader might master Copernicus’s lunar model, borrow a parameter, dispute Osiander, or translate a planetary construction without assenting to Earth’s motion.</w:t>
      </w:r>
      <w:r w:rsidRPr="00C90BDB">
        <w:rPr>
          <w:szCs w:val="28"/>
          <w:vertAlign w:val="superscript"/>
        </w:rPr>
        <w:t>6</w:t>
      </w:r>
    </w:p>
    <w:p w14:paraId="03F9D2BF" w14:textId="77777777" w:rsidR="00C90BDB" w:rsidRPr="00C90BDB" w:rsidRDefault="00C90BDB" w:rsidP="00C90BDB">
      <w:pPr>
        <w:pStyle w:val="BookBody"/>
      </w:pPr>
      <w:r w:rsidRPr="00C90BDB">
        <w:rPr>
          <w:szCs w:val="28"/>
        </w:rPr>
        <w:t xml:space="preserve">The center of that reception was Wittenberg. Rheticus, a Lutheran professor of mathematics, traveled to Copernicus and published the </w:t>
      </w:r>
      <w:r w:rsidRPr="00C90BDB">
        <w:rPr>
          <w:i/>
          <w:szCs w:val="28"/>
        </w:rPr>
        <w:t>Narratio prima</w:t>
      </w:r>
      <w:r w:rsidRPr="00C90BDB">
        <w:rPr>
          <w:szCs w:val="28"/>
        </w:rPr>
        <w:t>, the first printed account of the new arrangement. Reinhold, his senior colleague, studied the technical books and prepared tables based on Copernican parameters. Philipp Melanchthon’s educational network placed trained mathematicians across Protestant universities. The same confessional culture that supplied scriptural objections also supplied teachers, printers, patrons, and computational users.</w:t>
      </w:r>
    </w:p>
    <w:p w14:paraId="2216A8DA" w14:textId="77777777" w:rsidR="00C90BDB" w:rsidRPr="00C90BDB" w:rsidRDefault="00C90BDB" w:rsidP="00C90BDB">
      <w:pPr>
        <w:pStyle w:val="BookBody"/>
      </w:pPr>
      <w:r w:rsidRPr="00C90BDB">
        <w:rPr>
          <w:szCs w:val="28"/>
        </w:rPr>
        <w:t xml:space="preserve">Robert Westman calls the resulting pattern the Wittenberg interpretation. Copernicus was praised as an exceptional mathematical astronomer while his models were detached from the claim that Earth truly moved. Textbooks could refer students to </w:t>
      </w:r>
      <w:r w:rsidRPr="00C90BDB">
        <w:rPr>
          <w:i/>
          <w:szCs w:val="28"/>
        </w:rPr>
        <w:t>De revolutionibus</w:t>
      </w:r>
      <w:r w:rsidRPr="00C90BDB">
        <w:rPr>
          <w:szCs w:val="28"/>
        </w:rPr>
        <w:t xml:space="preserve"> for advanced problems, accommodate its canons to geostatic schemes, and continue teaching Aristotelian physics. The new work entered the curriculum through controlled transformations rather than wholesale conversion.</w:t>
      </w:r>
      <w:r w:rsidRPr="00C90BDB">
        <w:rPr>
          <w:szCs w:val="28"/>
          <w:vertAlign w:val="superscript"/>
        </w:rPr>
        <w:t>7</w:t>
      </w:r>
    </w:p>
    <w:p w14:paraId="5A588743" w14:textId="77777777" w:rsidR="00C90BDB" w:rsidRPr="00C90BDB" w:rsidRDefault="00C90BDB" w:rsidP="00C90BDB">
      <w:pPr>
        <w:pStyle w:val="BookBody"/>
      </w:pPr>
      <w:r w:rsidRPr="00C90BDB">
        <w:rPr>
          <w:szCs w:val="28"/>
        </w:rPr>
        <w:t>This reception is not a lesser afterlife of a great idea. It reveals what made the idea consequential. A cosmology becomes historically powerful when its parts can travel beyond its author’s intended unity. Tables, diagrams, parameters, and procedures move through classrooms and printing houses more readily than a complete worldview. The operational world of map, clock, and ledger had prepared precisely this kind of mobility. A representation could work before its ontology was agreed.</w:t>
      </w:r>
    </w:p>
    <w:p w14:paraId="114A0DE7" w14:textId="77777777" w:rsidR="00C90BDB" w:rsidRPr="00C90BDB" w:rsidRDefault="00C90BDB" w:rsidP="00C90BDB">
      <w:pPr>
        <w:pStyle w:val="BookBody"/>
      </w:pPr>
      <w:r w:rsidRPr="00C90BDB">
        <w:rPr>
          <w:szCs w:val="28"/>
        </w:rPr>
        <w:t>The book’s readers therefore inhabited two astronomical worlds at once. They could admire Copernicus’s order and deny his moving Earth; use his numbers and preserve Ptolemaic language; praise mathematical ingenuity and reserve physical judgment for philosophers or theologians. This is not a delayed version of an inevitable revolution. It is the historical process by which a mathematical reordering became available to people with different cosmological commitments.</w:t>
      </w:r>
    </w:p>
    <w:p w14:paraId="6104145C" w14:textId="77777777" w:rsidR="00C90BDB" w:rsidRPr="00C90BDB" w:rsidRDefault="00C90BDB" w:rsidP="00C90BDB">
      <w:pPr>
        <w:pStyle w:val="BookBody"/>
      </w:pPr>
      <w:r w:rsidRPr="00C90BDB">
        <w:rPr>
          <w:szCs w:val="28"/>
        </w:rPr>
        <w:t xml:space="preserve">Print enlarged this ambiguity. A manuscript could remain within a circle of correspondents who shared explanations; hundreds of printed copies entered libraries whose owners supplied their own classifications. Some bound </w:t>
      </w:r>
      <w:r w:rsidRPr="00C90BDB">
        <w:rPr>
          <w:i/>
          <w:szCs w:val="28"/>
        </w:rPr>
        <w:t>De revolutionibus</w:t>
      </w:r>
      <w:r w:rsidRPr="00C90BDB">
        <w:rPr>
          <w:szCs w:val="28"/>
        </w:rPr>
        <w:t xml:space="preserve"> beside tables or elementary astronomy, others beside cosmography or polemic. The book’s physical neighbors and handwritten cross-references placed its propositions inside different intellectual systems.</w:t>
      </w:r>
    </w:p>
    <w:p w14:paraId="748DE529" w14:textId="77777777" w:rsidR="00C90BDB" w:rsidRPr="00C90BDB" w:rsidRDefault="00C90BDB" w:rsidP="00C90BDB">
      <w:pPr>
        <w:pStyle w:val="BookBody"/>
      </w:pPr>
      <w:r w:rsidRPr="00C90BDB">
        <w:rPr>
          <w:szCs w:val="28"/>
        </w:rPr>
        <w:t>The history visible in those copies is therefore neither acceptance nor rejection in the singular. It is extraction, recombination, and delayed recognition. A note copied from Reinhold could outlive the circumstances of its first calculation. Kepler could inherit a copy marked by earlier readers and use an identification of Osiander to sharpen his own realism. The margins made reception cumulative.</w:t>
      </w:r>
    </w:p>
    <w:p w14:paraId="029D4AA3" w14:textId="77777777" w:rsidR="00C90BDB" w:rsidRPr="00C90BDB" w:rsidRDefault="00C90BDB" w:rsidP="00C90BDB">
      <w:pPr>
        <w:pStyle w:val="SectionHeading"/>
      </w:pPr>
      <w:r w:rsidRPr="00C90BDB">
        <w:rPr>
          <w:bCs/>
          <w:szCs w:val="28"/>
        </w:rPr>
        <w:t>Calendar and Table</w:t>
      </w:r>
    </w:p>
    <w:p w14:paraId="674502B0" w14:textId="77777777" w:rsidR="00C90BDB" w:rsidRPr="00C90BDB" w:rsidRDefault="00C90BDB" w:rsidP="00C90BDB">
      <w:pPr>
        <w:pStyle w:val="BookBody"/>
      </w:pPr>
      <w:r w:rsidRPr="00C90BDB">
        <w:rPr>
          <w:szCs w:val="28"/>
        </w:rPr>
        <w:t>Copernicus himself connected planetary theory to a public problem. The Fifth Lateran Council had considered reform of the ecclesiastical calendar but left the matter unresolved because the lengths of the year and month and the motions of Sun and Moon were not known with sufficient precision. In his dedication to Paul III, Copernicus offered his labor as a possible contribution to the Church. Earth’s motion entered print partly under the sign of Easter.</w:t>
      </w:r>
      <w:r w:rsidRPr="00C90BDB">
        <w:rPr>
          <w:szCs w:val="28"/>
          <w:vertAlign w:val="superscript"/>
        </w:rPr>
        <w:t>8</w:t>
      </w:r>
    </w:p>
    <w:p w14:paraId="5D8511F9" w14:textId="77777777" w:rsidR="00C90BDB" w:rsidRPr="00C90BDB" w:rsidRDefault="00C90BDB" w:rsidP="00C90BDB">
      <w:pPr>
        <w:pStyle w:val="BookBody"/>
      </w:pPr>
      <w:r w:rsidRPr="00C90BDB">
        <w:rPr>
          <w:szCs w:val="28"/>
        </w:rPr>
        <w:t>Calendar work joined astronomy’s theoretical and practical branches. Geometrical models supplied principles; numerical tables turned them into positions for particular dates. Clergy needed lunar and solar cycles for feast calculation. Physicians and astrologers required positions for judgments. Courts wanted prognostications. Navigators and surveyors consulted celestial coordinates. The table was not a summary placed after the theory. It was the form in which a theory entered repeated work.</w:t>
      </w:r>
    </w:p>
    <w:p w14:paraId="550F6DD9" w14:textId="77777777" w:rsidR="00C90BDB" w:rsidRPr="00C90BDB" w:rsidRDefault="00C90BDB" w:rsidP="00C90BDB">
      <w:pPr>
        <w:pStyle w:val="BookBody"/>
      </w:pPr>
      <w:r w:rsidRPr="00C90BDB">
        <w:rPr>
          <w:szCs w:val="28"/>
        </w:rPr>
        <w:t xml:space="preserve">Reinhold’s </w:t>
      </w:r>
      <w:r w:rsidRPr="00C90BDB">
        <w:rPr>
          <w:i/>
          <w:szCs w:val="28"/>
        </w:rPr>
        <w:t>Prutenic Tables</w:t>
      </w:r>
      <w:r w:rsidRPr="00C90BDB">
        <w:rPr>
          <w:szCs w:val="28"/>
        </w:rPr>
        <w:t xml:space="preserve"> of 1551 made that entry possible. Dedicated to Duke Albrecht of Prussia, the tables drew their principal parameters and models from Copernicus. Reinhold corrected procedures, supplied canons for use, and made positions easier to compute. Yet he did not advertise the tables as a demand for heliocentric belief. Their theoretical derivation remained in commentary and in the knowledge of a relatively small circle. A user could compute with Copernicus while the Earth stayed still in natural philosophy.</w:t>
      </w:r>
      <w:r w:rsidRPr="00C90BDB">
        <w:rPr>
          <w:szCs w:val="28"/>
          <w:vertAlign w:val="superscript"/>
        </w:rPr>
        <w:t>9</w:t>
      </w:r>
    </w:p>
    <w:p w14:paraId="4BF6095B" w14:textId="77777777" w:rsidR="00C90BDB" w:rsidRPr="00C90BDB" w:rsidRDefault="00C90BDB" w:rsidP="00C90BDB">
      <w:pPr>
        <w:pStyle w:val="BookBody"/>
      </w:pPr>
      <w:r w:rsidRPr="00C90BDB">
        <w:rPr>
          <w:szCs w:val="28"/>
        </w:rPr>
        <w:t>This separation helped Copernican numbers travel. Almanac makers and prognosticators could cite the “new and well-founded astronomy” as a source of credibility. Later astronomers tested observations against Prutenic positions. Calendar reformers could use improved parameters without asking every church and city to settle the physical system. In 1582 the Gregorian calendar gave Europe a conspicuous instance of mathematical astronomy reorganizing civic and sacred time while cosmological agreement remained absent.</w:t>
      </w:r>
    </w:p>
    <w:p w14:paraId="38D1B4A3" w14:textId="77777777" w:rsidR="00C90BDB" w:rsidRPr="00C90BDB" w:rsidRDefault="00C90BDB" w:rsidP="00C90BDB">
      <w:pPr>
        <w:pStyle w:val="BookBody"/>
      </w:pPr>
      <w:r w:rsidRPr="00C90BDB">
        <w:rPr>
          <w:szCs w:val="28"/>
        </w:rPr>
        <w:t>The reform did not end controversy because a date is never merely a number. Catholic adoption under papal authority made Protestant communities suspicious of a technically defensible correction. In biconfessional cities the calendar could divide markets, courts, sermons, slaughter days, and feasts. Michael Maestlin, Kepler’s teacher and a Copernican, opposed the Gregorian reform on mathematical, political, and confessional grounds. Agreement about Earth’s motion did not determine agreement about the calendar.</w:t>
      </w:r>
      <w:r w:rsidRPr="00C90BDB">
        <w:rPr>
          <w:szCs w:val="28"/>
          <w:vertAlign w:val="superscript"/>
        </w:rPr>
        <w:t>10</w:t>
      </w:r>
    </w:p>
    <w:p w14:paraId="600B9D1E" w14:textId="77777777" w:rsidR="00C90BDB" w:rsidRPr="00C90BDB" w:rsidRDefault="00C90BDB" w:rsidP="00C90BDB">
      <w:pPr>
        <w:pStyle w:val="BookBody"/>
      </w:pPr>
      <w:r w:rsidRPr="00C90BDB">
        <w:rPr>
          <w:szCs w:val="28"/>
        </w:rPr>
        <w:t>Kepler took the opposite position. The Gregorian arrangement was imperfect, but a workable common calendar was better than confessional multiplication. In a 1604 dialogue he cast mathematical impartiality not as escape from every commitment but as the capacity to hear several positions and find a usable settlement. Astronomy became a discipline of public peace. The same man who insisted on the physical truth of heliocentrism could defend a conventional temporal system because coordinated action had its own intellectual and moral value.</w:t>
      </w:r>
      <w:r w:rsidRPr="00C90BDB">
        <w:rPr>
          <w:szCs w:val="28"/>
          <w:vertAlign w:val="superscript"/>
        </w:rPr>
        <w:t>11</w:t>
      </w:r>
    </w:p>
    <w:p w14:paraId="389761D0" w14:textId="77777777" w:rsidR="00C90BDB" w:rsidRPr="00C90BDB" w:rsidRDefault="00C90BDB" w:rsidP="00C90BDB">
      <w:pPr>
        <w:pStyle w:val="BookBody"/>
      </w:pPr>
      <w:r w:rsidRPr="00C90BDB">
        <w:rPr>
          <w:szCs w:val="28"/>
        </w:rPr>
        <w:t>Calendar and table thus prevent the chapter from becoming a contest between abstract world pictures. Copernican astronomy lived in dates, columns, corrections, and forecasts. Its parameters could be true, useful, or both; the answer varied with the reader and task. Heliocentrism became durable not only because it persuaded philosophers but because it could be made to work.</w:t>
      </w:r>
    </w:p>
    <w:p w14:paraId="22904134" w14:textId="77777777" w:rsidR="00C90BDB" w:rsidRPr="00C90BDB" w:rsidRDefault="00C90BDB" w:rsidP="00C90BDB">
      <w:pPr>
        <w:pStyle w:val="BookBody"/>
      </w:pPr>
      <w:r w:rsidRPr="00C90BDB">
        <w:rPr>
          <w:szCs w:val="28"/>
        </w:rPr>
        <w:t>The table also disciplined failure. When a predicted conjunction or opposition appeared at the wrong time, the discrepancy could be traced through epoch, parameter, operation, and observation. Error became localizable. This did not guarantee agreement about the cause, but it changed controversy from a collision of complete authorities into a sequence of corrigible procedures.</w:t>
      </w:r>
    </w:p>
    <w:p w14:paraId="13223D29" w14:textId="77777777" w:rsidR="00C90BDB" w:rsidRPr="00C90BDB" w:rsidRDefault="00C90BDB" w:rsidP="00C90BDB">
      <w:pPr>
        <w:pStyle w:val="BookBody"/>
      </w:pPr>
      <w:r w:rsidRPr="00C90BDB">
        <w:rPr>
          <w:szCs w:val="28"/>
        </w:rPr>
        <w:t>That procedural character made astronomy collective across generations. Copernicus inherited observations and tables, Reinhold recast Copernicus, Tycho produced a new observational archive, and Kepler used it to revise both path and speed. No one author possessed the sky. The printed table was an institution for carrying incomplete accuracy forward.</w:t>
      </w:r>
    </w:p>
    <w:p w14:paraId="23911C7F" w14:textId="77777777" w:rsidR="00C90BDB" w:rsidRPr="00C90BDB" w:rsidRDefault="00C90BDB" w:rsidP="00C90BDB">
      <w:pPr>
        <w:pStyle w:val="SectionHeading"/>
      </w:pPr>
      <w:r w:rsidRPr="00C90BDB">
        <w:rPr>
          <w:bCs/>
          <w:szCs w:val="28"/>
        </w:rPr>
        <w:t>The Polyhedral Promise</w:t>
      </w:r>
    </w:p>
    <w:p w14:paraId="10FEFC5F" w14:textId="77777777" w:rsidR="00C90BDB" w:rsidRPr="00C90BDB" w:rsidRDefault="00C90BDB" w:rsidP="00C90BDB">
      <w:pPr>
        <w:pStyle w:val="BookBody"/>
      </w:pPr>
      <w:r w:rsidRPr="00C90BDB">
        <w:rPr>
          <w:szCs w:val="28"/>
        </w:rPr>
        <w:t xml:space="preserve">Johannes Kepler first encountered Copernicanism at the Lutheran University of Tübingen through Maestlin. He did not receive it as a license to flatten the cosmos. In the </w:t>
      </w:r>
      <w:r w:rsidRPr="00C90BDB">
        <w:rPr>
          <w:i/>
          <w:szCs w:val="28"/>
        </w:rPr>
        <w:t>Mysterium cosmographicum</w:t>
      </w:r>
      <w:r w:rsidRPr="00C90BDB">
        <w:rPr>
          <w:szCs w:val="28"/>
        </w:rPr>
        <w:t xml:space="preserve"> of 1596, he tried to show why there were exactly six planets and why their paths had their particular sizes. Copernicus had disclosed the order. Kepler wanted the reason for the order.</w:t>
      </w:r>
      <w:r w:rsidRPr="00C90BDB">
        <w:rPr>
          <w:szCs w:val="28"/>
          <w:vertAlign w:val="superscript"/>
        </w:rPr>
        <w:t>12</w:t>
      </w:r>
    </w:p>
    <w:p w14:paraId="21247FE3" w14:textId="77777777" w:rsidR="00C90BDB" w:rsidRPr="00C90BDB" w:rsidRDefault="00C90BDB" w:rsidP="00C90BDB">
      <w:pPr>
        <w:pStyle w:val="BookBody"/>
      </w:pPr>
      <w:r w:rsidRPr="00C90BDB">
        <w:rPr>
          <w:szCs w:val="28"/>
        </w:rPr>
        <w:t>On 19 July 1595, while lecturing on the great conjunctions of Saturn and Jupiter, Kepler noticed a pattern formed by inscribed polygons. The planar construction failed. There were too many possible polygons and it did not explain why the number of planets stopped at six. He then shifted from plane figures to solids. Euclidean geometry recognized exactly five regular polyhedra. Six planetary spheres created exactly five intervals. The fit seemed like access to the Creator’s plan.</w:t>
      </w:r>
    </w:p>
    <w:p w14:paraId="104AE3DC" w14:textId="77777777" w:rsidR="00C90BDB" w:rsidRPr="00C90BDB" w:rsidRDefault="00C90BDB" w:rsidP="00C90BDB">
      <w:pPr>
        <w:pStyle w:val="BookBody"/>
      </w:pPr>
      <w:r w:rsidRPr="00C90BDB">
        <w:rPr>
          <w:szCs w:val="28"/>
        </w:rPr>
        <w:t>Kepler placed a cube between Saturn and Jupiter, a tetrahedron between Jupiter and Mars, a dodecahedron between Mars and Earth, an icosahedron between Earth and Venus, and an octahedron between Venus and Mercury. Each solid was circumscribed by one planetary sphere and inscribed within the next. The sequence did not reproduce the distances perfectly, and Kepler revised the thickness assigned to the spheres. What mattered was that number and magnitude appeared derivable from geometry rather than accepted as brute facts.</w:t>
      </w:r>
    </w:p>
    <w:p w14:paraId="241431D6" w14:textId="77777777" w:rsidR="00C90BDB" w:rsidRPr="00C90BDB" w:rsidRDefault="00C90BDB" w:rsidP="00C90BDB">
      <w:pPr>
        <w:pStyle w:val="BookBody"/>
      </w:pPr>
      <w:r w:rsidRPr="00C90BDB">
        <w:rPr>
          <w:szCs w:val="28"/>
        </w:rPr>
        <w:t>The high-resolution plate makes the ambition visible. Spherical shells and sharp-edged solids nest around a small central Sun. The model looks like an instrument, a temple, and a piece of courtly architecture at once. Its heavy frame advertises construction. Its inaccessible interior advertises mystery disclosed. It is not a picture of what an observer would see but a claim about what divine reason had built.</w:t>
      </w:r>
    </w:p>
    <w:p w14:paraId="35C89A16" w14:textId="77777777" w:rsidR="00C90BDB" w:rsidRPr="00C90BDB" w:rsidRDefault="00C90BDB" w:rsidP="00C90BDB">
      <w:pPr>
        <w:pStyle w:val="FigureImage"/>
      </w:pPr>
      <w:r w:rsidRPr="00C90BDB">
        <w:rPr>
          <w:noProof/>
          <w:szCs w:val="28"/>
        </w:rPr>
        <w:drawing>
          <wp:inline distT="0" distB="0" distL="0" distR="0" wp14:anchorId="7471D030" wp14:editId="4D4CBCB2">
            <wp:extent cx="4297680" cy="5064179"/>
            <wp:effectExtent l="0" t="0" r="0" b="0"/>
            <wp:docPr id="2" name="Picture 2" descr="Kepler's nested-polyhedra model, with the five regular solids fitted between six planetary spheres around the S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ysterium_Cosmographicum_solar_system_model.jpg"/>
                    <pic:cNvPicPr/>
                  </pic:nvPicPr>
                  <pic:blipFill>
                    <a:blip r:embed="rId13"/>
                    <a:stretch>
                      <a:fillRect/>
                    </a:stretch>
                  </pic:blipFill>
                  <pic:spPr>
                    <a:xfrm>
                      <a:off x="0" y="0"/>
                      <a:ext cx="4297680" cy="5064179"/>
                    </a:xfrm>
                    <a:prstGeom prst="rect">
                      <a:avLst/>
                    </a:prstGeom>
                  </pic:spPr>
                </pic:pic>
              </a:graphicData>
            </a:graphic>
          </wp:inline>
        </w:drawing>
      </w:r>
    </w:p>
    <w:p w14:paraId="6BCC126F" w14:textId="77777777" w:rsidR="00C90BDB" w:rsidRPr="00C90BDB" w:rsidRDefault="00C90BDB" w:rsidP="00C90BDB">
      <w:pPr>
        <w:pStyle w:val="FigureCaption"/>
      </w:pPr>
      <w:r w:rsidRPr="00C90BDB">
        <w:rPr>
          <w:szCs w:val="28"/>
        </w:rPr>
        <w:t>Figure 13.2. Kepler’s nested-polyhedra model, Mysterium cosmographicum (Tübingen, 1596), Tabula III. The five regular solids separate the six planetary spheres. Public-domain facsimile supplied for this chapter.</w:t>
      </w:r>
    </w:p>
    <w:p w14:paraId="0EEC215E" w14:textId="77777777" w:rsidR="00C90BDB" w:rsidRPr="00C90BDB" w:rsidRDefault="00C90BDB" w:rsidP="00C90BDB">
      <w:pPr>
        <w:pStyle w:val="BookBody"/>
      </w:pPr>
      <w:r w:rsidRPr="00C90BDB">
        <w:rPr>
          <w:szCs w:val="28"/>
        </w:rPr>
        <w:t>Kepler’s argument depended on the special status of geometrical archetypes. Pure numbers could be manipulated arbitrarily, but constructible figures possessed necessary properties. The distinction between curved and straight, the circle and the regular solids, belonged to the logic through which God gave quantity to creation. Because the human intellect had been made in the divine image, it could recognize those relations. Geometry joined the mind of the astronomer to the mind of the maker.</w:t>
      </w:r>
      <w:r w:rsidRPr="00C90BDB">
        <w:rPr>
          <w:szCs w:val="28"/>
          <w:vertAlign w:val="superscript"/>
        </w:rPr>
        <w:t>13</w:t>
      </w:r>
    </w:p>
    <w:p w14:paraId="13C8BC23" w14:textId="77777777" w:rsidR="00C90BDB" w:rsidRPr="00C90BDB" w:rsidRDefault="00C90BDB" w:rsidP="00C90BDB">
      <w:pPr>
        <w:pStyle w:val="BookBody"/>
      </w:pPr>
      <w:r w:rsidRPr="00C90BDB">
        <w:rPr>
          <w:szCs w:val="28"/>
        </w:rPr>
        <w:t>The theology was explicitly Trinitarian. Sphere, center, and surface could image Father, Son, and Spirit; the central Sun could image divine source and mediation. Kepler later corrected some youthful formulations, but he did not relinquish the conviction that creation bore intelligible archetypes. His famous remark that he had wished to be a theologian and now saw God glorified through astronomy belongs to this program. The study of planetary distances was a vocation.</w:t>
      </w:r>
    </w:p>
    <w:p w14:paraId="16E64BE8" w14:textId="77777777" w:rsidR="00C90BDB" w:rsidRPr="00C90BDB" w:rsidRDefault="00C90BDB" w:rsidP="00C90BDB">
      <w:pPr>
        <w:pStyle w:val="BookBody"/>
      </w:pPr>
      <w:r w:rsidRPr="00C90BDB">
        <w:rPr>
          <w:szCs w:val="28"/>
        </w:rPr>
        <w:t xml:space="preserve">The polyhedral model failed as an exact law of planetary spacing. That failure should not be treated as an embarrassing husk surrounding the “real” Kepler. It established questions that organized the rest of his career: Why these planets? Why these distances? Why these speeds? What physical cause linked distance and motion? The </w:t>
      </w:r>
      <w:r w:rsidRPr="00C90BDB">
        <w:rPr>
          <w:i/>
          <w:szCs w:val="28"/>
        </w:rPr>
        <w:t>Astronomia nova</w:t>
      </w:r>
      <w:r w:rsidRPr="00C90BDB">
        <w:rPr>
          <w:szCs w:val="28"/>
        </w:rPr>
        <w:t xml:space="preserve"> and </w:t>
      </w:r>
      <w:r w:rsidRPr="00C90BDB">
        <w:rPr>
          <w:i/>
          <w:szCs w:val="28"/>
        </w:rPr>
        <w:t>Harmonices mundi</w:t>
      </w:r>
      <w:r w:rsidRPr="00C90BDB">
        <w:rPr>
          <w:szCs w:val="28"/>
        </w:rPr>
        <w:t xml:space="preserve"> did not emerge by purging the </w:t>
      </w:r>
      <w:r w:rsidRPr="00C90BDB">
        <w:rPr>
          <w:i/>
          <w:szCs w:val="28"/>
        </w:rPr>
        <w:t>Mysterium</w:t>
      </w:r>
      <w:r w:rsidRPr="00C90BDB">
        <w:rPr>
          <w:szCs w:val="28"/>
        </w:rPr>
        <w:t>. They extended its search under the pressure of better observations.</w:t>
      </w:r>
      <w:r w:rsidRPr="00C90BDB">
        <w:rPr>
          <w:szCs w:val="28"/>
          <w:vertAlign w:val="superscript"/>
        </w:rPr>
        <w:t>14</w:t>
      </w:r>
    </w:p>
    <w:p w14:paraId="1BFAB7CF" w14:textId="77777777" w:rsidR="00C90BDB" w:rsidRPr="00C90BDB" w:rsidRDefault="00C90BDB" w:rsidP="00C90BDB">
      <w:pPr>
        <w:pStyle w:val="BookBody"/>
      </w:pPr>
      <w:r w:rsidRPr="00C90BDB">
        <w:rPr>
          <w:szCs w:val="28"/>
        </w:rPr>
        <w:t>The model also clarifies what survived the Copernican displacement. Earth is no longer the geometrical center, but it occupies a privileged median interval between the solids. The Sun is not just a convenient origin for coordinates; it is the source around which the architecture is ordered. The cosmos has become more mathematically constrained and more theologically legible at the same time.</w:t>
      </w:r>
    </w:p>
    <w:p w14:paraId="7C6A4056" w14:textId="77777777" w:rsidR="00C90BDB" w:rsidRPr="00C90BDB" w:rsidRDefault="00C90BDB" w:rsidP="00C90BDB">
      <w:pPr>
        <w:pStyle w:val="BookBody"/>
      </w:pPr>
      <w:r w:rsidRPr="00C90BDB">
        <w:rPr>
          <w:szCs w:val="28"/>
        </w:rPr>
        <w:t xml:space="preserve">The second edition of the </w:t>
      </w:r>
      <w:r w:rsidRPr="00C90BDB">
        <w:rPr>
          <w:i/>
          <w:szCs w:val="28"/>
        </w:rPr>
        <w:t>Mysterium</w:t>
      </w:r>
      <w:r w:rsidRPr="00C90BDB">
        <w:rPr>
          <w:szCs w:val="28"/>
        </w:rPr>
        <w:t>, published in 1621 with extensive annotations, shows Kepler refusing the choice between loyalty and correction. He preserved the youthful text, surrounded it with later comments, admitted errors, and explained how the new astronomy had altered the original construction. The book became a dialogue between two stages of one project. Revision was itself evidence that a providential vocation could proceed through failed hypotheses.</w:t>
      </w:r>
    </w:p>
    <w:p w14:paraId="13330FAB" w14:textId="77777777" w:rsidR="00C90BDB" w:rsidRPr="00C90BDB" w:rsidRDefault="00C90BDB" w:rsidP="00C90BDB">
      <w:pPr>
        <w:pStyle w:val="SectionHeading"/>
      </w:pPr>
      <w:r w:rsidRPr="00C90BDB">
        <w:rPr>
          <w:bCs/>
          <w:szCs w:val="28"/>
        </w:rPr>
        <w:t>From Architecture to Celestial Physics</w:t>
      </w:r>
    </w:p>
    <w:p w14:paraId="28ECC04E" w14:textId="77777777" w:rsidR="00C90BDB" w:rsidRPr="00C90BDB" w:rsidRDefault="00C90BDB" w:rsidP="00C90BDB">
      <w:pPr>
        <w:pStyle w:val="BookBody"/>
      </w:pPr>
      <w:r w:rsidRPr="00C90BDB">
        <w:rPr>
          <w:szCs w:val="28"/>
        </w:rPr>
        <w:t xml:space="preserve">The </w:t>
      </w:r>
      <w:r w:rsidRPr="00C90BDB">
        <w:rPr>
          <w:i/>
          <w:szCs w:val="28"/>
        </w:rPr>
        <w:t>Mysterium</w:t>
      </w:r>
      <w:r w:rsidRPr="00C90BDB">
        <w:rPr>
          <w:szCs w:val="28"/>
        </w:rPr>
        <w:t xml:space="preserve"> joined formal cause to a first attempt at efficient cause. Kepler reasoned that a moving power issued from the Sun and weakened with distance. A planet traveled more slowly when farther from the source and more quickly when nearer. He initially spoke of a moving soul; later he preferred the language of force or species and drew on William Gilbert’s magnetism. The vocabulary changed because Kepler wanted a cause that could yield quantity.</w:t>
      </w:r>
      <w:r w:rsidRPr="00C90BDB">
        <w:rPr>
          <w:szCs w:val="28"/>
          <w:vertAlign w:val="superscript"/>
        </w:rPr>
        <w:t>15</w:t>
      </w:r>
    </w:p>
    <w:p w14:paraId="1D9A381F" w14:textId="77777777" w:rsidR="00C90BDB" w:rsidRPr="00C90BDB" w:rsidRDefault="00C90BDB" w:rsidP="00C90BDB">
      <w:pPr>
        <w:pStyle w:val="BookBody"/>
      </w:pPr>
      <w:r w:rsidRPr="00C90BDB">
        <w:rPr>
          <w:szCs w:val="28"/>
        </w:rPr>
        <w:t>Tycho Brahe’s observations made that demand severe. Tycho had measured planetary positions with an accuracy unavailable to Copernicus. Kepler entered his service in Prague in 1600 hoping to test the polyhedral distances, but he was assigned the orbit of Mars. After Tycho’s death in 1601, Kepler inherited the office of imperial mathematician and responsibility for the projected Rudolphine Tables. The practical obligation to calculate reliable positions and the cosmological desire to discover causes now converged.</w:t>
      </w:r>
    </w:p>
    <w:p w14:paraId="4067B130" w14:textId="77777777" w:rsidR="00C90BDB" w:rsidRPr="00C90BDB" w:rsidRDefault="00C90BDB" w:rsidP="00C90BDB">
      <w:pPr>
        <w:pStyle w:val="BookBody"/>
      </w:pPr>
      <w:r w:rsidRPr="00C90BDB">
        <w:rPr>
          <w:szCs w:val="28"/>
        </w:rPr>
        <w:t xml:space="preserve">The full title of the 1609 </w:t>
      </w:r>
      <w:r w:rsidRPr="00C90BDB">
        <w:rPr>
          <w:i/>
          <w:szCs w:val="28"/>
        </w:rPr>
        <w:t>Astronomia nova</w:t>
      </w:r>
      <w:r w:rsidRPr="00C90BDB">
        <w:rPr>
          <w:szCs w:val="28"/>
        </w:rPr>
        <w:t xml:space="preserve"> announced a “new astronomy, based upon causes, or celestial physics.” Kepler did not mean that geometry had become unnecessary. He showed that Ptolemaic, Copernican, and Tychonic constructions could be transformed into nearly equivalent geometries for the observed longitudes. Geometry alone therefore could not decide which world system was true. The decision required physical questions: What body acts? From where does its power proceed? What path can a planet actually traverse through the heavens?</w:t>
      </w:r>
      <w:r w:rsidRPr="00C90BDB">
        <w:rPr>
          <w:szCs w:val="28"/>
          <w:vertAlign w:val="superscript"/>
        </w:rPr>
        <w:t>16</w:t>
      </w:r>
    </w:p>
    <w:p w14:paraId="6505538E" w14:textId="77777777" w:rsidR="00C90BDB" w:rsidRPr="00C90BDB" w:rsidRDefault="00C90BDB" w:rsidP="00C90BDB">
      <w:pPr>
        <w:pStyle w:val="BookBody"/>
      </w:pPr>
      <w:r w:rsidRPr="00C90BDB">
        <w:rPr>
          <w:szCs w:val="28"/>
        </w:rPr>
        <w:t>This move changed the status of the Sun. In Copernicus it organized the planetary order and illuminated the temple. In Kepler it also did work. The planes of the planetary orbits intersected in the physical solar body, not merely at the mean Sun or an empty mathematical point. The Sun rotated and distributed a motive influence through space. Planetary speed registered distance from this active source.</w:t>
      </w:r>
    </w:p>
    <w:p w14:paraId="1863559D" w14:textId="77777777" w:rsidR="00C90BDB" w:rsidRPr="00C90BDB" w:rsidRDefault="00C90BDB" w:rsidP="00C90BDB">
      <w:pPr>
        <w:pStyle w:val="BookBody"/>
      </w:pPr>
      <w:r w:rsidRPr="00C90BDB">
        <w:rPr>
          <w:szCs w:val="28"/>
        </w:rPr>
        <w:t>Such causal realism broke with the long practice of treating celestial models as interchangeable devices. It also challenged the division between mathematical astronomy and natural philosophy. Kepler wanted a construction that saved the appearances because it represented the actual cause. He was willing to discard a convenient hypothesis if its distances were physically false even when its longitudes were predictively excellent.</w:t>
      </w:r>
    </w:p>
    <w:p w14:paraId="35D83882" w14:textId="77777777" w:rsidR="00C90BDB" w:rsidRPr="00C90BDB" w:rsidRDefault="00C90BDB" w:rsidP="00C90BDB">
      <w:pPr>
        <w:pStyle w:val="BookBody"/>
      </w:pPr>
      <w:r w:rsidRPr="00C90BDB">
        <w:rPr>
          <w:szCs w:val="28"/>
        </w:rPr>
        <w:t>Yet “celestial physics” did not mean modern mechanics already formed. Kepler’s moving power was sometimes compared with light, sometimes with magnetism, sometimes with a river carrying a pilot. He denied that a self-sufficient world soul should replace the divine artificer, but he retained souls and faculties in other domains. His physical astronomy was mechanizing and vitalistic, geometrical and theological. The categories later separated as mechanism and animism still collaborated.</w:t>
      </w:r>
    </w:p>
    <w:p w14:paraId="42FCB036" w14:textId="77777777" w:rsidR="00C90BDB" w:rsidRPr="00C90BDB" w:rsidRDefault="00C90BDB" w:rsidP="00C90BDB">
      <w:pPr>
        <w:pStyle w:val="BookBody"/>
      </w:pPr>
      <w:r w:rsidRPr="00C90BDB">
        <w:rPr>
          <w:szCs w:val="28"/>
        </w:rPr>
        <w:t>This mixed language is not a failure of nerve. It records a problem for which no established solution existed. No celestial physics had previously been required to produce exact positions without solid orbs. Kepler had to connect qualitative causes, numerical observations, and geometrical paths. The result could not be inherited whole from Aristotle, Plato, Copernicus, or Gilbert. It had to be constructed through their partial resources.</w:t>
      </w:r>
    </w:p>
    <w:p w14:paraId="7300F16A" w14:textId="77777777" w:rsidR="00C90BDB" w:rsidRPr="00C90BDB" w:rsidRDefault="00C90BDB" w:rsidP="00C90BDB">
      <w:pPr>
        <w:pStyle w:val="BookBody"/>
      </w:pPr>
      <w:r w:rsidRPr="00C90BDB">
        <w:rPr>
          <w:szCs w:val="28"/>
        </w:rPr>
        <w:t>The rejection of solid planetary shells widened the problem. If planets moved through an ethereal medium rather than being carried by nested orbs, their paths required an agent and their stable order required explanation. The loss of one material architecture did not lead directly to empty space. It prompted Kepler to fill the heavens with forces, species, magnetic relations, and solar action.</w:t>
      </w:r>
    </w:p>
    <w:p w14:paraId="063A5BA2" w14:textId="77777777" w:rsidR="00C90BDB" w:rsidRPr="00C90BDB" w:rsidRDefault="00C90BDB" w:rsidP="00C90BDB">
      <w:pPr>
        <w:pStyle w:val="BookBody"/>
      </w:pPr>
      <w:r w:rsidRPr="00C90BDB">
        <w:rPr>
          <w:szCs w:val="28"/>
        </w:rPr>
        <w:t>This is also where the title “new astronomy” earns its weight. The novelty was not heliocentrism alone; Copernicus had already supplied that. It was the demand that the same account specify a true arrangement, a physical cause, and numerical consequences adequate to Tycho’s observations. Kepler joined domains that the older division of disciplines had allowed to remain separate.</w:t>
      </w:r>
    </w:p>
    <w:p w14:paraId="07DA0D87" w14:textId="77777777" w:rsidR="00C90BDB" w:rsidRPr="00C90BDB" w:rsidRDefault="00C90BDB" w:rsidP="00C90BDB">
      <w:pPr>
        <w:pStyle w:val="SectionHeading"/>
      </w:pPr>
      <w:r w:rsidRPr="00C90BDB">
        <w:rPr>
          <w:bCs/>
          <w:szCs w:val="28"/>
        </w:rPr>
        <w:t>Eight Minutes and the Broken Circle</w:t>
      </w:r>
    </w:p>
    <w:p w14:paraId="5345A5F2" w14:textId="77777777" w:rsidR="00C90BDB" w:rsidRPr="00C90BDB" w:rsidRDefault="00C90BDB" w:rsidP="00C90BDB">
      <w:pPr>
        <w:pStyle w:val="BookBody"/>
      </w:pPr>
      <w:r w:rsidRPr="00C90BDB">
        <w:rPr>
          <w:szCs w:val="28"/>
        </w:rPr>
        <w:t>Kepler’s most celebrated number is not a planetary period but an error. A provisional model of Mars—the vicarious hypothesis—fit the observed longitudes remarkably well. It nevertheless gave incorrect distances and failed at certain positions by eight minutes of arc. Ptolemy had worked within observational uncertainty greater than that discrepancy. Tycho’s observations made it visible. Kepler declared that if he had been willing to ignore eight minutes, he could have completed the problem; because he would not, those minutes “pointed the road to a complete reformation of astronomy.”</w:t>
      </w:r>
      <w:r w:rsidRPr="00C90BDB">
        <w:rPr>
          <w:szCs w:val="28"/>
          <w:vertAlign w:val="superscript"/>
        </w:rPr>
        <w:t>17</w:t>
      </w:r>
    </w:p>
    <w:p w14:paraId="31FC0DB5" w14:textId="77777777" w:rsidR="00C90BDB" w:rsidRPr="00C90BDB" w:rsidRDefault="00C90BDB" w:rsidP="00C90BDB">
      <w:pPr>
        <w:pStyle w:val="BookBody"/>
      </w:pPr>
      <w:r w:rsidRPr="00C90BDB">
        <w:rPr>
          <w:szCs w:val="28"/>
        </w:rPr>
        <w:t>The sentence can sound like the birth of modern empirical rigor: observation defeats inherited perfection. It was that, but not only that. Kepler called Tycho’s accuracy a gift of divine benevolence that had to be acknowledged with gratitude. The recalcitrant minutes mattered because God’s world could not contradict a true geometry. Precision was a religious as well as methodological obligation.</w:t>
      </w:r>
    </w:p>
    <w:p w14:paraId="2DA69599" w14:textId="77777777" w:rsidR="00C90BDB" w:rsidRPr="00C90BDB" w:rsidRDefault="00C90BDB" w:rsidP="00C90BDB">
      <w:pPr>
        <w:pStyle w:val="BookBody"/>
      </w:pPr>
      <w:r w:rsidRPr="00C90BDB">
        <w:rPr>
          <w:szCs w:val="28"/>
        </w:rPr>
        <w:t>Kepler’s response was not a single flash of inductive insight. He tried divisions of eccentricity, oval paths, epicyclic devices, distance rules, and laborious numerical approximations. He used the vicarious hypothesis even after rejecting it as a physical account because it could supply reliable longitudes against which other constructions were tested. A false model could remain an instrument within the search for a true one.</w:t>
      </w:r>
    </w:p>
    <w:p w14:paraId="6AC5D4F0" w14:textId="77777777" w:rsidR="00C90BDB" w:rsidRPr="00C90BDB" w:rsidRDefault="00C90BDB" w:rsidP="00C90BDB">
      <w:pPr>
        <w:pStyle w:val="BookBody"/>
      </w:pPr>
      <w:r w:rsidRPr="00C90BDB">
        <w:rPr>
          <w:szCs w:val="28"/>
        </w:rPr>
        <w:t>The circle failed in stages. Kepler found that Mars’s path through the ethereal region was not circular even when the apparent loops caused by Earth’s motion were removed. He explored an egg-like oval, then a “puff-cheeked” route created by an erroneous construction. By 1605 he recognized the ellipse, with the Sun at one focus, as the path that joined correct distances to correct longitudes. The ancient privilege of uniform circular motion yielded not to simplicity but to a more exact relation among Sun, planet, and time.</w:t>
      </w:r>
      <w:r w:rsidRPr="00C90BDB">
        <w:rPr>
          <w:szCs w:val="28"/>
          <w:vertAlign w:val="superscript"/>
        </w:rPr>
        <w:t>18</w:t>
      </w:r>
    </w:p>
    <w:p w14:paraId="4286EA88" w14:textId="77777777" w:rsidR="00C90BDB" w:rsidRPr="00C90BDB" w:rsidRDefault="00C90BDB" w:rsidP="00C90BDB">
      <w:pPr>
        <w:pStyle w:val="BookBody"/>
      </w:pPr>
      <w:r w:rsidRPr="00C90BDB">
        <w:rPr>
          <w:szCs w:val="28"/>
        </w:rPr>
        <w:t>The second law emerged from the same physical problem. A planet moves faster near the Sun and slower far away. Kepler represented elapsed time through sums of distances and areas. His published procedure was not the polished textbook statement that a radius vector sweeps equal areas in equal times, and some of his computations relied on approximations. But the rule he established was physically and mathematically equivalent in its essential relation: speed varied so that solar distance and elapsed time were systematically joined.</w:t>
      </w:r>
      <w:r w:rsidRPr="00C90BDB">
        <w:rPr>
          <w:szCs w:val="28"/>
          <w:vertAlign w:val="superscript"/>
        </w:rPr>
        <w:t>19</w:t>
      </w:r>
    </w:p>
    <w:p w14:paraId="4CE03A3F" w14:textId="77777777" w:rsidR="00C90BDB" w:rsidRPr="00C90BDB" w:rsidRDefault="00C90BDB" w:rsidP="00C90BDB">
      <w:pPr>
        <w:pStyle w:val="BookBody"/>
      </w:pPr>
      <w:r w:rsidRPr="00C90BDB">
        <w:rPr>
          <w:szCs w:val="28"/>
        </w:rPr>
        <w:t>The achievement is easy to misdescribe as the moment mysticism gave way to science. Kepler did abandon one of the deepest mathematical commitments of ancient astronomy. He did so because a theological confidence in created order, a physical conviction about the Sun, and an almost obsessive fidelity to Tycho’s observations reinforced one another. The ellipse was not what remained after metaphysics had been subtracted. It was the form in which several kinds of reasoning finally agreed.</w:t>
      </w:r>
    </w:p>
    <w:p w14:paraId="512770BB" w14:textId="77777777" w:rsidR="00C90BDB" w:rsidRPr="00C90BDB" w:rsidRDefault="00C90BDB" w:rsidP="00C90BDB">
      <w:pPr>
        <w:pStyle w:val="BookBody"/>
      </w:pPr>
      <w:r w:rsidRPr="00C90BDB">
        <w:rPr>
          <w:szCs w:val="28"/>
        </w:rPr>
        <w:t xml:space="preserve">James Voelkel’s reconstruction of the Mars manuscripts also warns against reading the </w:t>
      </w:r>
      <w:r w:rsidRPr="00C90BDB">
        <w:rPr>
          <w:i/>
          <w:szCs w:val="28"/>
        </w:rPr>
        <w:t>Astronomia nova</w:t>
      </w:r>
      <w:r w:rsidRPr="00C90BDB">
        <w:rPr>
          <w:szCs w:val="28"/>
        </w:rPr>
        <w:t xml:space="preserve"> as a transparent diary of discovery. Kepler arranged false starts, errors, and recoveries into a persuasive narrative for readers suspicious of physical astronomy. The famous wandering path through the book was crafted. It demonstrated why each inherited alternative failed and made the reader experience the necessity of the new approach.</w:t>
      </w:r>
      <w:r w:rsidRPr="00C90BDB">
        <w:rPr>
          <w:szCs w:val="28"/>
          <w:vertAlign w:val="superscript"/>
        </w:rPr>
        <w:t>20</w:t>
      </w:r>
    </w:p>
    <w:p w14:paraId="711C9AB6" w14:textId="77777777" w:rsidR="00C90BDB" w:rsidRPr="00C90BDB" w:rsidRDefault="00C90BDB" w:rsidP="00C90BDB">
      <w:pPr>
        <w:pStyle w:val="BookBody"/>
      </w:pPr>
      <w:r w:rsidRPr="00C90BDB">
        <w:rPr>
          <w:szCs w:val="28"/>
        </w:rPr>
        <w:t>That rhetoric does not diminish the discovery. It locates it within a community of argument. Kepler had to persuade Tychonic astronomers, mathematical instrumentalists, correspondents such as David Fabricius, patrons, and heirs who claimed rights in Tycho’s observations. The ellipse became a law through a book designed to overcome objections, not through a solitary mind confronting unmediated facts.</w:t>
      </w:r>
    </w:p>
    <w:p w14:paraId="71681DB8" w14:textId="77777777" w:rsidR="00C90BDB" w:rsidRPr="00C90BDB" w:rsidRDefault="00C90BDB" w:rsidP="00C90BDB">
      <w:pPr>
        <w:pStyle w:val="BookBody"/>
      </w:pPr>
      <w:r w:rsidRPr="00C90BDB">
        <w:rPr>
          <w:szCs w:val="28"/>
        </w:rPr>
        <w:t>The eight minutes also reveal that accuracy is historically made. They mattered only because instruments, observational routines, numerical reductions, and confidence in Tycho’s archive had produced a smaller field of acceptable error. A medieval astronomer had not simply failed to care about eight minutes. The institutional and material conditions that made those minutes authoritative did not yet exist in the same form.</w:t>
      </w:r>
    </w:p>
    <w:p w14:paraId="4249015F" w14:textId="77777777" w:rsidR="00C90BDB" w:rsidRPr="00C90BDB" w:rsidRDefault="00C90BDB" w:rsidP="00C90BDB">
      <w:pPr>
        <w:pStyle w:val="SectionHeading"/>
      </w:pPr>
      <w:r w:rsidRPr="00C90BDB">
        <w:rPr>
          <w:bCs/>
          <w:szCs w:val="28"/>
        </w:rPr>
        <w:t>Law, Force, and Living Agency</w:t>
      </w:r>
    </w:p>
    <w:p w14:paraId="05C67826" w14:textId="77777777" w:rsidR="00C90BDB" w:rsidRPr="00C90BDB" w:rsidRDefault="00C90BDB" w:rsidP="00C90BDB">
      <w:pPr>
        <w:pStyle w:val="BookBody"/>
      </w:pPr>
      <w:r w:rsidRPr="00C90BDB">
        <w:rPr>
          <w:szCs w:val="28"/>
        </w:rPr>
        <w:t>The ellipse and the area relation are often made to mark a clean passage from organism to mechanism. Kepler himself supplied material for that story. In a famous letter he contrasted an earlier view of the cosmos as a divine animal with a new comparison to a clock. Celestial motions, he suggested, could be produced by a simple magnetic and bodily force, just as the movements of a clock followed from its weights. The metaphor identified a direction: from an intelligent mover assigned to each planet toward a system of secondary causes.</w:t>
      </w:r>
      <w:r w:rsidRPr="00C90BDB">
        <w:rPr>
          <w:szCs w:val="28"/>
          <w:vertAlign w:val="superscript"/>
        </w:rPr>
        <w:t>21</w:t>
      </w:r>
    </w:p>
    <w:p w14:paraId="29FC0D18" w14:textId="77777777" w:rsidR="00C90BDB" w:rsidRPr="00C90BDB" w:rsidRDefault="00C90BDB" w:rsidP="00C90BDB">
      <w:pPr>
        <w:pStyle w:val="BookBody"/>
      </w:pPr>
      <w:r w:rsidRPr="00C90BDB">
        <w:rPr>
          <w:szCs w:val="28"/>
        </w:rPr>
        <w:t>But the clock did not empty the world. Kepler’s machine had an artificer, its quantities embodied a divine geometry, and its principal body—the Sun—remained a source of power and symbolic dignity. He rejected a world soul when it threatened to become an independent governor that stole glory from the Creator. He did not reject every natural soul or faculty. The boundary he drew was theological and causal, not a simple opposition between dead mechanism and living nature.</w:t>
      </w:r>
    </w:p>
    <w:p w14:paraId="458F098A" w14:textId="77777777" w:rsidR="00C90BDB" w:rsidRPr="00C90BDB" w:rsidRDefault="00C90BDB" w:rsidP="00C90BDB">
      <w:pPr>
        <w:pStyle w:val="BookBody"/>
      </w:pPr>
      <w:r w:rsidRPr="00C90BDB">
        <w:rPr>
          <w:szCs w:val="28"/>
        </w:rPr>
        <w:t>Patrick Boner’s study of Kepler’s cosmological synthesis makes the continuity difficult to ignore. Kepler could analyze planetary motion through a force diffused from the Sun while explaining generation, weather, comets, and stellar novelty through faculties modeled on living beings. The same material medium extended across the celestial and terrestrial regions. Earth could digest water, generate forms, and react to configurations. Celestial physics unified the regions partly by carrying terrestrial life upward.</w:t>
      </w:r>
      <w:r w:rsidRPr="00C90BDB">
        <w:rPr>
          <w:szCs w:val="28"/>
          <w:vertAlign w:val="superscript"/>
        </w:rPr>
        <w:t>22</w:t>
      </w:r>
    </w:p>
    <w:p w14:paraId="1B6DD956" w14:textId="77777777" w:rsidR="00C90BDB" w:rsidRPr="00C90BDB" w:rsidRDefault="00C90BDB" w:rsidP="00C90BDB">
      <w:pPr>
        <w:pStyle w:val="BookBody"/>
      </w:pPr>
      <w:r w:rsidRPr="00C90BDB">
        <w:rPr>
          <w:szCs w:val="28"/>
        </w:rPr>
        <w:t>The language of “force” therefore needs historical care. Kepler did not possess Newtonian inertia or universal gravitation. A planet required a continuing mover, and the speed of the solar influence was tied to the rotating Sun and to distance. Magnetic analogies offered attractive and repulsive orientations; species radiated like light. These were serious attempts to specify physical agency, not poetic synonyms for a law already known.</w:t>
      </w:r>
    </w:p>
    <w:p w14:paraId="603788CA" w14:textId="77777777" w:rsidR="00C90BDB" w:rsidRPr="00C90BDB" w:rsidRDefault="00C90BDB" w:rsidP="00C90BDB">
      <w:pPr>
        <w:pStyle w:val="BookBody"/>
      </w:pPr>
      <w:r w:rsidRPr="00C90BDB">
        <w:rPr>
          <w:szCs w:val="28"/>
        </w:rPr>
        <w:t>The laws themselves were not initially autonomous. The ellipse described a path, and the area relation ordered motion along it, but Kepler valued them because they constrained a causal account. His physics was imperfect by later standards and extraordinarily productive in his own. It made distances answerable to observations, required a real Sun, and turned planetary inequality from a defect in circular representation into a property of the world.</w:t>
      </w:r>
    </w:p>
    <w:p w14:paraId="4D879156" w14:textId="77777777" w:rsidR="00C90BDB" w:rsidRPr="00C90BDB" w:rsidRDefault="00C90BDB" w:rsidP="00C90BDB">
      <w:pPr>
        <w:pStyle w:val="BookBody"/>
      </w:pPr>
      <w:r w:rsidRPr="00C90BDB">
        <w:rPr>
          <w:szCs w:val="28"/>
        </w:rPr>
        <w:t>Here the living cosmos changes rather than simply disappears. Agency is redistributed. Planetary intelligences lose work; the Sun gains causal power; geometrical relations become more authoritative; the Earth’s soul survives in meteorology and astrology. God acts increasingly through lawful secondary causes, yet those causes do not all resemble impact among inert particles. Mechanism is one strand in a fabric still thick with life.</w:t>
      </w:r>
    </w:p>
    <w:p w14:paraId="64DF75EB" w14:textId="77777777" w:rsidR="00C90BDB" w:rsidRPr="00C90BDB" w:rsidRDefault="00C90BDB" w:rsidP="00C90BDB">
      <w:pPr>
        <w:pStyle w:val="BookBody"/>
      </w:pPr>
      <w:r w:rsidRPr="00C90BDB">
        <w:rPr>
          <w:szCs w:val="28"/>
        </w:rPr>
        <w:t>Kepler is therefore the exemplary divided figure for this history. He offers no stable border between Renaissance and modern. The polyhedral architect, the physical astronomer, the Lutheran exegete, the astrologer, and the maker of tables are not consecutive selves. They are simultaneous offices. His achievement came from making them answer to one another, even when they could not be made consistent.</w:t>
      </w:r>
    </w:p>
    <w:p w14:paraId="6BBBA4DD" w14:textId="77777777" w:rsidR="00C90BDB" w:rsidRPr="00C90BDB" w:rsidRDefault="00C90BDB" w:rsidP="00C90BDB">
      <w:pPr>
        <w:pStyle w:val="SectionHeading"/>
      </w:pPr>
      <w:r w:rsidRPr="00C90BDB">
        <w:rPr>
          <w:bCs/>
          <w:szCs w:val="28"/>
        </w:rPr>
        <w:t>The Music of Unequal Motion</w:t>
      </w:r>
    </w:p>
    <w:p w14:paraId="18B0B317" w14:textId="77777777" w:rsidR="00C90BDB" w:rsidRPr="00C90BDB" w:rsidRDefault="00C90BDB" w:rsidP="00C90BDB">
      <w:pPr>
        <w:pStyle w:val="BookBody"/>
      </w:pPr>
      <w:r w:rsidRPr="00C90BDB">
        <w:rPr>
          <w:szCs w:val="28"/>
        </w:rPr>
        <w:t xml:space="preserve">The </w:t>
      </w:r>
      <w:r w:rsidRPr="00C90BDB">
        <w:rPr>
          <w:i/>
          <w:szCs w:val="28"/>
        </w:rPr>
        <w:t>Harmonices mundi</w:t>
      </w:r>
      <w:r w:rsidRPr="00C90BDB">
        <w:rPr>
          <w:szCs w:val="28"/>
        </w:rPr>
        <w:t xml:space="preserve"> of 1619 is commonly remembered because it contains Kepler’s third law. Its five books resist that extraction. The first two study constructible figures and their congruences; the third derives musical consonances from geometry; the fourth treats the astrological configurations of rays; the fifth joins the planetary motions into cosmic harmony. Geometry, music, astrology, and astronomy are stages of one argument about archetypal order.</w:t>
      </w:r>
      <w:r w:rsidRPr="00C90BDB">
        <w:rPr>
          <w:szCs w:val="28"/>
          <w:vertAlign w:val="superscript"/>
        </w:rPr>
        <w:t>23</w:t>
      </w:r>
    </w:p>
    <w:p w14:paraId="4DD3361F" w14:textId="77777777" w:rsidR="00C90BDB" w:rsidRPr="00C90BDB" w:rsidRDefault="00C90BDB" w:rsidP="00C90BDB">
      <w:pPr>
        <w:pStyle w:val="BookBody"/>
      </w:pPr>
      <w:r w:rsidRPr="00C90BDB">
        <w:rPr>
          <w:szCs w:val="28"/>
        </w:rPr>
        <w:t>Ancient harmony often depended on uniform circular motions and on stable numerical ratios. Kepler found harmony in inequality. A planet’s apparent angular speed as viewed from the Sun varies between aphelion and perihelion. Those extreme speeds can form ratios analogous to consonant musical intervals. Neighboring planets can converge toward or diverge from one another in related proportions. Elliptical motion did not silence the spheres. It created a more complex score.</w:t>
      </w:r>
    </w:p>
    <w:p w14:paraId="3AD02904" w14:textId="77777777" w:rsidR="00C90BDB" w:rsidRPr="00C90BDB" w:rsidRDefault="00C90BDB" w:rsidP="00C90BDB">
      <w:pPr>
        <w:pStyle w:val="BookBody"/>
      </w:pPr>
      <w:r w:rsidRPr="00C90BDB">
        <w:rPr>
          <w:szCs w:val="28"/>
        </w:rPr>
        <w:t>This was not primarily a claim that material planets produced an audible tune. Kepler’s harmonies were intelligible relations perceived from the solar standpoint. No person stood there to hear them. The human mind recognized them because it possessed the same geometrical archetypes that structured the motions. The music of the world moved from a continuous sound to a mathematically reconstructed polyphony.</w:t>
      </w:r>
    </w:p>
    <w:p w14:paraId="5EC24B8E" w14:textId="77777777" w:rsidR="00C90BDB" w:rsidRPr="00C90BDB" w:rsidRDefault="00C90BDB" w:rsidP="00C90BDB">
      <w:pPr>
        <w:pStyle w:val="BookBody"/>
      </w:pPr>
      <w:r w:rsidRPr="00C90BDB">
        <w:rPr>
          <w:szCs w:val="28"/>
        </w:rPr>
        <w:t>Kepler did not eliminate dissonance. Most planetary configurations were not consonant, and the universal harmonies occurred within ranges rather than as an eternal chord. Dissonance could intensify beauty when resolved or placed in a larger order, as contemporary music theorists and composers increasingly recognized. Harmony became the coordinated inclusion of difference, not the absence of tension.</w:t>
      </w:r>
      <w:r w:rsidRPr="00C90BDB">
        <w:rPr>
          <w:szCs w:val="28"/>
          <w:vertAlign w:val="superscript"/>
        </w:rPr>
        <w:t>24</w:t>
      </w:r>
    </w:p>
    <w:p w14:paraId="5ED95CE7" w14:textId="77777777" w:rsidR="00C90BDB" w:rsidRPr="00C90BDB" w:rsidRDefault="00C90BDB" w:rsidP="00C90BDB">
      <w:pPr>
        <w:pStyle w:val="BookBody"/>
      </w:pPr>
      <w:r w:rsidRPr="00C90BDB">
        <w:rPr>
          <w:szCs w:val="28"/>
        </w:rPr>
        <w:t>The third law completed the architecture at another scale. On 15 May 1618, after an earlier calculation had misled him, Kepler found that the relation between the periodic times of any two planets was the sesquialterate relation of their mean distances: in modern notation, the squares of the periods are proportional to the cubes of the mean distances. He described the discovery as awakening from a dream after seventeen years of labor on Tycho’s observations. The result linked all the planetary paths through one proportion.</w:t>
      </w:r>
      <w:r w:rsidRPr="00C90BDB">
        <w:rPr>
          <w:szCs w:val="28"/>
          <w:vertAlign w:val="superscript"/>
        </w:rPr>
        <w:t>25</w:t>
      </w:r>
    </w:p>
    <w:p w14:paraId="53CDED59" w14:textId="77777777" w:rsidR="00C90BDB" w:rsidRPr="00C90BDB" w:rsidRDefault="00C90BDB" w:rsidP="00C90BDB">
      <w:pPr>
        <w:pStyle w:val="BookBody"/>
      </w:pPr>
      <w:r w:rsidRPr="00C90BDB">
        <w:rPr>
          <w:szCs w:val="28"/>
        </w:rPr>
        <w:t>To isolate that law from the harmonic project is to reverse Kepler’s reasoning. He found it while trying to connect periodic times, distances, and consonant motions. It allowed him to move between the scales of the planetary system and test the harmonies against observed quantities. A relation later prized for dynamical astronomy appeared to Kepler as the crowning confirmation that creation had been composed.</w:t>
      </w:r>
    </w:p>
    <w:p w14:paraId="1E174A99" w14:textId="77777777" w:rsidR="00C90BDB" w:rsidRPr="00C90BDB" w:rsidRDefault="00C90BDB" w:rsidP="00C90BDB">
      <w:pPr>
        <w:pStyle w:val="BookBody"/>
      </w:pPr>
      <w:r w:rsidRPr="00C90BDB">
        <w:rPr>
          <w:szCs w:val="28"/>
        </w:rPr>
        <w:t xml:space="preserve">The continuity with the </w:t>
      </w:r>
      <w:r w:rsidRPr="00C90BDB">
        <w:rPr>
          <w:i/>
          <w:szCs w:val="28"/>
        </w:rPr>
        <w:t>Mysterium</w:t>
      </w:r>
      <w:r w:rsidRPr="00C90BDB">
        <w:rPr>
          <w:szCs w:val="28"/>
        </w:rPr>
        <w:t xml:space="preserve"> was explicit. Kepler announced that a part of the </w:t>
      </w:r>
      <w:r w:rsidRPr="00C90BDB">
        <w:rPr>
          <w:i/>
          <w:szCs w:val="28"/>
        </w:rPr>
        <w:t>Secret of the Universe</w:t>
      </w:r>
      <w:r w:rsidRPr="00C90BDB">
        <w:rPr>
          <w:szCs w:val="28"/>
        </w:rPr>
        <w:t>, suspended for twenty-two years, could now be completed. The regular solids had offered an initial reason for planetary spacing. Tycho’s observations, the ellipse, and the new proportion corrected that youthful construction without abolishing the demand for a reason. The later harmony was not the victory of data over theology but a reconstruction of theological geometry through data.</w:t>
      </w:r>
    </w:p>
    <w:p w14:paraId="7E958C32" w14:textId="77777777" w:rsidR="00C90BDB" w:rsidRPr="00C90BDB" w:rsidRDefault="00C90BDB" w:rsidP="00C90BDB">
      <w:pPr>
        <w:pStyle w:val="BookBody"/>
      </w:pPr>
      <w:r w:rsidRPr="00C90BDB">
        <w:rPr>
          <w:szCs w:val="28"/>
        </w:rPr>
        <w:t xml:space="preserve">J. V. Field, one of the translators and editors of the supplied </w:t>
      </w:r>
      <w:r w:rsidRPr="00C90BDB">
        <w:rPr>
          <w:i/>
          <w:szCs w:val="28"/>
        </w:rPr>
        <w:t>Harmony of the World</w:t>
      </w:r>
      <w:r w:rsidRPr="00C90BDB">
        <w:rPr>
          <w:szCs w:val="28"/>
        </w:rPr>
        <w:t>, helps locate the mathematical seriousness inside the project. Kepler’s investigations of constructibility, star polyhedra, tessellations, consonance, and planetary proportions belong to the history of geometry as well as cosmology. The strangeness of the synthesis should not make its mathematics ornamental. It was precisely because the geometry was constrained that it could bear metaphysical weight.</w:t>
      </w:r>
      <w:r w:rsidRPr="00C90BDB">
        <w:rPr>
          <w:szCs w:val="28"/>
          <w:vertAlign w:val="superscript"/>
        </w:rPr>
        <w:t>26</w:t>
      </w:r>
    </w:p>
    <w:p w14:paraId="4A305858" w14:textId="77777777" w:rsidR="00C90BDB" w:rsidRPr="00C90BDB" w:rsidRDefault="00C90BDB" w:rsidP="00C90BDB">
      <w:pPr>
        <w:pStyle w:val="BookBody"/>
      </w:pPr>
      <w:r w:rsidRPr="00C90BDB">
        <w:rPr>
          <w:szCs w:val="28"/>
        </w:rPr>
        <w:t>Cosmic harmony thus survived the displacement of Earth by changing its seat and form. Earth was not the stationary bass around which every sphere turned. It was one voice in a solar composition, its speed varying lawfully along an ellipse. The cosmos remained beautiful, but beauty now included eccentricity, changing velocity, rare consonance, and the labor needed to recover a score no sense could directly receive.</w:t>
      </w:r>
    </w:p>
    <w:p w14:paraId="3BB9FD50" w14:textId="77777777" w:rsidR="00C90BDB" w:rsidRPr="00C90BDB" w:rsidRDefault="00C90BDB" w:rsidP="00C90BDB">
      <w:pPr>
        <w:pStyle w:val="BookBody"/>
      </w:pPr>
      <w:r w:rsidRPr="00C90BDB">
        <w:rPr>
          <w:szCs w:val="28"/>
        </w:rPr>
        <w:t>The solar standpoint is decisive. The harmonies do not organize the planets as they appear from Earth, where annual motion produces stations and reversals. Kepler removes that common optical contribution and considers the motions as they would appear from the Sun, the source of motion. Harmony becomes an achievement of theoretical purification: the apparent disorder must be decomposed before the consonant ratios emerge.</w:t>
      </w:r>
    </w:p>
    <w:p w14:paraId="6937BBA1" w14:textId="77777777" w:rsidR="00C90BDB" w:rsidRPr="00C90BDB" w:rsidRDefault="00C90BDB" w:rsidP="00C90BDB">
      <w:pPr>
        <w:pStyle w:val="BookBody"/>
      </w:pPr>
      <w:r w:rsidRPr="00C90BDB">
        <w:rPr>
          <w:szCs w:val="28"/>
        </w:rPr>
        <w:t>This purification differs from silencing the world. Kepler did not declare sensory qualities unreal and mathematical quantities alone real. Hearing supplied the judgment that an interval was consonant; the intellect then identified its geometrical reason. Sense and reason had different offices in one act of recognition. Cosmic music survived by becoming neither merely audible nor merely numerical.</w:t>
      </w:r>
    </w:p>
    <w:p w14:paraId="1A25F9F7" w14:textId="77777777" w:rsidR="00C90BDB" w:rsidRPr="00C90BDB" w:rsidRDefault="00C90BDB" w:rsidP="00C90BDB">
      <w:pPr>
        <w:pStyle w:val="SectionHeading"/>
      </w:pPr>
      <w:r w:rsidRPr="00C90BDB">
        <w:rPr>
          <w:bCs/>
          <w:szCs w:val="28"/>
        </w:rPr>
        <w:t>Astrology Reformed, Not Erased</w:t>
      </w:r>
    </w:p>
    <w:p w14:paraId="3DF3307A" w14:textId="77777777" w:rsidR="00C90BDB" w:rsidRPr="00C90BDB" w:rsidRDefault="00C90BDB" w:rsidP="00C90BDB">
      <w:pPr>
        <w:pStyle w:val="BookBody"/>
      </w:pPr>
      <w:r w:rsidRPr="00C90BDB">
        <w:rPr>
          <w:szCs w:val="28"/>
        </w:rPr>
        <w:t>Kepler’s astronomy cannot be separated from astrology without distorting his livelihood and his cosmology. As mathematics teacher at Graz he was required to publish calendars and prognostications. As imperial mathematician he cast horoscopes and advised patrons. His first encounters with planetary tables were embedded in a discipline expected to say something about weather, politics, health, and human temperament.</w:t>
      </w:r>
      <w:r w:rsidRPr="00C90BDB">
        <w:rPr>
          <w:szCs w:val="28"/>
          <w:vertAlign w:val="superscript"/>
        </w:rPr>
        <w:t>27</w:t>
      </w:r>
    </w:p>
    <w:p w14:paraId="3597978E" w14:textId="77777777" w:rsidR="00C90BDB" w:rsidRPr="00C90BDB" w:rsidRDefault="00C90BDB" w:rsidP="00C90BDB">
      <w:pPr>
        <w:pStyle w:val="BookBody"/>
      </w:pPr>
      <w:r w:rsidRPr="00C90BDB">
        <w:rPr>
          <w:szCs w:val="28"/>
        </w:rPr>
        <w:t>He was also one of astrology’s sharpest internal critics. Kepler rejected the conventional properties assigned to zodiacal signs, the system of houses, triplicities, and much confident political prediction. He compared his task to Reformation: inherited frivolities had to be stripped away so that a defensible kernel could survive. The analogy was not casual. As Luther had attacked accumulated ceremonies without rejecting Christianity, Kepler attacked astrological custom without rejecting celestial influence.</w:t>
      </w:r>
    </w:p>
    <w:p w14:paraId="139DF742" w14:textId="77777777" w:rsidR="00C90BDB" w:rsidRPr="00C90BDB" w:rsidRDefault="00C90BDB" w:rsidP="00C90BDB">
      <w:pPr>
        <w:pStyle w:val="BookBody"/>
      </w:pPr>
      <w:r w:rsidRPr="00C90BDB">
        <w:rPr>
          <w:szCs w:val="28"/>
        </w:rPr>
        <w:t>The kernel consisted above all in geometrical aspects. When rays from planets met at angles corresponding to constructible figures and harmonic divisions, they could form configurations the sublunary world recognized. Kepler tested forecasts against weather records and urged experience against arbitrary rules. His standards did not make the doctrine modern, but they tied astrological causation to the same geometry and evidential discipline that governed his astronomy.</w:t>
      </w:r>
      <w:r w:rsidRPr="00C90BDB">
        <w:rPr>
          <w:szCs w:val="28"/>
          <w:vertAlign w:val="superscript"/>
        </w:rPr>
        <w:t>28</w:t>
      </w:r>
    </w:p>
    <w:p w14:paraId="2E235C32" w14:textId="77777777" w:rsidR="00C90BDB" w:rsidRPr="00C90BDB" w:rsidRDefault="00C90BDB" w:rsidP="00C90BDB">
      <w:pPr>
        <w:pStyle w:val="BookBody"/>
      </w:pPr>
      <w:r w:rsidRPr="00C90BDB">
        <w:rPr>
          <w:szCs w:val="28"/>
        </w:rPr>
        <w:t>The Earth’s soul supplied the receiver. It bore an innate impression of the archetypes and responded to their appearance in the heavens, sometimes by intensifying weather. The human soul likewise recognized consonance and could carry an imprint of configurations at birth without being mechanically determined by them. Celestial influence operated through a living capacity for recognition, not through an irresistible stream dictating each event.</w:t>
      </w:r>
    </w:p>
    <w:p w14:paraId="1D94AD01" w14:textId="77777777" w:rsidR="00C90BDB" w:rsidRPr="00C90BDB" w:rsidRDefault="00C90BDB" w:rsidP="00C90BDB">
      <w:pPr>
        <w:pStyle w:val="BookBody"/>
      </w:pPr>
      <w:r w:rsidRPr="00C90BDB">
        <w:rPr>
          <w:szCs w:val="28"/>
        </w:rPr>
        <w:t>This account preserved contingency. A horoscope indicated tendencies and moments, not a fixed script immune to character, circumstance, providence, or political judgment. Kepler distrusted astrologers who claimed certainty, and in moments of court crisis he considered concealment or restraint ethically necessary. A prediction could alter the conflict it purported to describe. Responsible practice required knowledge of the political situation as well as calculation.</w:t>
      </w:r>
      <w:r w:rsidRPr="00C90BDB">
        <w:rPr>
          <w:szCs w:val="28"/>
          <w:vertAlign w:val="superscript"/>
        </w:rPr>
        <w:t>29</w:t>
      </w:r>
    </w:p>
    <w:p w14:paraId="6BBDB3BC" w14:textId="77777777" w:rsidR="00C90BDB" w:rsidRPr="00C90BDB" w:rsidRDefault="00C90BDB" w:rsidP="00C90BDB">
      <w:pPr>
        <w:pStyle w:val="BookBody"/>
      </w:pPr>
      <w:r w:rsidRPr="00C90BDB">
        <w:rPr>
          <w:szCs w:val="28"/>
        </w:rPr>
        <w:t>The astrological Kepler is often treated as an economic embarrassment, tolerated to support the astronomical Kepler. Money mattered, and calendars helped pay him. Yet the supplied sources show a deeper integration. The aspects, consonances, Earth soul, weather, and planetary harmonies share archetypal principles. Removing astrology would not leave the rest of his system unchanged. It would remove one of the bridges between celestial geometry and terrestrial response.</w:t>
      </w:r>
    </w:p>
    <w:p w14:paraId="67A53239" w14:textId="77777777" w:rsidR="00C90BDB" w:rsidRPr="00C90BDB" w:rsidRDefault="00C90BDB" w:rsidP="00C90BDB">
      <w:pPr>
        <w:pStyle w:val="BookBody"/>
      </w:pPr>
      <w:r w:rsidRPr="00C90BDB">
        <w:rPr>
          <w:szCs w:val="28"/>
        </w:rPr>
        <w:t>At the same time, Kepler’s reform narrowed astrology’s authority. The zodiac lost many traditional qualities. Mathematical aspects gained priority. Observational records could challenge a rule. Political prophecy became suspect. This was not the abolition of a living cosmos but a selective discipline imposed upon it. Some relations were declared natural and others conventional; some signs causal and others inventions. The power to draw that boundary increasingly belonged to the mathematician.</w:t>
      </w:r>
    </w:p>
    <w:p w14:paraId="4784A985" w14:textId="77777777" w:rsidR="00C90BDB" w:rsidRPr="00C90BDB" w:rsidRDefault="00C90BDB" w:rsidP="00C90BDB">
      <w:pPr>
        <w:pStyle w:val="BookBody"/>
      </w:pPr>
      <w:r w:rsidRPr="00C90BDB">
        <w:rPr>
          <w:szCs w:val="28"/>
        </w:rPr>
        <w:t>That authority was never complete. Patrons still expected judgments, printers still sold calendars, and audiences rewarded confident forecasts. Kepler’s reform had to operate inside the market and courtly institutions that sustained the practices he criticized. The distance between his cautious causal claims and a calendar reader’s desire for certainty was part of astrology’s social life.</w:t>
      </w:r>
    </w:p>
    <w:p w14:paraId="476833F9" w14:textId="77777777" w:rsidR="00C90BDB" w:rsidRPr="00C90BDB" w:rsidRDefault="00C90BDB" w:rsidP="00C90BDB">
      <w:pPr>
        <w:pStyle w:val="SectionHeading"/>
      </w:pPr>
      <w:r w:rsidRPr="00C90BDB">
        <w:rPr>
          <w:bCs/>
          <w:szCs w:val="28"/>
        </w:rPr>
        <w:t>The Astronomer-Priest</w:t>
      </w:r>
    </w:p>
    <w:p w14:paraId="039EBD70" w14:textId="77777777" w:rsidR="00C90BDB" w:rsidRPr="00C90BDB" w:rsidRDefault="00C90BDB" w:rsidP="00C90BDB">
      <w:pPr>
        <w:pStyle w:val="BookBody"/>
      </w:pPr>
      <w:r w:rsidRPr="00C90BDB">
        <w:rPr>
          <w:szCs w:val="28"/>
        </w:rPr>
        <w:t>Kepler’s theology was neither an inherited shell nor a private consolation. He had trained for the Lutheran ministry and continued to understand astronomical work as priestly interpretation. Creation was a book in which God had inscribed mathematical reasons; the astronomer’s task was to uncover them and offer praise. The mind’s capacity for quantity was evidence of its creation in God’s image.</w:t>
      </w:r>
      <w:r w:rsidRPr="00C90BDB">
        <w:rPr>
          <w:szCs w:val="28"/>
          <w:vertAlign w:val="superscript"/>
        </w:rPr>
        <w:t>30</w:t>
      </w:r>
    </w:p>
    <w:p w14:paraId="7BD62D54" w14:textId="77777777" w:rsidR="00C90BDB" w:rsidRPr="00C90BDB" w:rsidRDefault="00C90BDB" w:rsidP="00C90BDB">
      <w:pPr>
        <w:pStyle w:val="BookBody"/>
      </w:pPr>
      <w:r w:rsidRPr="00C90BDB">
        <w:rPr>
          <w:szCs w:val="28"/>
        </w:rPr>
        <w:t xml:space="preserve">That conviction placed Kepler within confessional conflict rather than above it. The theologians at Tübingen approved publication of the </w:t>
      </w:r>
      <w:r w:rsidRPr="00C90BDB">
        <w:rPr>
          <w:i/>
          <w:szCs w:val="28"/>
        </w:rPr>
        <w:t>Mysterium</w:t>
      </w:r>
      <w:r w:rsidRPr="00C90BDB">
        <w:rPr>
          <w:szCs w:val="28"/>
        </w:rPr>
        <w:t xml:space="preserve"> but required him to suppress a chapter defending Copernicanism through Scripture. They urged him to act as a mathematician and avoid claiming physical or exegetical authority. Kepler accepted the censorship for the moment, yet the separation was exactly what his vocation resisted.</w:t>
      </w:r>
    </w:p>
    <w:p w14:paraId="6295DFD5" w14:textId="77777777" w:rsidR="00C90BDB" w:rsidRPr="00C90BDB" w:rsidRDefault="00C90BDB" w:rsidP="00C90BDB">
      <w:pPr>
        <w:pStyle w:val="BookBody"/>
      </w:pPr>
      <w:r w:rsidRPr="00C90BDB">
        <w:rPr>
          <w:szCs w:val="28"/>
        </w:rPr>
        <w:t>His position within Lutheranism remained painful. Kepler refused formulations he believed made Christian concord impossible and was denied communion by his own church. Catholic rulers had earlier expelled Protestant teachers from Graz. He moved through territories in which confession governed employment, worship, and safety, while his scientific correspondence crossed those same divisions. Harmony was not an escape from the Reformation. It was a response to its wounds.</w:t>
      </w:r>
    </w:p>
    <w:p w14:paraId="2AB8D302" w14:textId="77777777" w:rsidR="00C90BDB" w:rsidRPr="00C90BDB" w:rsidRDefault="00C90BDB" w:rsidP="00C90BDB">
      <w:pPr>
        <w:pStyle w:val="BookBody"/>
      </w:pPr>
      <w:r w:rsidRPr="00C90BDB">
        <w:rPr>
          <w:szCs w:val="28"/>
        </w:rPr>
        <w:t xml:space="preserve">Aviva Rothman shows how widely the ideal extended. Kepler linked the ordered cosmos, the Christian community, and political peace without reducing one to a metaphor for another. He dedicated the </w:t>
      </w:r>
      <w:r w:rsidRPr="00C90BDB">
        <w:rPr>
          <w:i/>
          <w:szCs w:val="28"/>
        </w:rPr>
        <w:t>Harmony of the World</w:t>
      </w:r>
      <w:r w:rsidRPr="00C90BDB">
        <w:rPr>
          <w:szCs w:val="28"/>
        </w:rPr>
        <w:t xml:space="preserve"> to James I partly because he hoped the king could reconcile Christian divisions. As his experience deepened, harmony came to mean the ordered inclusion of difference rather than enforced uniformity. Cosmic polyphony became an ethical and ecclesial model.</w:t>
      </w:r>
      <w:r w:rsidRPr="00C90BDB">
        <w:rPr>
          <w:szCs w:val="28"/>
          <w:vertAlign w:val="superscript"/>
        </w:rPr>
        <w:t>31</w:t>
      </w:r>
    </w:p>
    <w:p w14:paraId="0F83CB65" w14:textId="77777777" w:rsidR="00C90BDB" w:rsidRPr="00C90BDB" w:rsidRDefault="00C90BDB" w:rsidP="00C90BDB">
      <w:pPr>
        <w:pStyle w:val="BookBody"/>
      </w:pPr>
      <w:r w:rsidRPr="00C90BDB">
        <w:rPr>
          <w:szCs w:val="28"/>
        </w:rPr>
        <w:t>The calendar controversy put that model into practice. Kepler defended a reform instituted by Rome while remaining Lutheran. He did not become confessionally neutral. Mathematical impartiality meant considering opposed perspectives and choosing a settlement capable of sustaining common life. A shared date could embody tolerance even when doctrines remained unresolved.</w:t>
      </w:r>
    </w:p>
    <w:p w14:paraId="4E1EA919" w14:textId="77777777" w:rsidR="00C90BDB" w:rsidRPr="00C90BDB" w:rsidRDefault="00C90BDB" w:rsidP="00C90BDB">
      <w:pPr>
        <w:pStyle w:val="BookBody"/>
      </w:pPr>
      <w:r w:rsidRPr="00C90BDB">
        <w:rPr>
          <w:szCs w:val="28"/>
        </w:rPr>
        <w:t>The same perspectival discipline served heliocentrism. Human perception reports a moving Sun because the observer moves with Earth. A view can be experientially compelling and cosmographically partial. The mathematician does not eliminate perspective; he relates several perspectives within an order that explains why each appears as it does. Kepler could carry that lesson from astronomy into arguments about church and state.</w:t>
      </w:r>
    </w:p>
    <w:p w14:paraId="094A01E5" w14:textId="77777777" w:rsidR="00C90BDB" w:rsidRPr="00C90BDB" w:rsidRDefault="00C90BDB" w:rsidP="00C90BDB">
      <w:pPr>
        <w:pStyle w:val="BookBody"/>
      </w:pPr>
      <w:r w:rsidRPr="00C90BDB">
        <w:rPr>
          <w:szCs w:val="28"/>
        </w:rPr>
        <w:t>None of this makes heliocentrism an encoded theology whose mathematics can be ignored. The equations, observations, and geometrical proofs have their own constraints. It means that Kepler understood their successful coordination as a religious act. A law was not less exact because it disclosed divine craftsmanship. In his universe, exactness was one of the forms praise could take.</w:t>
      </w:r>
    </w:p>
    <w:p w14:paraId="7737718D" w14:textId="77777777" w:rsidR="00C90BDB" w:rsidRPr="00C90BDB" w:rsidRDefault="00C90BDB" w:rsidP="00C90BDB">
      <w:pPr>
        <w:pStyle w:val="SectionHeading"/>
      </w:pPr>
      <w:r w:rsidRPr="00C90BDB">
        <w:rPr>
          <w:bCs/>
          <w:szCs w:val="28"/>
        </w:rPr>
        <w:t>Tables for a Moving Earth</w:t>
      </w:r>
    </w:p>
    <w:p w14:paraId="250C1361" w14:textId="77777777" w:rsidR="00C90BDB" w:rsidRPr="00C90BDB" w:rsidRDefault="00C90BDB" w:rsidP="00C90BDB">
      <w:pPr>
        <w:pStyle w:val="BookBody"/>
      </w:pPr>
      <w:r w:rsidRPr="00C90BDB">
        <w:rPr>
          <w:szCs w:val="28"/>
        </w:rPr>
        <w:t xml:space="preserve">Kepler’s longest institutional obligation was not the </w:t>
      </w:r>
      <w:r w:rsidRPr="00C90BDB">
        <w:rPr>
          <w:i/>
          <w:szCs w:val="28"/>
        </w:rPr>
        <w:t>Mysterium</w:t>
      </w:r>
      <w:r w:rsidRPr="00C90BDB">
        <w:rPr>
          <w:szCs w:val="28"/>
        </w:rPr>
        <w:t xml:space="preserve">, </w:t>
      </w:r>
      <w:r w:rsidRPr="00C90BDB">
        <w:rPr>
          <w:i/>
          <w:szCs w:val="28"/>
        </w:rPr>
        <w:t>Astronomia nova</w:t>
      </w:r>
      <w:r w:rsidRPr="00C90BDB">
        <w:rPr>
          <w:szCs w:val="28"/>
        </w:rPr>
        <w:t xml:space="preserve">, or </w:t>
      </w:r>
      <w:r w:rsidRPr="00C90BDB">
        <w:rPr>
          <w:i/>
          <w:szCs w:val="28"/>
        </w:rPr>
        <w:t>Harmonices mundi</w:t>
      </w:r>
      <w:r w:rsidRPr="00C90BDB">
        <w:rPr>
          <w:szCs w:val="28"/>
        </w:rPr>
        <w:t xml:space="preserve">. It was the completion of the planetary tables promised by Tycho Brahe and named for Emperor Rudolf II. Published in 1627, the </w:t>
      </w:r>
      <w:r w:rsidRPr="00C90BDB">
        <w:rPr>
          <w:i/>
          <w:szCs w:val="28"/>
        </w:rPr>
        <w:t>Rudolphine Tables</w:t>
      </w:r>
      <w:r w:rsidRPr="00C90BDB">
        <w:rPr>
          <w:szCs w:val="28"/>
        </w:rPr>
        <w:t xml:space="preserve"> combined Tycho’s observations with Kepler’s planetary theory and computational techniques. They turned ellipses and unequal motion into a working predictive instrument.</w:t>
      </w:r>
      <w:r w:rsidRPr="00C90BDB">
        <w:rPr>
          <w:szCs w:val="28"/>
          <w:vertAlign w:val="superscript"/>
        </w:rPr>
        <w:t>32</w:t>
      </w:r>
    </w:p>
    <w:p w14:paraId="5B502C1B" w14:textId="77777777" w:rsidR="00C90BDB" w:rsidRPr="00C90BDB" w:rsidRDefault="00C90BDB" w:rsidP="00C90BDB">
      <w:pPr>
        <w:pStyle w:val="BookBody"/>
      </w:pPr>
      <w:r w:rsidRPr="00C90BDB">
        <w:rPr>
          <w:szCs w:val="28"/>
        </w:rPr>
        <w:t>The distinction between law and table is crucial. A law states a relation compactly. A table organizes repeated calculations for users who may never retrace the derivation. It fixes epochs, parameters, canons, and correction procedures; it lets an astronomer move from a date to a predicted position. The result can be checked against the sky, copied into an ephemeris, used in astrology, or adapted to navigation and chronology.</w:t>
      </w:r>
    </w:p>
    <w:p w14:paraId="2DB8E6AB" w14:textId="77777777" w:rsidR="00C90BDB" w:rsidRPr="00C90BDB" w:rsidRDefault="00C90BDB" w:rsidP="00C90BDB">
      <w:pPr>
        <w:pStyle w:val="BookBody"/>
      </w:pPr>
      <w:r w:rsidRPr="00C90BDB">
        <w:rPr>
          <w:szCs w:val="28"/>
        </w:rPr>
        <w:t xml:space="preserve">Kepler knew the cost of inadequate tables. In the introduction to the </w:t>
      </w:r>
      <w:r w:rsidRPr="00C90BDB">
        <w:rPr>
          <w:i/>
          <w:szCs w:val="28"/>
        </w:rPr>
        <w:t>Astronomia nova</w:t>
      </w:r>
      <w:r w:rsidRPr="00C90BDB">
        <w:rPr>
          <w:szCs w:val="28"/>
        </w:rPr>
        <w:t>, he reported that Mars could differ from positions computed through the Prutenic Tables by nearly four or five degrees in particular years. Reforming the theory of Mars was therefore not only a philosophical campaign against circles. It was a correction of an operational failure. Better causes had to issue in better numbers.</w:t>
      </w:r>
      <w:r w:rsidRPr="00C90BDB">
        <w:rPr>
          <w:szCs w:val="28"/>
          <w:vertAlign w:val="superscript"/>
        </w:rPr>
        <w:t>33</w:t>
      </w:r>
    </w:p>
    <w:p w14:paraId="29760650" w14:textId="77777777" w:rsidR="00C90BDB" w:rsidRPr="00C90BDB" w:rsidRDefault="00C90BDB" w:rsidP="00C90BDB">
      <w:pPr>
        <w:pStyle w:val="BookBody"/>
      </w:pPr>
      <w:r w:rsidRPr="00C90BDB">
        <w:rPr>
          <w:szCs w:val="28"/>
        </w:rPr>
        <w:t>The Rudolphine project endured court arrears, Tycho’s heirs, disputes over ownership, war, relocation, and printing difficulties. Kepler employed logarithmic calculation to ease some numerical labor and brought the volume through the press at Ulm. Its elaborate frontispiece represented the history of astronomy as a temple inhabited by ancient and modern practitioners. Even an instrument designed for use arrived clothed in historical and cosmological meaning.</w:t>
      </w:r>
    </w:p>
    <w:p w14:paraId="2FDCFCE3" w14:textId="77777777" w:rsidR="00C90BDB" w:rsidRPr="00C90BDB" w:rsidRDefault="00C90BDB" w:rsidP="00C90BDB">
      <w:pPr>
        <w:pStyle w:val="BookBody"/>
      </w:pPr>
      <w:r w:rsidRPr="00C90BDB">
        <w:rPr>
          <w:szCs w:val="28"/>
        </w:rPr>
        <w:t xml:space="preserve">Once printed, the tables could travel more freely than that meaning. Astronomers constructed ephemerides from them; readers compared predicted and observed events; Kepler’s laws gained credibility through accuracy. The translators of the </w:t>
      </w:r>
      <w:r w:rsidRPr="00C90BDB">
        <w:rPr>
          <w:i/>
          <w:szCs w:val="28"/>
        </w:rPr>
        <w:t>Harmony</w:t>
      </w:r>
      <w:r w:rsidRPr="00C90BDB">
        <w:rPr>
          <w:szCs w:val="28"/>
        </w:rPr>
        <w:t xml:space="preserve"> call the tables the principal vehicle through which his astronomical achievements became known. A user did not need to accept an Earth soul, a Trinitarian sphere, or polyhedral distances to benefit from Keplerian positions.</w:t>
      </w:r>
      <w:r w:rsidRPr="00C90BDB">
        <w:rPr>
          <w:szCs w:val="28"/>
          <w:vertAlign w:val="superscript"/>
        </w:rPr>
        <w:t>34</w:t>
      </w:r>
    </w:p>
    <w:p w14:paraId="4BDE516D" w14:textId="77777777" w:rsidR="00C90BDB" w:rsidRPr="00C90BDB" w:rsidRDefault="00C90BDB" w:rsidP="00C90BDB">
      <w:pPr>
        <w:pStyle w:val="BookBody"/>
      </w:pPr>
      <w:r w:rsidRPr="00C90BDB">
        <w:rPr>
          <w:szCs w:val="28"/>
        </w:rPr>
        <w:t>Here the material history from Chapter 12 returns. A planetary table resembles a chart or ledger. It compresses an inaccessible totality into a portable surface. No observer watches a planet complete its orbit from above. The table joins observations taken at different times to a theoretical relation and makes the result available for action. It trains users to trust a calculated place they cannot directly derive.</w:t>
      </w:r>
    </w:p>
    <w:p w14:paraId="2AE6AEF2" w14:textId="77777777" w:rsidR="00C90BDB" w:rsidRPr="00C90BDB" w:rsidRDefault="00C90BDB" w:rsidP="00C90BDB">
      <w:pPr>
        <w:pStyle w:val="BookBody"/>
      </w:pPr>
      <w:r w:rsidRPr="00C90BDB">
        <w:rPr>
          <w:szCs w:val="28"/>
        </w:rPr>
        <w:t>That portability also changes authority. The cosmos becomes answerable to a printed prediction. A discrepancy can be recorded, compared, and assigned to observation, parameter, or theory. Individual awe before a celestial event does not vanish, but it now shares jurisdiction with a column. The heavens still signify; they also submit to audit.</w:t>
      </w:r>
    </w:p>
    <w:p w14:paraId="6ED2466A" w14:textId="77777777" w:rsidR="00C90BDB" w:rsidRPr="00C90BDB" w:rsidRDefault="00C90BDB" w:rsidP="00C90BDB">
      <w:pPr>
        <w:pStyle w:val="BookBody"/>
      </w:pPr>
      <w:r w:rsidRPr="00C90BDB">
        <w:rPr>
          <w:szCs w:val="28"/>
        </w:rPr>
        <w:t>The practical success of Keplerian astronomy therefore widened the distance between a theory’s operation and its original metaphysics. This was not because tables were philosophically innocent. They selected variables, standardized procedures, and rewarded predictive relations. But they allowed agreement to form at the level of use among readers divided about ultimate causes. Mathematical astronomy could become common infrastructure before cosmology became common belief.</w:t>
      </w:r>
    </w:p>
    <w:p w14:paraId="13E43BCF" w14:textId="77777777" w:rsidR="00C90BDB" w:rsidRPr="00C90BDB" w:rsidRDefault="00C90BDB" w:rsidP="00C90BDB">
      <w:pPr>
        <w:pStyle w:val="BookBody"/>
      </w:pPr>
      <w:r w:rsidRPr="00C90BDB">
        <w:rPr>
          <w:szCs w:val="28"/>
        </w:rPr>
        <w:t>The Prutenic and Rudolphine Tables mark two stages of that process. Reinhold made Copernican parameters usable without demanding a moving Earth. Kepler made his physical astronomy calculable in a form that could circulate without its complete theology. In both cases, the table did not merely spread an idea. It reorganized what astronomers could do together.</w:t>
      </w:r>
    </w:p>
    <w:p w14:paraId="35D72BDF" w14:textId="77777777" w:rsidR="00C90BDB" w:rsidRPr="00C90BDB" w:rsidRDefault="00C90BDB" w:rsidP="00C90BDB">
      <w:pPr>
        <w:pStyle w:val="BookBody"/>
      </w:pPr>
      <w:r w:rsidRPr="00C90BDB">
        <w:rPr>
          <w:szCs w:val="28"/>
        </w:rPr>
        <w:t>The title page and frontispiece of the Rudolphine volume nevertheless resisted anonymity. They staged a lineage from ancient observers to Tycho and Kepler and placed the tables under imperial patronage. Calculation entered common use through claims of authorship, inheritance, and political protection. The neutral-looking number was produced by a crowded history.</w:t>
      </w:r>
    </w:p>
    <w:p w14:paraId="1ABAE248" w14:textId="77777777" w:rsidR="00C90BDB" w:rsidRPr="00C90BDB" w:rsidRDefault="00C90BDB" w:rsidP="00C90BDB">
      <w:pPr>
        <w:pStyle w:val="SectionHeading"/>
      </w:pPr>
      <w:r w:rsidRPr="00C90BDB">
        <w:rPr>
          <w:bCs/>
          <w:szCs w:val="28"/>
        </w:rPr>
        <w:t>Displacement Without Insignificance</w:t>
      </w:r>
    </w:p>
    <w:p w14:paraId="0E879696" w14:textId="77777777" w:rsidR="00C90BDB" w:rsidRPr="00C90BDB" w:rsidRDefault="00C90BDB" w:rsidP="00C90BDB">
      <w:pPr>
        <w:pStyle w:val="BookBody"/>
      </w:pPr>
      <w:r w:rsidRPr="00C90BDB">
        <w:rPr>
          <w:szCs w:val="28"/>
        </w:rPr>
        <w:t>What, then, changed when Earth moved? The most immediate change concerned reference. Daily celestial rotation could be assigned to Earth’s spin; annual solar motion to Earth’s orbit; planetary stations and retrogradations to relations among moving bodies. Earth became an explanatory cause of appearances rather than the unmoving platform from which every motion was measured.</w:t>
      </w:r>
    </w:p>
    <w:p w14:paraId="02A8B557" w14:textId="77777777" w:rsidR="00C90BDB" w:rsidRPr="00C90BDB" w:rsidRDefault="00C90BDB" w:rsidP="00C90BDB">
      <w:pPr>
        <w:pStyle w:val="BookBody"/>
      </w:pPr>
      <w:r w:rsidRPr="00C90BDB">
        <w:rPr>
          <w:szCs w:val="28"/>
        </w:rPr>
        <w:t>The change also concerned order. Planetary sequence, period, and distance were bound together around the Sun. Kepler then made solar distance govern changing speed, replaced the circular path of Mars with an ellipse, and related all planetary periods to their mean distances. The universe acquired laws that crossed individual orbits. Mathematical structure became more selective and more powerful.</w:t>
      </w:r>
    </w:p>
    <w:p w14:paraId="1D416A9A" w14:textId="77777777" w:rsidR="00C90BDB" w:rsidRPr="00C90BDB" w:rsidRDefault="00C90BDB" w:rsidP="00C90BDB">
      <w:pPr>
        <w:pStyle w:val="BookBody"/>
      </w:pPr>
      <w:r w:rsidRPr="00C90BDB">
        <w:rPr>
          <w:szCs w:val="28"/>
        </w:rPr>
        <w:t>But cosmographic displacement did not automatically produce existential insignificance. Copernicus did not say that human beings mattered less because Earth was third from the Sun. Kepler did not infer that a moving Earth had no theological office. For him, the capacity to discover the planetary order elevated the human intellect. A small embodied observer could reconstruct the Creator’s geometry from appearances distorted by the observer’s own motion.</w:t>
      </w:r>
      <w:r w:rsidRPr="00C90BDB">
        <w:rPr>
          <w:szCs w:val="28"/>
          <w:vertAlign w:val="superscript"/>
        </w:rPr>
        <w:t>35</w:t>
      </w:r>
    </w:p>
    <w:p w14:paraId="71A35EED" w14:textId="77777777" w:rsidR="00C90BDB" w:rsidRPr="00C90BDB" w:rsidRDefault="00C90BDB" w:rsidP="00C90BDB">
      <w:pPr>
        <w:pStyle w:val="BookBody"/>
      </w:pPr>
      <w:r w:rsidRPr="00C90BDB">
        <w:rPr>
          <w:szCs w:val="28"/>
        </w:rPr>
        <w:t>Indeed, heliocentrism could heighten privilege in new places. The Sun became throne, lamp, heart, and source of motive power. The solar standpoint disclosed the true planetary harmonies. Earth occupied a geometrically significant place in the polyhedral construction and possessed a soul responsive to celestial aspects. Centrality migrated rather than evaporated.</w:t>
      </w:r>
    </w:p>
    <w:p w14:paraId="237D97CB" w14:textId="77777777" w:rsidR="00C90BDB" w:rsidRPr="00C90BDB" w:rsidRDefault="00C90BDB" w:rsidP="00C90BDB">
      <w:pPr>
        <w:pStyle w:val="BookBody"/>
      </w:pPr>
      <w:r w:rsidRPr="00C90BDB">
        <w:rPr>
          <w:szCs w:val="28"/>
        </w:rPr>
        <w:t>Nor did the absence of detected stellar parallax make the world immediately infinite. It forced Copernicus to place the stars at a distance immense compared with Earth’s orbit. That expansion was conceptually important, but an immeasurable interval is not yet an infinite homogeneous space. Kepler continued to defend a bounded stellar cosmos against the inference that every star was another sun scattered without enclosing order.</w:t>
      </w:r>
      <w:r w:rsidRPr="00C90BDB">
        <w:rPr>
          <w:szCs w:val="28"/>
          <w:vertAlign w:val="superscript"/>
        </w:rPr>
        <w:t>36</w:t>
      </w:r>
    </w:p>
    <w:p w14:paraId="24351D97" w14:textId="77777777" w:rsidR="00C90BDB" w:rsidRPr="00C90BDB" w:rsidRDefault="00C90BDB" w:rsidP="00C90BDB">
      <w:pPr>
        <w:pStyle w:val="BookBody"/>
      </w:pPr>
      <w:r w:rsidRPr="00C90BDB">
        <w:rPr>
          <w:szCs w:val="28"/>
        </w:rPr>
        <w:t>The later language of human demotion compresses several transformations: the moving Earth, the enlargement or infinitization of the stellar region, the plurality of worlds, the mathematization of motion, and theological reinterpretations of place. These developments did not arrive together, and they did not carry a single emotional meaning. Wonder, dread, mastery, praise, and loss could all attach to the new astronomy.</w:t>
      </w:r>
    </w:p>
    <w:p w14:paraId="24BCF157" w14:textId="77777777" w:rsidR="00C90BDB" w:rsidRPr="00C90BDB" w:rsidRDefault="00C90BDB" w:rsidP="00C90BDB">
      <w:pPr>
        <w:pStyle w:val="BookBody"/>
      </w:pPr>
      <w:r w:rsidRPr="00C90BDB">
        <w:rPr>
          <w:szCs w:val="28"/>
        </w:rPr>
        <w:t>The caution is not meant to protect Copernicus and Kepler from modern implications. Moving Earth weakened the authority of unaided perception. It made inherited scriptural and physical readings contestable. Kepler’s laws made celestial motion increasingly available to prediction apart from local meaning. Tables allowed those relations to circulate among users who did not share a cosmology. The conditions for later mechanization were being built.</w:t>
      </w:r>
    </w:p>
    <w:p w14:paraId="7F835504" w14:textId="77777777" w:rsidR="00C90BDB" w:rsidRPr="00C90BDB" w:rsidRDefault="00C90BDB" w:rsidP="00C90BDB">
      <w:pPr>
        <w:pStyle w:val="BookBody"/>
      </w:pPr>
      <w:r w:rsidRPr="00C90BDB">
        <w:rPr>
          <w:szCs w:val="28"/>
        </w:rPr>
        <w:t>But historical sequence matters. Mathematical astronomy first transformed cosmic harmony. It did not abolish harmony as a category. The ellipse was made beautiful; inequality became consonance; observation became a route into divine design. The very mathematics that later supported an indifferent universe was, in Kepler’s hands, evidence that the universe was addressed to mind.</w:t>
      </w:r>
    </w:p>
    <w:p w14:paraId="6C61866B" w14:textId="77777777" w:rsidR="00C90BDB" w:rsidRPr="00C90BDB" w:rsidRDefault="00C90BDB" w:rsidP="00C90BDB">
      <w:pPr>
        <w:pStyle w:val="SectionHeading"/>
      </w:pPr>
      <w:r w:rsidRPr="00C90BDB">
        <w:rPr>
          <w:bCs/>
          <w:szCs w:val="28"/>
        </w:rPr>
        <w:t>Two Heavens at Once</w:t>
      </w:r>
    </w:p>
    <w:p w14:paraId="746E9C65" w14:textId="77777777" w:rsidR="00C90BDB" w:rsidRPr="00C90BDB" w:rsidRDefault="00C90BDB" w:rsidP="00C90BDB">
      <w:pPr>
        <w:pStyle w:val="BookBody"/>
      </w:pPr>
      <w:r w:rsidRPr="00C90BDB">
        <w:rPr>
          <w:szCs w:val="28"/>
        </w:rPr>
        <w:t>Copernicus and Kepler stand at the opening of Part IV because they made the universe in two senses. They proposed new arrangements of celestial bodies, and they made those arrangements available in books, diagrams, arguments, and tables. The universe became an artifact of coordinated reasoning even as it remained a created order believed to precede every human construction.</w:t>
      </w:r>
    </w:p>
    <w:p w14:paraId="5272D3B0" w14:textId="77777777" w:rsidR="00C90BDB" w:rsidRPr="00C90BDB" w:rsidRDefault="00C90BDB" w:rsidP="00C90BDB">
      <w:pPr>
        <w:pStyle w:val="BookBody"/>
      </w:pPr>
      <w:r w:rsidRPr="00C90BDB">
        <w:rPr>
          <w:szCs w:val="28"/>
        </w:rPr>
        <w:t>The old and new are inseparable. Copernicus moved Earth but retained uniform circles and an ordered stellar sphere. Kepler broke the circle but retained archetypes, souls, astrology, and providence. Both shifted authority toward mathematical relations. Both expected those relations to reveal a world whose intelligibility came from God.</w:t>
      </w:r>
    </w:p>
    <w:p w14:paraId="1A2FF0AA" w14:textId="77777777" w:rsidR="00C90BDB" w:rsidRPr="00C90BDB" w:rsidRDefault="00C90BDB" w:rsidP="00C90BDB">
      <w:pPr>
        <w:pStyle w:val="BookBody"/>
      </w:pPr>
      <w:r w:rsidRPr="00C90BDB">
        <w:rPr>
          <w:szCs w:val="28"/>
        </w:rPr>
        <w:t>What changed was not meaning’s sudden disappearance but its jurisdiction. A planetary position no longer required a narrative about the planet’s quality in order to be computed. A table could work across confessions. An ellipse could predict whether or not a reader shared Kepler’s harmonic theology. Operational agreement widened inside metaphysical disagreement.</w:t>
      </w:r>
    </w:p>
    <w:p w14:paraId="3C30688C" w14:textId="77777777" w:rsidR="00C90BDB" w:rsidRPr="00C90BDB" w:rsidRDefault="00C90BDB" w:rsidP="00C90BDB">
      <w:pPr>
        <w:pStyle w:val="BookBody"/>
      </w:pPr>
      <w:r w:rsidRPr="00C90BDB">
        <w:rPr>
          <w:szCs w:val="28"/>
        </w:rPr>
        <w:t>That widening had consequences. Relations that yielded exact predictions gained public authority. Qualities that could not enter the calculation became easier to treat as optional, private, or suspect. The living cosmos did not die because Kepler ceased to perceive life. It weakened because the most portable parts of his achievement were the parts least dependent on that perception.</w:t>
      </w:r>
    </w:p>
    <w:p w14:paraId="2827A4F1" w14:textId="77777777" w:rsidR="00C90BDB" w:rsidRPr="00C90BDB" w:rsidRDefault="00C90BDB" w:rsidP="00C90BDB">
      <w:pPr>
        <w:pStyle w:val="BookBody"/>
      </w:pPr>
      <w:r w:rsidRPr="00C90BDB">
        <w:rPr>
          <w:szCs w:val="28"/>
        </w:rPr>
        <w:t>Yet Kepler’s divided synthesis prevents an easy origin story. Mechanism did not march forward by expelling magic, music, theology, and astrology one after another. The planetary laws emerged inside a search for harmony; physical astronomy drew on magnetic and vital faculties; a predictive table carried the results beyond their metaphysical home. Modernity was assembled through selective transport.</w:t>
      </w:r>
    </w:p>
    <w:p w14:paraId="13EF827A" w14:textId="77777777" w:rsidR="00C90BDB" w:rsidRPr="00C90BDB" w:rsidRDefault="00C90BDB" w:rsidP="00C90BDB">
      <w:pPr>
        <w:pStyle w:val="BookBody"/>
      </w:pPr>
      <w:r w:rsidRPr="00C90BDB">
        <w:rPr>
          <w:szCs w:val="28"/>
        </w:rPr>
        <w:t>The next chapter turns from the diagram and table to instruments that altered the field of the visible. The telescope and microscope did not merely add new objects to an unchanged cosmos. They produced appearances that required disciplined preparation, skilled handling, and collective trust. Galileo’s heavens will be mathematical, but they will also be telescopic: mottled, multiplied, and publicly contested.</w:t>
      </w:r>
    </w:p>
    <w:p w14:paraId="666D3C63" w14:textId="77777777" w:rsidR="00C90BDB" w:rsidRPr="00C90BDB" w:rsidRDefault="00C90BDB" w:rsidP="00C90BDB">
      <w:pPr>
        <w:pStyle w:val="BookBody"/>
      </w:pPr>
      <w:r w:rsidRPr="00C90BDB">
        <w:rPr>
          <w:szCs w:val="28"/>
        </w:rPr>
        <w:t>Copernicus asked readers to imagine that the ground beneath them moved. Kepler asked them to accept that a planet abandoned the perfect circle while fulfilling a deeper harmony. The instruments to come will ask a further question: when a device reveals a world no unaided eye has seen, what counts as reality—the inherited cosmos, the image in the tube, or the mathematical order that makes the image intelligible?</w:t>
      </w:r>
    </w:p>
    <w:p w14:paraId="07B29968" w14:textId="77777777" w:rsidR="00C90BDB" w:rsidRPr="00C90BDB" w:rsidRDefault="00C90BDB" w:rsidP="00C90BDB">
      <w:pPr>
        <w:pStyle w:val="NotesHeading"/>
      </w:pPr>
      <w:r w:rsidRPr="00C90BDB">
        <w:rPr>
          <w:bCs/>
          <w:szCs w:val="28"/>
        </w:rPr>
        <w:t>Notes</w:t>
      </w:r>
    </w:p>
    <w:p w14:paraId="69B3CC6C" w14:textId="77777777" w:rsidR="00C90BDB" w:rsidRPr="00C90BDB" w:rsidRDefault="00C90BDB" w:rsidP="00C90BDB">
      <w:pPr>
        <w:pStyle w:val="NoteEntry"/>
      </w:pPr>
      <w:r w:rsidRPr="00C90BDB">
        <w:rPr>
          <w:szCs w:val="28"/>
        </w:rPr>
        <w:t xml:space="preserve">1. Nicolaus Copernicus, </w:t>
      </w:r>
      <w:r w:rsidRPr="00C90BDB">
        <w:rPr>
          <w:i/>
          <w:szCs w:val="28"/>
        </w:rPr>
        <w:t>De revolutionibus orbium coelestium</w:t>
      </w:r>
      <w:r w:rsidRPr="00C90BDB">
        <w:rPr>
          <w:szCs w:val="28"/>
        </w:rPr>
        <w:t xml:space="preserve"> (Nuremberg: Johannes Petreius, 1543), bk. I, chap. 10, fols. 9r–10r; supplied first-edition facsimile, PDF pp. 35–37. The diagram is reproduced from PDF p. 36. See also Nicolaus Copernicus, </w:t>
      </w:r>
      <w:r w:rsidRPr="00C90BDB">
        <w:rPr>
          <w:i/>
          <w:szCs w:val="28"/>
        </w:rPr>
        <w:t>On the Revolutions of the Heavenly Spheres</w:t>
      </w:r>
      <w:r w:rsidRPr="00C90BDB">
        <w:rPr>
          <w:szCs w:val="28"/>
        </w:rPr>
        <w:t xml:space="preserve"> (Vancouver: Pythagoras Publishing, 2012), 33–37.</w:t>
      </w:r>
    </w:p>
    <w:p w14:paraId="31B63A6E" w14:textId="77777777" w:rsidR="00C90BDB" w:rsidRPr="00C90BDB" w:rsidRDefault="00C90BDB" w:rsidP="00C90BDB">
      <w:pPr>
        <w:pStyle w:val="NoteEntry"/>
      </w:pPr>
      <w:r w:rsidRPr="00C90BDB">
        <w:rPr>
          <w:szCs w:val="28"/>
        </w:rPr>
        <w:t xml:space="preserve">2. Copernicus, </w:t>
      </w:r>
      <w:r w:rsidRPr="00C90BDB">
        <w:rPr>
          <w:i/>
          <w:szCs w:val="28"/>
        </w:rPr>
        <w:t>On the Revolutions</w:t>
      </w:r>
      <w:r w:rsidRPr="00C90BDB">
        <w:rPr>
          <w:szCs w:val="28"/>
        </w:rPr>
        <w:t>, 18–21, especially the dedication to Paul III and the comparison of inherited models to a body assembled from unrelated parts.</w:t>
      </w:r>
    </w:p>
    <w:p w14:paraId="36EC56B8" w14:textId="77777777" w:rsidR="00C90BDB" w:rsidRPr="00C90BDB" w:rsidRDefault="00C90BDB" w:rsidP="00C90BDB">
      <w:pPr>
        <w:pStyle w:val="NoteEntry"/>
      </w:pPr>
      <w:r w:rsidRPr="00C90BDB">
        <w:rPr>
          <w:szCs w:val="28"/>
        </w:rPr>
        <w:t xml:space="preserve">3. Copernicus, </w:t>
      </w:r>
      <w:r w:rsidRPr="00C90BDB">
        <w:rPr>
          <w:i/>
          <w:szCs w:val="28"/>
        </w:rPr>
        <w:t>On the Revolutions</w:t>
      </w:r>
      <w:r w:rsidRPr="00C90BDB">
        <w:rPr>
          <w:szCs w:val="28"/>
        </w:rPr>
        <w:t xml:space="preserve">, 22–37, bk. I, chaps. 1–11; Robert S. Westman, </w:t>
      </w:r>
      <w:r w:rsidRPr="00C90BDB">
        <w:rPr>
          <w:i/>
          <w:szCs w:val="28"/>
        </w:rPr>
        <w:t>The Copernican Question: Prognostication, Skepticism, and Celestial Order</w:t>
      </w:r>
      <w:r w:rsidRPr="00C90BDB">
        <w:rPr>
          <w:szCs w:val="28"/>
        </w:rPr>
        <w:t xml:space="preserve"> (Berkeley: University of California Press, 2011), 25–61.</w:t>
      </w:r>
    </w:p>
    <w:p w14:paraId="23C792A2" w14:textId="77777777" w:rsidR="00C90BDB" w:rsidRPr="00C90BDB" w:rsidRDefault="00C90BDB" w:rsidP="00C90BDB">
      <w:pPr>
        <w:pStyle w:val="NoteEntry"/>
      </w:pPr>
      <w:r w:rsidRPr="00C90BDB">
        <w:rPr>
          <w:szCs w:val="28"/>
        </w:rPr>
        <w:t xml:space="preserve">4. Copernicus, </w:t>
      </w:r>
      <w:r w:rsidRPr="00C90BDB">
        <w:rPr>
          <w:i/>
          <w:szCs w:val="28"/>
        </w:rPr>
        <w:t>On the Revolutions</w:t>
      </w:r>
      <w:r w:rsidRPr="00C90BDB">
        <w:rPr>
          <w:szCs w:val="28"/>
        </w:rPr>
        <w:t>, 35–36. The translation’s language of the Sun as lamp, mind, ruler, and royal occupant preserves the religious and political density of Copernicus’s solar imagery.</w:t>
      </w:r>
    </w:p>
    <w:p w14:paraId="3A5116C3" w14:textId="77777777" w:rsidR="00C90BDB" w:rsidRPr="00C90BDB" w:rsidRDefault="00C90BDB" w:rsidP="00C90BDB">
      <w:pPr>
        <w:pStyle w:val="NoteEntry"/>
      </w:pPr>
      <w:r w:rsidRPr="00C90BDB">
        <w:rPr>
          <w:szCs w:val="28"/>
        </w:rPr>
        <w:t xml:space="preserve">5. Owen Gingerich, </w:t>
      </w:r>
      <w:r w:rsidRPr="00C90BDB">
        <w:rPr>
          <w:i/>
          <w:szCs w:val="28"/>
        </w:rPr>
        <w:t>The Book Nobody Read: Chasing the Revolutions of Nicolaus Copernicus</w:t>
      </w:r>
      <w:r w:rsidRPr="00C90BDB">
        <w:rPr>
          <w:szCs w:val="28"/>
        </w:rPr>
        <w:t xml:space="preserve"> (London: Penguin, 2017), 139–59; Westman, </w:t>
      </w:r>
      <w:r w:rsidRPr="00C90BDB">
        <w:rPr>
          <w:i/>
          <w:szCs w:val="28"/>
        </w:rPr>
        <w:t>Copernican Question</w:t>
      </w:r>
      <w:r w:rsidRPr="00C90BDB">
        <w:rPr>
          <w:szCs w:val="28"/>
        </w:rPr>
        <w:t>, 109–40. Osiander’s anonymous address presented hypotheses as sufficient when their calculations agreed with observation; Copernicus’s dedication framed the work differently.</w:t>
      </w:r>
    </w:p>
    <w:p w14:paraId="53E2FC5F" w14:textId="77777777" w:rsidR="00C90BDB" w:rsidRPr="00C90BDB" w:rsidRDefault="00C90BDB" w:rsidP="00C90BDB">
      <w:pPr>
        <w:pStyle w:val="NoteEntry"/>
      </w:pPr>
      <w:r w:rsidRPr="00C90BDB">
        <w:rPr>
          <w:szCs w:val="28"/>
        </w:rPr>
        <w:t xml:space="preserve">6. Gingerich, </w:t>
      </w:r>
      <w:r w:rsidRPr="00C90BDB">
        <w:rPr>
          <w:i/>
          <w:szCs w:val="28"/>
        </w:rPr>
        <w:t>Book Nobody Read</w:t>
      </w:r>
      <w:r w:rsidRPr="00C90BDB">
        <w:rPr>
          <w:szCs w:val="28"/>
        </w:rPr>
        <w:t>, vii–x, 10–28, 53–69. Gingerich’s census uses ownership, marginalia, corrections, and the transmission of annotations to reconstruct a technically active but heterogeneous readership.</w:t>
      </w:r>
    </w:p>
    <w:p w14:paraId="45F8B7EE" w14:textId="77777777" w:rsidR="00C90BDB" w:rsidRPr="00C90BDB" w:rsidRDefault="00C90BDB" w:rsidP="00C90BDB">
      <w:pPr>
        <w:pStyle w:val="NoteEntry"/>
      </w:pPr>
      <w:r w:rsidRPr="00C90BDB">
        <w:rPr>
          <w:szCs w:val="28"/>
        </w:rPr>
        <w:t xml:space="preserve">7. Westman, </w:t>
      </w:r>
      <w:r w:rsidRPr="00C90BDB">
        <w:rPr>
          <w:i/>
          <w:szCs w:val="28"/>
        </w:rPr>
        <w:t>Copernican Question</w:t>
      </w:r>
      <w:r w:rsidRPr="00C90BDB">
        <w:rPr>
          <w:szCs w:val="28"/>
        </w:rPr>
        <w:t xml:space="preserve">, 141–66, especially 151–60 on Reinhold and the Prutenic Tables; Gingerich, </w:t>
      </w:r>
      <w:r w:rsidRPr="00C90BDB">
        <w:rPr>
          <w:i/>
          <w:szCs w:val="28"/>
        </w:rPr>
        <w:t>Book Nobody Read</w:t>
      </w:r>
      <w:r w:rsidRPr="00C90BDB">
        <w:rPr>
          <w:szCs w:val="28"/>
        </w:rPr>
        <w:t>, 10–28, 53–69, 160–72.</w:t>
      </w:r>
    </w:p>
    <w:p w14:paraId="71B5031E" w14:textId="77777777" w:rsidR="00C90BDB" w:rsidRPr="00C90BDB" w:rsidRDefault="00C90BDB" w:rsidP="00C90BDB">
      <w:pPr>
        <w:pStyle w:val="NoteEntry"/>
      </w:pPr>
      <w:r w:rsidRPr="00C90BDB">
        <w:rPr>
          <w:szCs w:val="28"/>
        </w:rPr>
        <w:t xml:space="preserve">8. Copernicus, </w:t>
      </w:r>
      <w:r w:rsidRPr="00C90BDB">
        <w:rPr>
          <w:i/>
          <w:szCs w:val="28"/>
        </w:rPr>
        <w:t>On the Revolutions</w:t>
      </w:r>
      <w:r w:rsidRPr="00C90BDB">
        <w:rPr>
          <w:szCs w:val="28"/>
        </w:rPr>
        <w:t>, 20–21. Copernicus explicitly connected the work to the unresolved calendar discussion under Leo X while leaving judgment of its usefulness to mathematicians and the pope.</w:t>
      </w:r>
    </w:p>
    <w:p w14:paraId="4845980C" w14:textId="77777777" w:rsidR="00C90BDB" w:rsidRPr="00C90BDB" w:rsidRDefault="00C90BDB" w:rsidP="00C90BDB">
      <w:pPr>
        <w:pStyle w:val="NoteEntry"/>
      </w:pPr>
      <w:r w:rsidRPr="00C90BDB">
        <w:rPr>
          <w:szCs w:val="28"/>
        </w:rPr>
        <w:t xml:space="preserve">9. Westman, </w:t>
      </w:r>
      <w:r w:rsidRPr="00C90BDB">
        <w:rPr>
          <w:i/>
          <w:szCs w:val="28"/>
        </w:rPr>
        <w:t>Copernican Question</w:t>
      </w:r>
      <w:r w:rsidRPr="00C90BDB">
        <w:rPr>
          <w:szCs w:val="28"/>
        </w:rPr>
        <w:t>, 151–60. Reinhold emphasized the tables’ usefulness, based their constructions on Copernican observations and models, and withheld a full public exposition of their theoretical foundation.</w:t>
      </w:r>
    </w:p>
    <w:p w14:paraId="30E6F1D5" w14:textId="77777777" w:rsidR="00C90BDB" w:rsidRPr="00C90BDB" w:rsidRDefault="00C90BDB" w:rsidP="00C90BDB">
      <w:pPr>
        <w:pStyle w:val="NoteEntry"/>
      </w:pPr>
      <w:r w:rsidRPr="00C90BDB">
        <w:rPr>
          <w:szCs w:val="28"/>
        </w:rPr>
        <w:t xml:space="preserve">10. Westman, </w:t>
      </w:r>
      <w:r w:rsidRPr="00C90BDB">
        <w:rPr>
          <w:i/>
          <w:szCs w:val="28"/>
        </w:rPr>
        <w:t>Copernican Question</w:t>
      </w:r>
      <w:r w:rsidRPr="00C90BDB">
        <w:rPr>
          <w:szCs w:val="28"/>
        </w:rPr>
        <w:t xml:space="preserve">, 141–66; Aviva Rothman, </w:t>
      </w:r>
      <w:r w:rsidRPr="00C90BDB">
        <w:rPr>
          <w:i/>
          <w:szCs w:val="28"/>
        </w:rPr>
        <w:t>The Pursuit of Harmony: Kepler on Cosmos, Confession, and Community</w:t>
      </w:r>
      <w:r w:rsidRPr="00C90BDB">
        <w:rPr>
          <w:szCs w:val="28"/>
        </w:rPr>
        <w:t xml:space="preserve"> (Chicago: University of Chicago Press, 2017), 225–43.</w:t>
      </w:r>
    </w:p>
    <w:p w14:paraId="26D83A51" w14:textId="77777777" w:rsidR="00C90BDB" w:rsidRPr="00C90BDB" w:rsidRDefault="00C90BDB" w:rsidP="00C90BDB">
      <w:pPr>
        <w:pStyle w:val="NoteEntry"/>
      </w:pPr>
      <w:r w:rsidRPr="00C90BDB">
        <w:rPr>
          <w:szCs w:val="28"/>
        </w:rPr>
        <w:t xml:space="preserve">11. Rothman, </w:t>
      </w:r>
      <w:r w:rsidRPr="00C90BDB">
        <w:rPr>
          <w:i/>
          <w:szCs w:val="28"/>
        </w:rPr>
        <w:t>Pursuit of Harmony</w:t>
      </w:r>
      <w:r w:rsidRPr="00C90BDB">
        <w:rPr>
          <w:szCs w:val="28"/>
        </w:rPr>
        <w:t>, 225–50. Rothman treats Kepler’s calendar dialogue as an account of mathematical impartiality grounded in perspective, judgment, and toleration rather than modern detachment.</w:t>
      </w:r>
    </w:p>
    <w:p w14:paraId="50420945" w14:textId="77777777" w:rsidR="00C90BDB" w:rsidRPr="00C90BDB" w:rsidRDefault="00C90BDB" w:rsidP="00C90BDB">
      <w:pPr>
        <w:pStyle w:val="NoteEntry"/>
      </w:pPr>
      <w:r w:rsidRPr="00C90BDB">
        <w:rPr>
          <w:szCs w:val="28"/>
        </w:rPr>
        <w:t xml:space="preserve">12. Johannes Kepler, </w:t>
      </w:r>
      <w:r w:rsidRPr="00C90BDB">
        <w:rPr>
          <w:i/>
          <w:szCs w:val="28"/>
        </w:rPr>
        <w:t>The Secret of the Universe: Mysterium Cosmographicum</w:t>
      </w:r>
      <w:r w:rsidRPr="00C90BDB">
        <w:rPr>
          <w:szCs w:val="28"/>
        </w:rPr>
        <w:t xml:space="preserve">, trans. A. M. Duncan, intro. and commentary E. J. Aiton (New York: Abaris Books, 1981), 62–121; James R. Voelkel, </w:t>
      </w:r>
      <w:r w:rsidRPr="00C90BDB">
        <w:rPr>
          <w:i/>
          <w:szCs w:val="28"/>
        </w:rPr>
        <w:t>The Composition of Kepler’s Astronomia Nova</w:t>
      </w:r>
      <w:r w:rsidRPr="00C90BDB">
        <w:rPr>
          <w:szCs w:val="28"/>
        </w:rPr>
        <w:t xml:space="preserve"> (Princeton: Princeton University Press, 2001), 11–59.</w:t>
      </w:r>
    </w:p>
    <w:p w14:paraId="106A7FB9" w14:textId="77777777" w:rsidR="00C90BDB" w:rsidRPr="00C90BDB" w:rsidRDefault="00C90BDB" w:rsidP="00C90BDB">
      <w:pPr>
        <w:pStyle w:val="NoteEntry"/>
      </w:pPr>
      <w:r w:rsidRPr="00C90BDB">
        <w:rPr>
          <w:szCs w:val="28"/>
        </w:rPr>
        <w:t xml:space="preserve">13. Kepler, </w:t>
      </w:r>
      <w:r w:rsidRPr="00C90BDB">
        <w:rPr>
          <w:i/>
          <w:szCs w:val="28"/>
        </w:rPr>
        <w:t>Secret of the Universe</w:t>
      </w:r>
      <w:r w:rsidRPr="00C90BDB">
        <w:rPr>
          <w:szCs w:val="28"/>
        </w:rPr>
        <w:t xml:space="preserve">, 92–121, 127–59; Johannes Kepler, </w:t>
      </w:r>
      <w:r w:rsidRPr="00C90BDB">
        <w:rPr>
          <w:i/>
          <w:szCs w:val="28"/>
        </w:rPr>
        <w:t>The Harmony of the World</w:t>
      </w:r>
      <w:r w:rsidRPr="00C90BDB">
        <w:rPr>
          <w:szCs w:val="28"/>
        </w:rPr>
        <w:t>, trans. E. J. Aiton, A. M. Duncan, and J. V. Field (Philadelphia: American Philosophical Society, 1997), xi–xx, 7–126.</w:t>
      </w:r>
    </w:p>
    <w:p w14:paraId="60B2A602" w14:textId="77777777" w:rsidR="00C90BDB" w:rsidRPr="00C90BDB" w:rsidRDefault="00C90BDB" w:rsidP="00C90BDB">
      <w:pPr>
        <w:pStyle w:val="NoteEntry"/>
      </w:pPr>
      <w:r w:rsidRPr="00C90BDB">
        <w:rPr>
          <w:szCs w:val="28"/>
        </w:rPr>
        <w:t xml:space="preserve">14. Kepler, </w:t>
      </w:r>
      <w:r w:rsidRPr="00C90BDB">
        <w:rPr>
          <w:i/>
          <w:szCs w:val="28"/>
        </w:rPr>
        <w:t>Secret of the Universe</w:t>
      </w:r>
      <w:r w:rsidRPr="00C90BDB">
        <w:rPr>
          <w:szCs w:val="28"/>
        </w:rPr>
        <w:t xml:space="preserve">, 62–73, 159–224; Voelkel, </w:t>
      </w:r>
      <w:r w:rsidRPr="00C90BDB">
        <w:rPr>
          <w:i/>
          <w:szCs w:val="28"/>
        </w:rPr>
        <w:t>Composition</w:t>
      </w:r>
      <w:r w:rsidRPr="00C90BDB">
        <w:rPr>
          <w:szCs w:val="28"/>
        </w:rPr>
        <w:t>, 26–92. The later annotations to the second edition are particularly important because Kepler corrects details while defending the continuity of his program.</w:t>
      </w:r>
    </w:p>
    <w:p w14:paraId="409797B5" w14:textId="77777777" w:rsidR="00C90BDB" w:rsidRPr="00C90BDB" w:rsidRDefault="00C90BDB" w:rsidP="00C90BDB">
      <w:pPr>
        <w:pStyle w:val="NoteEntry"/>
      </w:pPr>
      <w:r w:rsidRPr="00C90BDB">
        <w:rPr>
          <w:szCs w:val="28"/>
        </w:rPr>
        <w:t xml:space="preserve">15. Kepler, </w:t>
      </w:r>
      <w:r w:rsidRPr="00C90BDB">
        <w:rPr>
          <w:i/>
          <w:szCs w:val="28"/>
        </w:rPr>
        <w:t>Secret of the Universe</w:t>
      </w:r>
      <w:r w:rsidRPr="00C90BDB">
        <w:rPr>
          <w:szCs w:val="28"/>
        </w:rPr>
        <w:t xml:space="preserve">, 196–219; Voelkel, </w:t>
      </w:r>
      <w:r w:rsidRPr="00C90BDB">
        <w:rPr>
          <w:i/>
          <w:szCs w:val="28"/>
        </w:rPr>
        <w:t>Composition</w:t>
      </w:r>
      <w:r w:rsidRPr="00C90BDB">
        <w:rPr>
          <w:szCs w:val="28"/>
        </w:rPr>
        <w:t xml:space="preserve">, 46–59, 93–141; Patrick J. Boner, </w:t>
      </w:r>
      <w:r w:rsidRPr="00C90BDB">
        <w:rPr>
          <w:i/>
          <w:szCs w:val="28"/>
        </w:rPr>
        <w:t>Kepler’s Cosmological Synthesis: Astrology, Mechanism and the Soul</w:t>
      </w:r>
      <w:r w:rsidRPr="00C90BDB">
        <w:rPr>
          <w:szCs w:val="28"/>
        </w:rPr>
        <w:t xml:space="preserve"> (Leiden: Brill, 2013), 11–38.</w:t>
      </w:r>
    </w:p>
    <w:p w14:paraId="12A3D3B2" w14:textId="77777777" w:rsidR="00C90BDB" w:rsidRPr="00C90BDB" w:rsidRDefault="00C90BDB" w:rsidP="00C90BDB">
      <w:pPr>
        <w:pStyle w:val="NoteEntry"/>
      </w:pPr>
      <w:r w:rsidRPr="00C90BDB">
        <w:rPr>
          <w:szCs w:val="28"/>
        </w:rPr>
        <w:t xml:space="preserve">16. Johannes Kepler, </w:t>
      </w:r>
      <w:r w:rsidRPr="00C90BDB">
        <w:rPr>
          <w:i/>
          <w:szCs w:val="28"/>
        </w:rPr>
        <w:t>New Astronomy</w:t>
      </w:r>
      <w:r w:rsidRPr="00C90BDB">
        <w:rPr>
          <w:szCs w:val="28"/>
        </w:rPr>
        <w:t xml:space="preserve">, trans. William H. Donahue (Cambridge: Cambridge University Press, 1992), 1–25, 48–69, 113–80; Voelkel, </w:t>
      </w:r>
      <w:r w:rsidRPr="00C90BDB">
        <w:rPr>
          <w:i/>
          <w:szCs w:val="28"/>
        </w:rPr>
        <w:t>Composition</w:t>
      </w:r>
      <w:r w:rsidRPr="00C90BDB">
        <w:rPr>
          <w:szCs w:val="28"/>
        </w:rPr>
        <w:t>, 1–21, 93–141.</w:t>
      </w:r>
    </w:p>
    <w:p w14:paraId="31FD1E72" w14:textId="77777777" w:rsidR="00C90BDB" w:rsidRPr="00C90BDB" w:rsidRDefault="00C90BDB" w:rsidP="00C90BDB">
      <w:pPr>
        <w:pStyle w:val="NoteEntry"/>
      </w:pPr>
      <w:r w:rsidRPr="00C90BDB">
        <w:rPr>
          <w:szCs w:val="28"/>
        </w:rPr>
        <w:t xml:space="preserve">17. Kepler, </w:t>
      </w:r>
      <w:r w:rsidRPr="00C90BDB">
        <w:rPr>
          <w:i/>
          <w:szCs w:val="28"/>
        </w:rPr>
        <w:t>New Astronomy</w:t>
      </w:r>
      <w:r w:rsidRPr="00C90BDB">
        <w:rPr>
          <w:szCs w:val="28"/>
        </w:rPr>
        <w:t>, 285–86, 443–64. The eight-minute passage appears in chap. 19; Kepler frames Tycho’s precision as a benefit of divine benevolence.</w:t>
      </w:r>
    </w:p>
    <w:p w14:paraId="5685B987" w14:textId="77777777" w:rsidR="00C90BDB" w:rsidRPr="00C90BDB" w:rsidRDefault="00C90BDB" w:rsidP="00C90BDB">
      <w:pPr>
        <w:pStyle w:val="NoteEntry"/>
      </w:pPr>
      <w:r w:rsidRPr="00C90BDB">
        <w:rPr>
          <w:szCs w:val="28"/>
        </w:rPr>
        <w:t xml:space="preserve">18. Kepler, </w:t>
      </w:r>
      <w:r w:rsidRPr="00C90BDB">
        <w:rPr>
          <w:i/>
          <w:szCs w:val="28"/>
        </w:rPr>
        <w:t>New Astronomy</w:t>
      </w:r>
      <w:r w:rsidRPr="00C90BDB">
        <w:rPr>
          <w:szCs w:val="28"/>
        </w:rPr>
        <w:t xml:space="preserve">, 447–606, chaps. 43–60; Voelkel, </w:t>
      </w:r>
      <w:r w:rsidRPr="00C90BDB">
        <w:rPr>
          <w:i/>
          <w:szCs w:val="28"/>
        </w:rPr>
        <w:t>Composition</w:t>
      </w:r>
      <w:r w:rsidRPr="00C90BDB">
        <w:rPr>
          <w:szCs w:val="28"/>
        </w:rPr>
        <w:t>, 164–209. Voelkel dates Kepler’s recognition of the ellipse to spring 1605 and reconstructs the relation between the notebooks, correspondence, and published sequence.</w:t>
      </w:r>
    </w:p>
    <w:p w14:paraId="632B6022" w14:textId="77777777" w:rsidR="00C90BDB" w:rsidRPr="00C90BDB" w:rsidRDefault="00C90BDB" w:rsidP="00C90BDB">
      <w:pPr>
        <w:pStyle w:val="NoteEntry"/>
      </w:pPr>
      <w:r w:rsidRPr="00C90BDB">
        <w:rPr>
          <w:szCs w:val="28"/>
        </w:rPr>
        <w:t xml:space="preserve">19. Kepler, </w:t>
      </w:r>
      <w:r w:rsidRPr="00C90BDB">
        <w:rPr>
          <w:i/>
          <w:szCs w:val="28"/>
        </w:rPr>
        <w:t>New Astronomy</w:t>
      </w:r>
      <w:r w:rsidRPr="00C90BDB">
        <w:rPr>
          <w:szCs w:val="28"/>
        </w:rPr>
        <w:t>, 503–606; Donahue’s translator’s introduction, 1–25. The modern “equal areas in equal times” formulation is cleaner than Kepler’s published geometrical and computational procedures, though the essential law is present.</w:t>
      </w:r>
    </w:p>
    <w:p w14:paraId="1213EE5E" w14:textId="77777777" w:rsidR="00C90BDB" w:rsidRPr="00C90BDB" w:rsidRDefault="00C90BDB" w:rsidP="00C90BDB">
      <w:pPr>
        <w:pStyle w:val="NoteEntry"/>
      </w:pPr>
      <w:r w:rsidRPr="00C90BDB">
        <w:rPr>
          <w:szCs w:val="28"/>
        </w:rPr>
        <w:t xml:space="preserve">20. Voelkel, </w:t>
      </w:r>
      <w:r w:rsidRPr="00C90BDB">
        <w:rPr>
          <w:i/>
          <w:szCs w:val="28"/>
        </w:rPr>
        <w:t>Composition</w:t>
      </w:r>
      <w:r w:rsidRPr="00C90BDB">
        <w:rPr>
          <w:szCs w:val="28"/>
        </w:rPr>
        <w:t xml:space="preserve">, xiii–21, 170–246. The argument does not deny Kepler’s reported labor; it shows how the </w:t>
      </w:r>
      <w:r w:rsidRPr="00C90BDB">
        <w:rPr>
          <w:i/>
          <w:szCs w:val="28"/>
        </w:rPr>
        <w:t>Astronomia nova</w:t>
      </w:r>
      <w:r w:rsidRPr="00C90BDB">
        <w:rPr>
          <w:szCs w:val="28"/>
        </w:rPr>
        <w:t xml:space="preserve"> reorganized that labor as a rhetorical path designed for a resistant astronomical community.</w:t>
      </w:r>
    </w:p>
    <w:p w14:paraId="21AC42D9" w14:textId="77777777" w:rsidR="00C90BDB" w:rsidRPr="00C90BDB" w:rsidRDefault="00C90BDB" w:rsidP="00C90BDB">
      <w:pPr>
        <w:pStyle w:val="NoteEntry"/>
      </w:pPr>
      <w:r w:rsidRPr="00C90BDB">
        <w:rPr>
          <w:szCs w:val="28"/>
        </w:rPr>
        <w:t xml:space="preserve">21. Boner, </w:t>
      </w:r>
      <w:r w:rsidRPr="00C90BDB">
        <w:rPr>
          <w:i/>
          <w:szCs w:val="28"/>
        </w:rPr>
        <w:t>Cosmological Synthesis</w:t>
      </w:r>
      <w:r w:rsidRPr="00C90BDB">
        <w:rPr>
          <w:szCs w:val="28"/>
        </w:rPr>
        <w:t>, 11–38. Boner situates the clockwork metaphor within Kepler’s rejection of a self-sufficient world soul and warns against treating it as evidence of a completed mechanical worldview.</w:t>
      </w:r>
    </w:p>
    <w:p w14:paraId="688D493C" w14:textId="77777777" w:rsidR="00C90BDB" w:rsidRPr="00C90BDB" w:rsidRDefault="00C90BDB" w:rsidP="00C90BDB">
      <w:pPr>
        <w:pStyle w:val="NoteEntry"/>
      </w:pPr>
      <w:r w:rsidRPr="00C90BDB">
        <w:rPr>
          <w:szCs w:val="28"/>
        </w:rPr>
        <w:t xml:space="preserve">22. Boner, </w:t>
      </w:r>
      <w:r w:rsidRPr="00C90BDB">
        <w:rPr>
          <w:i/>
          <w:szCs w:val="28"/>
        </w:rPr>
        <w:t>Cosmological Synthesis</w:t>
      </w:r>
      <w:r w:rsidRPr="00C90BDB">
        <w:rPr>
          <w:szCs w:val="28"/>
        </w:rPr>
        <w:t>, 1–38, 69–104, 135–69. Kepler’s explanations of celestial change, the Earth soul, and astrological response preserve vital faculties within a cosmos increasingly described through physical causes.</w:t>
      </w:r>
    </w:p>
    <w:p w14:paraId="0F3F6ACD" w14:textId="77777777" w:rsidR="00C90BDB" w:rsidRPr="00C90BDB" w:rsidRDefault="00C90BDB" w:rsidP="00C90BDB">
      <w:pPr>
        <w:pStyle w:val="NoteEntry"/>
      </w:pPr>
      <w:r w:rsidRPr="00C90BDB">
        <w:rPr>
          <w:szCs w:val="28"/>
        </w:rPr>
        <w:t xml:space="preserve">23. Kepler, </w:t>
      </w:r>
      <w:r w:rsidRPr="00C90BDB">
        <w:rPr>
          <w:i/>
          <w:szCs w:val="28"/>
        </w:rPr>
        <w:t>Harmony of the World</w:t>
      </w:r>
      <w:r w:rsidRPr="00C90BDB">
        <w:rPr>
          <w:szCs w:val="28"/>
        </w:rPr>
        <w:t>, vii–xxxviii, 7–126, 127–280, 281–386, 387–508. The five-book architecture is essential to understanding the third law within, rather than apart from, Kepler’s harmonic project.</w:t>
      </w:r>
    </w:p>
    <w:p w14:paraId="0EF0F273" w14:textId="77777777" w:rsidR="00C90BDB" w:rsidRPr="00C90BDB" w:rsidRDefault="00C90BDB" w:rsidP="00C90BDB">
      <w:pPr>
        <w:pStyle w:val="NoteEntry"/>
      </w:pPr>
      <w:r w:rsidRPr="00C90BDB">
        <w:rPr>
          <w:szCs w:val="28"/>
        </w:rPr>
        <w:t xml:space="preserve">24. Kepler, </w:t>
      </w:r>
      <w:r w:rsidRPr="00C90BDB">
        <w:rPr>
          <w:i/>
          <w:szCs w:val="28"/>
        </w:rPr>
        <w:t>Harmony of the World</w:t>
      </w:r>
      <w:r w:rsidRPr="00C90BDB">
        <w:rPr>
          <w:szCs w:val="28"/>
        </w:rPr>
        <w:t xml:space="preserve">, 127–280, 387–508; Rothman, </w:t>
      </w:r>
      <w:r w:rsidRPr="00C90BDB">
        <w:rPr>
          <w:i/>
          <w:szCs w:val="28"/>
        </w:rPr>
        <w:t>Pursuit of Harmony</w:t>
      </w:r>
      <w:r w:rsidRPr="00C90BDB">
        <w:rPr>
          <w:szCs w:val="28"/>
        </w:rPr>
        <w:t>, 1–29. Rothman emphasizes Kepler’s use of dissonance and difference within a larger harmonic order.</w:t>
      </w:r>
    </w:p>
    <w:p w14:paraId="4C91CD30" w14:textId="77777777" w:rsidR="00C90BDB" w:rsidRPr="00C90BDB" w:rsidRDefault="00C90BDB" w:rsidP="00C90BDB">
      <w:pPr>
        <w:pStyle w:val="NoteEntry"/>
      </w:pPr>
      <w:r w:rsidRPr="00C90BDB">
        <w:rPr>
          <w:szCs w:val="28"/>
        </w:rPr>
        <w:t xml:space="preserve">25. Kepler, </w:t>
      </w:r>
      <w:r w:rsidRPr="00C90BDB">
        <w:rPr>
          <w:i/>
          <w:szCs w:val="28"/>
        </w:rPr>
        <w:t>Harmony of the World</w:t>
      </w:r>
      <w:r w:rsidRPr="00C90BDB">
        <w:rPr>
          <w:szCs w:val="28"/>
        </w:rPr>
        <w:t>, 410–16, especially 411–12. Kepler dates the successful discovery to 15 May 1618 and states the sesquialterate proportion of periods to mean distances; in modern notation, T² ∝ a³.</w:t>
      </w:r>
    </w:p>
    <w:p w14:paraId="1079991C" w14:textId="77777777" w:rsidR="00C90BDB" w:rsidRPr="00C90BDB" w:rsidRDefault="00C90BDB" w:rsidP="00C90BDB">
      <w:pPr>
        <w:pStyle w:val="NoteEntry"/>
      </w:pPr>
      <w:r w:rsidRPr="00C90BDB">
        <w:rPr>
          <w:szCs w:val="28"/>
        </w:rPr>
        <w:t xml:space="preserve">26. Kepler, </w:t>
      </w:r>
      <w:r w:rsidRPr="00C90BDB">
        <w:rPr>
          <w:i/>
          <w:szCs w:val="28"/>
        </w:rPr>
        <w:t>Harmony of the World</w:t>
      </w:r>
      <w:r w:rsidRPr="00C90BDB">
        <w:rPr>
          <w:szCs w:val="28"/>
        </w:rPr>
        <w:t xml:space="preserve">, xi–xxxviii and Books I–II; Kepler, </w:t>
      </w:r>
      <w:r w:rsidRPr="00C90BDB">
        <w:rPr>
          <w:i/>
          <w:szCs w:val="28"/>
        </w:rPr>
        <w:t>Secret of the Universe</w:t>
      </w:r>
      <w:r w:rsidRPr="00C90BDB">
        <w:rPr>
          <w:szCs w:val="28"/>
        </w:rPr>
        <w:t>, 92–159. J. V. Field’s work is represented in the translation and notes as well as in the supplied volume’s treatment of Kepler’s geometry.</w:t>
      </w:r>
    </w:p>
    <w:p w14:paraId="23F38584" w14:textId="77777777" w:rsidR="00C90BDB" w:rsidRPr="00C90BDB" w:rsidRDefault="00C90BDB" w:rsidP="00C90BDB">
      <w:pPr>
        <w:pStyle w:val="NoteEntry"/>
      </w:pPr>
      <w:r w:rsidRPr="00C90BDB">
        <w:rPr>
          <w:szCs w:val="28"/>
        </w:rPr>
        <w:t xml:space="preserve">27. Boner, </w:t>
      </w:r>
      <w:r w:rsidRPr="00C90BDB">
        <w:rPr>
          <w:i/>
          <w:szCs w:val="28"/>
        </w:rPr>
        <w:t>Cosmological Synthesis</w:t>
      </w:r>
      <w:r w:rsidRPr="00C90BDB">
        <w:rPr>
          <w:szCs w:val="28"/>
        </w:rPr>
        <w:t xml:space="preserve">, 39–68; Westman, </w:t>
      </w:r>
      <w:r w:rsidRPr="00C90BDB">
        <w:rPr>
          <w:i/>
          <w:szCs w:val="28"/>
        </w:rPr>
        <w:t>Copernican Question</w:t>
      </w:r>
      <w:r w:rsidRPr="00C90BDB">
        <w:rPr>
          <w:szCs w:val="28"/>
        </w:rPr>
        <w:t>, 25–75. Both works place astronomical calculation within the broader “science of the stars,” in which tables, calendars, medicine, and prognostication were institutionally connected.</w:t>
      </w:r>
    </w:p>
    <w:p w14:paraId="5055D139" w14:textId="77777777" w:rsidR="00C90BDB" w:rsidRPr="00C90BDB" w:rsidRDefault="00C90BDB" w:rsidP="00C90BDB">
      <w:pPr>
        <w:pStyle w:val="NoteEntry"/>
      </w:pPr>
      <w:r w:rsidRPr="00C90BDB">
        <w:rPr>
          <w:szCs w:val="28"/>
        </w:rPr>
        <w:t xml:space="preserve">28. Boner, </w:t>
      </w:r>
      <w:r w:rsidRPr="00C90BDB">
        <w:rPr>
          <w:i/>
          <w:szCs w:val="28"/>
        </w:rPr>
        <w:t>Cosmological Synthesis</w:t>
      </w:r>
      <w:r w:rsidRPr="00C90BDB">
        <w:rPr>
          <w:szCs w:val="28"/>
        </w:rPr>
        <w:t xml:space="preserve">, 39–68, 135–66; Kepler, </w:t>
      </w:r>
      <w:r w:rsidRPr="00C90BDB">
        <w:rPr>
          <w:i/>
          <w:szCs w:val="28"/>
        </w:rPr>
        <w:t>Harmony of the World</w:t>
      </w:r>
      <w:r w:rsidRPr="00C90BDB">
        <w:rPr>
          <w:szCs w:val="28"/>
        </w:rPr>
        <w:t>, 281–386. Kepler rejected many conventional astrological categories while retaining geometrically defined aspects and the responsive faculties of sublunary souls.</w:t>
      </w:r>
    </w:p>
    <w:p w14:paraId="0748615C" w14:textId="77777777" w:rsidR="00C90BDB" w:rsidRPr="00C90BDB" w:rsidRDefault="00C90BDB" w:rsidP="00C90BDB">
      <w:pPr>
        <w:pStyle w:val="NoteEntry"/>
      </w:pPr>
      <w:r w:rsidRPr="00C90BDB">
        <w:rPr>
          <w:szCs w:val="28"/>
        </w:rPr>
        <w:t xml:space="preserve">29. Boner, </w:t>
      </w:r>
      <w:r w:rsidRPr="00C90BDB">
        <w:rPr>
          <w:i/>
          <w:szCs w:val="28"/>
        </w:rPr>
        <w:t>Cosmological Synthesis</w:t>
      </w:r>
      <w:r w:rsidRPr="00C90BDB">
        <w:rPr>
          <w:szCs w:val="28"/>
        </w:rPr>
        <w:t xml:space="preserve">, 69–104, 135–66; Rothman, </w:t>
      </w:r>
      <w:r w:rsidRPr="00C90BDB">
        <w:rPr>
          <w:i/>
          <w:szCs w:val="28"/>
        </w:rPr>
        <w:t>Pursuit of Harmony</w:t>
      </w:r>
      <w:r w:rsidRPr="00C90BDB">
        <w:rPr>
          <w:szCs w:val="28"/>
        </w:rPr>
        <w:t>, 181–223. Kepler’s court astrology required ethical and political judgment as well as computation.</w:t>
      </w:r>
    </w:p>
    <w:p w14:paraId="7ECBBE3D" w14:textId="77777777" w:rsidR="00C90BDB" w:rsidRPr="00C90BDB" w:rsidRDefault="00C90BDB" w:rsidP="00C90BDB">
      <w:pPr>
        <w:pStyle w:val="NoteEntry"/>
      </w:pPr>
      <w:r w:rsidRPr="00C90BDB">
        <w:rPr>
          <w:szCs w:val="28"/>
        </w:rPr>
        <w:t xml:space="preserve">30. Kepler, </w:t>
      </w:r>
      <w:r w:rsidRPr="00C90BDB">
        <w:rPr>
          <w:i/>
          <w:szCs w:val="28"/>
        </w:rPr>
        <w:t>Secret of the Universe</w:t>
      </w:r>
      <w:r w:rsidRPr="00C90BDB">
        <w:rPr>
          <w:szCs w:val="28"/>
        </w:rPr>
        <w:t xml:space="preserve">, 62–121; Rothman, </w:t>
      </w:r>
      <w:r w:rsidRPr="00C90BDB">
        <w:rPr>
          <w:i/>
          <w:szCs w:val="28"/>
        </w:rPr>
        <w:t>Pursuit of Harmony</w:t>
      </w:r>
      <w:r w:rsidRPr="00C90BDB">
        <w:rPr>
          <w:szCs w:val="28"/>
        </w:rPr>
        <w:t>, 30–70, 104–39. The description of astronomy as a priestly vocation recurs across Kepler’s correspondence and published work.</w:t>
      </w:r>
    </w:p>
    <w:p w14:paraId="694E36B9" w14:textId="77777777" w:rsidR="00C90BDB" w:rsidRPr="00C90BDB" w:rsidRDefault="00C90BDB" w:rsidP="00C90BDB">
      <w:pPr>
        <w:pStyle w:val="NoteEntry"/>
      </w:pPr>
      <w:r w:rsidRPr="00C90BDB">
        <w:rPr>
          <w:szCs w:val="28"/>
        </w:rPr>
        <w:t xml:space="preserve">31. Rothman, </w:t>
      </w:r>
      <w:r w:rsidRPr="00C90BDB">
        <w:rPr>
          <w:i/>
          <w:szCs w:val="28"/>
        </w:rPr>
        <w:t>Pursuit of Harmony</w:t>
      </w:r>
      <w:r w:rsidRPr="00C90BDB">
        <w:rPr>
          <w:szCs w:val="28"/>
        </w:rPr>
        <w:t>, 1–29, 30–70, 104–39, 181–223. Rothman’s central argument connects Kepler’s changing account of harmony to confession, community, perspective, and the possibility of ordered pluralism.</w:t>
      </w:r>
    </w:p>
    <w:p w14:paraId="78964E1D" w14:textId="77777777" w:rsidR="00C90BDB" w:rsidRPr="00C90BDB" w:rsidRDefault="00C90BDB" w:rsidP="00C90BDB">
      <w:pPr>
        <w:pStyle w:val="NoteEntry"/>
      </w:pPr>
      <w:r w:rsidRPr="00C90BDB">
        <w:rPr>
          <w:szCs w:val="28"/>
        </w:rPr>
        <w:t xml:space="preserve">32. Voelkel, </w:t>
      </w:r>
      <w:r w:rsidRPr="00C90BDB">
        <w:rPr>
          <w:i/>
          <w:szCs w:val="28"/>
        </w:rPr>
        <w:t>Composition</w:t>
      </w:r>
      <w:r w:rsidRPr="00C90BDB">
        <w:rPr>
          <w:szCs w:val="28"/>
        </w:rPr>
        <w:t xml:space="preserve">, 142–69; Boner, </w:t>
      </w:r>
      <w:r w:rsidRPr="00C90BDB">
        <w:rPr>
          <w:i/>
          <w:szCs w:val="28"/>
        </w:rPr>
        <w:t>Cosmological Synthesis</w:t>
      </w:r>
      <w:r w:rsidRPr="00C90BDB">
        <w:rPr>
          <w:szCs w:val="28"/>
        </w:rPr>
        <w:t xml:space="preserve">, 69–70; Rothman, </w:t>
      </w:r>
      <w:r w:rsidRPr="00C90BDB">
        <w:rPr>
          <w:i/>
          <w:szCs w:val="28"/>
        </w:rPr>
        <w:t>Pursuit of Harmony</w:t>
      </w:r>
      <w:r w:rsidRPr="00C90BDB">
        <w:rPr>
          <w:szCs w:val="28"/>
        </w:rPr>
        <w:t>, 251–72. The tables were conceived under Tycho, completed by Kepler, and published at Ulm in 1627.</w:t>
      </w:r>
    </w:p>
    <w:p w14:paraId="393FB8DB" w14:textId="77777777" w:rsidR="00C90BDB" w:rsidRPr="00C90BDB" w:rsidRDefault="00C90BDB" w:rsidP="00C90BDB">
      <w:pPr>
        <w:pStyle w:val="NoteEntry"/>
      </w:pPr>
      <w:r w:rsidRPr="00C90BDB">
        <w:rPr>
          <w:szCs w:val="28"/>
        </w:rPr>
        <w:t xml:space="preserve">33. Kepler, </w:t>
      </w:r>
      <w:r w:rsidRPr="00C90BDB">
        <w:rPr>
          <w:i/>
          <w:szCs w:val="28"/>
        </w:rPr>
        <w:t>New Astronomy</w:t>
      </w:r>
      <w:r w:rsidRPr="00C90BDB">
        <w:rPr>
          <w:szCs w:val="28"/>
        </w:rPr>
        <w:t>, 48–49. Kepler reports Prutenic errors for Mars approaching four degrees in 1608 and five degrees in 1593, while claiming that his new calculation removed the discrepancy.</w:t>
      </w:r>
    </w:p>
    <w:p w14:paraId="5CA36905" w14:textId="77777777" w:rsidR="00C90BDB" w:rsidRPr="00C90BDB" w:rsidRDefault="00C90BDB" w:rsidP="00C90BDB">
      <w:pPr>
        <w:pStyle w:val="NoteEntry"/>
      </w:pPr>
      <w:r w:rsidRPr="00C90BDB">
        <w:rPr>
          <w:szCs w:val="28"/>
        </w:rPr>
        <w:t xml:space="preserve">34. Kepler, </w:t>
      </w:r>
      <w:r w:rsidRPr="00C90BDB">
        <w:rPr>
          <w:i/>
          <w:szCs w:val="28"/>
        </w:rPr>
        <w:t>Harmony of the World</w:t>
      </w:r>
      <w:r w:rsidRPr="00C90BDB">
        <w:rPr>
          <w:szCs w:val="28"/>
        </w:rPr>
        <w:t xml:space="preserve">, vii–ix; Gingerich, </w:t>
      </w:r>
      <w:r w:rsidRPr="00C90BDB">
        <w:rPr>
          <w:i/>
          <w:szCs w:val="28"/>
        </w:rPr>
        <w:t>Book Nobody Read</w:t>
      </w:r>
      <w:r w:rsidRPr="00C90BDB">
        <w:rPr>
          <w:szCs w:val="28"/>
        </w:rPr>
        <w:t xml:space="preserve">, 47, 149; Voelkel, </w:t>
      </w:r>
      <w:r w:rsidRPr="00C90BDB">
        <w:rPr>
          <w:i/>
          <w:szCs w:val="28"/>
        </w:rPr>
        <w:t>Composition</w:t>
      </w:r>
      <w:r w:rsidRPr="00C90BDB">
        <w:rPr>
          <w:szCs w:val="28"/>
        </w:rPr>
        <w:t>, 142–69, 218–46. The tables supported ephemerides and made Kepler’s planetary theory available through prediction.</w:t>
      </w:r>
    </w:p>
    <w:p w14:paraId="0400DF41" w14:textId="77777777" w:rsidR="00C90BDB" w:rsidRPr="00C90BDB" w:rsidRDefault="00C90BDB" w:rsidP="00C90BDB">
      <w:pPr>
        <w:pStyle w:val="NoteEntry"/>
      </w:pPr>
      <w:r w:rsidRPr="00C90BDB">
        <w:rPr>
          <w:szCs w:val="28"/>
        </w:rPr>
        <w:t xml:space="preserve">35. Kepler, </w:t>
      </w:r>
      <w:r w:rsidRPr="00C90BDB">
        <w:rPr>
          <w:i/>
          <w:szCs w:val="28"/>
        </w:rPr>
        <w:t>Harmony of the World</w:t>
      </w:r>
      <w:r w:rsidRPr="00C90BDB">
        <w:rPr>
          <w:szCs w:val="28"/>
        </w:rPr>
        <w:t xml:space="preserve">, xi–xxiv, 387–416; Kepler, </w:t>
      </w:r>
      <w:r w:rsidRPr="00C90BDB">
        <w:rPr>
          <w:i/>
          <w:szCs w:val="28"/>
        </w:rPr>
        <w:t>Secret of the Universe</w:t>
      </w:r>
      <w:r w:rsidRPr="00C90BDB">
        <w:rPr>
          <w:szCs w:val="28"/>
        </w:rPr>
        <w:t>, 92–121. The human mind’s fitness for geometry is central to Kepler’s account of how created intelligence can recover cosmic structure.</w:t>
      </w:r>
    </w:p>
    <w:p w14:paraId="30816C73" w14:textId="77777777" w:rsidR="00C90BDB" w:rsidRPr="00C90BDB" w:rsidRDefault="00C90BDB" w:rsidP="00C90BDB">
      <w:pPr>
        <w:pStyle w:val="NoteEntry"/>
      </w:pPr>
      <w:r w:rsidRPr="00C90BDB">
        <w:rPr>
          <w:szCs w:val="28"/>
        </w:rPr>
        <w:t xml:space="preserve">36. Copernicus, </w:t>
      </w:r>
      <w:r w:rsidRPr="00C90BDB">
        <w:rPr>
          <w:i/>
          <w:szCs w:val="28"/>
        </w:rPr>
        <w:t>On the Revolutions</w:t>
      </w:r>
      <w:r w:rsidRPr="00C90BDB">
        <w:rPr>
          <w:szCs w:val="28"/>
        </w:rPr>
        <w:t xml:space="preserve">, 35–36; Westman, </w:t>
      </w:r>
      <w:r w:rsidRPr="00C90BDB">
        <w:rPr>
          <w:i/>
          <w:szCs w:val="28"/>
        </w:rPr>
        <w:t>Copernican Question</w:t>
      </w:r>
      <w:r w:rsidRPr="00C90BDB">
        <w:rPr>
          <w:szCs w:val="28"/>
        </w:rPr>
        <w:t>, 259–319. The enlargement of the stellar region, the infinity of the universe, and the plurality of worlds must be distinguished rather than treated as one Copernican claim.</w:t>
      </w:r>
    </w:p>
    <w:p w14:paraId="702A3537" w14:textId="77777777" w:rsidR="00367884" w:rsidRPr="00367884" w:rsidRDefault="00367884" w:rsidP="00367884">
      <w:pPr>
        <w:pStyle w:val="ChapterHeading"/>
      </w:pPr>
      <w:bookmarkStart w:id="18" w:name="toc_chapter_14"/>
      <w:r>
        <w:rPr>
          <w:sz w:val="28"/>
        </w:rPr>
        <w:t>Chapter 14</w:t>
      </w:r>
      <w:r>
        <w:rPr>
          <w:sz w:val="28"/>
        </w:rPr>
        <w:br/>
      </w:r>
      <w:r>
        <w:t>The Instrumented World</w:t>
      </w:r>
      <w:bookmarkEnd w:id="18"/>
    </w:p>
    <w:p w14:paraId="1E487D16" w14:textId="77777777" w:rsidR="00367884" w:rsidRPr="00367884" w:rsidRDefault="00367884" w:rsidP="00367884">
      <w:pPr>
        <w:pStyle w:val="SectionHeading"/>
      </w:pPr>
      <w:r w:rsidRPr="00367884">
        <w:rPr>
          <w:bCs/>
          <w:szCs w:val="28"/>
        </w:rPr>
        <w:t>A Surface the Naked Eye Could Not See</w:t>
      </w:r>
    </w:p>
    <w:p w14:paraId="5DF38371" w14:textId="77777777" w:rsidR="00367884" w:rsidRPr="00367884" w:rsidRDefault="00367884" w:rsidP="00367884">
      <w:pPr>
        <w:pStyle w:val="BookBody"/>
      </w:pPr>
      <w:r w:rsidRPr="00367884">
        <w:rPr>
          <w:szCs w:val="28"/>
        </w:rPr>
        <w:t>Chapter 13 ended with an eye that could no longer take its own station as the measure of the heavens. The telescope made that displacement material. Between observer and Moon now stood a tube, two pieces of ground glass, a practiced hand, a sequence of nights, a page of notes, and eventually an engraved image. None of these merely decorated the act of seeing. Together they constituted a new kind of sight. The Moon had always presented patches of light and dark, but in the winter of 1609–10 Galileo Galilei made those changes bear the weight of a physical inference: the lunar surface was broken by elevations and cavities, and the play of illumination across it could be read as evidence of mountains and valleys.</w:t>
      </w:r>
      <w:r w:rsidRPr="00367884">
        <w:rPr>
          <w:szCs w:val="28"/>
          <w:vertAlign w:val="superscript"/>
        </w:rPr>
        <w:t>1</w:t>
      </w:r>
      <w:r w:rsidRPr="00367884">
        <w:rPr>
          <w:szCs w:val="28"/>
        </w:rPr>
        <w:t xml:space="preserve"> A visible quality—shadow—became a sign from which an invisible quantity—height—might be reasoned.</w:t>
      </w:r>
    </w:p>
    <w:p w14:paraId="620666B5" w14:textId="77777777" w:rsidR="00367884" w:rsidRPr="00367884" w:rsidRDefault="00367884" w:rsidP="00367884">
      <w:pPr>
        <w:pStyle w:val="BookBody"/>
      </w:pPr>
      <w:r w:rsidRPr="00367884">
        <w:rPr>
          <w:szCs w:val="28"/>
        </w:rPr>
        <w:t>The claim was not self-announcing. Through an early telescope the lunar terminator did not resolve into the clean, sharp frontier familiar from modern photographs. The image swam, colored fringes appeared, the field was narrow, and the slightest movement of eye or tube altered what could be seen. Galileo therefore did not simply report an enlarged Moon. He taught his readers how to interpret unstable appearances. A bright point within darkness might be a mountaintop catching sunlight before the surrounding plain; a dark tongue reaching into the illuminated portion might mark a depression. What mattered was not the isolated patch but its changing relation to the moving boundary between light and dark. Seen again at another lunar phase, the same feature changed in a lawful way. The telescope produced an image; the sequence disciplined it.</w:t>
      </w:r>
      <w:r w:rsidRPr="00367884">
        <w:rPr>
          <w:szCs w:val="28"/>
          <w:vertAlign w:val="superscript"/>
        </w:rPr>
        <w:t>2</w:t>
      </w:r>
    </w:p>
    <w:p w14:paraId="2A9F13BC" w14:textId="77777777" w:rsidR="00367884" w:rsidRPr="00367884" w:rsidRDefault="00367884" w:rsidP="00367884">
      <w:pPr>
        <w:pStyle w:val="BookBody"/>
      </w:pPr>
      <w:r w:rsidRPr="00367884">
        <w:rPr>
          <w:szCs w:val="28"/>
        </w:rPr>
        <w:t>This was a decisive turn in the history of the living cosmos. Earlier natural philosophers had also used instruments, diagrams, tables, and skilled observation. Mariners read compasses and astrolabes; surveyors aligned sights; physicians took pulses; artisans judged temperatures, colors, and textures. What changed in the seventeenth century was not the sudden arrival of mediation into previously innocent knowledge. It was the growing authority of tightly joined systems of mediation. Apparatus, mathematical relation, serial record, printed plate, and credible witness began to reinforce one another. The world disclosed through these systems was real, but it did not arrive without a history. Instruments selected, magnified, stabilized, and translated. They made some differences vivid, others negligible, and still others literally unseeable.</w:t>
      </w:r>
    </w:p>
    <w:p w14:paraId="33C4CEF1" w14:textId="77777777" w:rsidR="00367884" w:rsidRPr="00367884" w:rsidRDefault="00367884" w:rsidP="00367884">
      <w:pPr>
        <w:pStyle w:val="BookBody"/>
      </w:pPr>
      <w:r w:rsidRPr="00367884">
        <w:rPr>
          <w:szCs w:val="28"/>
        </w:rPr>
        <w:t xml:space="preserve">The engraved Moon in the </w:t>
      </w:r>
      <w:r w:rsidRPr="00367884">
        <w:rPr>
          <w:i/>
          <w:szCs w:val="28"/>
        </w:rPr>
        <w:t>Sidereus Nuncius</w:t>
      </w:r>
      <w:r w:rsidRPr="00367884">
        <w:rPr>
          <w:szCs w:val="28"/>
        </w:rPr>
        <w:t xml:space="preserve"> therefore belongs to an epistemic chain. Galileo looked, adjusted, compared, remembered, drew, and interpreted. A draftsman or engraver converted a hand-drawn image into printable lines. The press multiplied those lines, and distant readers learned to see through them. The published plate did not reproduce the moment at the eyepiece. It made the moment portable. It detached a telescopic judgment from the cold night, the tremor of the hand, and the peculiarities of a particular lens, then offered that judgment to readers who might never touch Galileo’s instrument. Its authority lay precisely in this transformation: an elusive appearance became a stable object of comparison and dispute.</w:t>
      </w:r>
      <w:r w:rsidRPr="00367884">
        <w:rPr>
          <w:szCs w:val="28"/>
          <w:vertAlign w:val="superscript"/>
        </w:rPr>
        <w:t>3</w:t>
      </w:r>
    </w:p>
    <w:p w14:paraId="2043BD82" w14:textId="77777777" w:rsidR="00367884" w:rsidRPr="00367884" w:rsidRDefault="00367884" w:rsidP="00367884">
      <w:pPr>
        <w:pStyle w:val="FigureImage"/>
      </w:pPr>
      <w:r w:rsidRPr="00367884">
        <w:rPr>
          <w:noProof/>
          <w:szCs w:val="28"/>
        </w:rPr>
        <w:drawing>
          <wp:inline distT="0" distB="0" distL="0" distR="0" wp14:anchorId="030D23CC" wp14:editId="2A22F9BD">
            <wp:extent cx="2971800" cy="3445203"/>
            <wp:effectExtent l="0" t="0" r="0" b="0"/>
            <wp:docPr id="604395218" name="Picture 604395218" descr="Facsimile page from Galileo's Sidereus Nuncius showing a shaded telescopic rendering of the Moon near the termin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4_1_galileo_moon.jpg"/>
                    <pic:cNvPicPr/>
                  </pic:nvPicPr>
                  <pic:blipFill>
                    <a:blip r:embed="rId14"/>
                    <a:stretch>
                      <a:fillRect/>
                    </a:stretch>
                  </pic:blipFill>
                  <pic:spPr>
                    <a:xfrm>
                      <a:off x="0" y="0"/>
                      <a:ext cx="2971800" cy="3445203"/>
                    </a:xfrm>
                    <a:prstGeom prst="rect">
                      <a:avLst/>
                    </a:prstGeom>
                  </pic:spPr>
                </pic:pic>
              </a:graphicData>
            </a:graphic>
          </wp:inline>
        </w:drawing>
      </w:r>
    </w:p>
    <w:p w14:paraId="61C9E26A" w14:textId="77777777" w:rsidR="00367884" w:rsidRPr="00367884" w:rsidRDefault="00367884" w:rsidP="00367884">
      <w:pPr>
        <w:pStyle w:val="FigureCaption"/>
      </w:pPr>
      <w:r w:rsidRPr="00367884">
        <w:rPr>
          <w:szCs w:val="28"/>
        </w:rPr>
        <w:t>Figure 14.1. The Moon as an interpreted telescopic surface in Galileo Galilei, Sidereus Nuncius (Venice, 1610), p. 8. The engraving turns changing light and shadow into evidence of lunar relief. Working facsimile supplied for drafting; final repository credit and reproduction terms to be verified.</w:t>
      </w:r>
    </w:p>
    <w:p w14:paraId="18FFF392" w14:textId="77777777" w:rsidR="00367884" w:rsidRPr="00367884" w:rsidRDefault="00367884" w:rsidP="00367884">
      <w:pPr>
        <w:pStyle w:val="BookBody"/>
      </w:pPr>
      <w:r w:rsidRPr="00367884">
        <w:rPr>
          <w:szCs w:val="28"/>
        </w:rPr>
        <w:t>The result was not that the eye became obsolete. It became trainable. The instrument did not replace judgment but demanded more of it. A competent observer had to know where to place the eye, how to focus, how long to look, which appearances recurred, and which belonged to the glass. He also had to know how to convert perception into a claim that others could evaluate. The crucial novelty was thus neither “observation” nor “technology” in isolation. It was instrumented judgment: a practice in which material devices, disciplined bodies, representational conventions, and communities of trust jointly determined what counted as a visible fact.</w:t>
      </w:r>
    </w:p>
    <w:p w14:paraId="2E2FF391" w14:textId="77777777" w:rsidR="00367884" w:rsidRPr="00367884" w:rsidRDefault="00367884" w:rsidP="00367884">
      <w:pPr>
        <w:pStyle w:val="SectionHeading"/>
      </w:pPr>
      <w:r w:rsidRPr="00367884">
        <w:rPr>
          <w:bCs/>
          <w:szCs w:val="28"/>
        </w:rPr>
        <w:t>A Lens with a Biography</w:t>
      </w:r>
    </w:p>
    <w:p w14:paraId="009FDF1E" w14:textId="77777777" w:rsidR="00367884" w:rsidRPr="00367884" w:rsidRDefault="00367884" w:rsidP="00367884">
      <w:pPr>
        <w:pStyle w:val="BookBody"/>
      </w:pPr>
      <w:r w:rsidRPr="00367884">
        <w:rPr>
          <w:szCs w:val="28"/>
        </w:rPr>
        <w:t>The telescope did not descend from a philosophical program. It emerged around 1608 from the commercial world of spectacle makers in the Low Countries, where techniques of grinding and combining lenses circulated among artisans, merchants, soldiers, and court officials. Reports of the device spread faster than reliable instruments. Galileo heard of it at a distance, reconstructed the optical arrangement, improved its magnification, and presented powerful versions to Venetian and Florentine patrons. He did not invent the telescope from nothing. He converted a precarious commodity into an astronomical instrument and, just as importantly, into an instrument of credit.</w:t>
      </w:r>
      <w:r w:rsidRPr="00367884">
        <w:rPr>
          <w:szCs w:val="28"/>
          <w:vertAlign w:val="superscript"/>
        </w:rPr>
        <w:t>4</w:t>
      </w:r>
    </w:p>
    <w:p w14:paraId="103F226C" w14:textId="77777777" w:rsidR="00367884" w:rsidRPr="00367884" w:rsidRDefault="00367884" w:rsidP="00367884">
      <w:pPr>
        <w:pStyle w:val="BookBody"/>
      </w:pPr>
      <w:r w:rsidRPr="00367884">
        <w:rPr>
          <w:szCs w:val="28"/>
        </w:rPr>
        <w:t>That conversion mattered because a device has no fixed social identity. The same tube could be sold as a military advantage, displayed as a courtly wonder, used to identify ships, or directed toward the heavens. Each setting carried a different standard of success. A lookout needed timely recognition, not philosophical certainty. A prince might value novelty and prestige. An astronomer asked the instrument to sustain claims about bodies no one could approach. Galileo’s achievement was to connect these uses without allowing the telescope to remain merely a curiosity. By naming the newly observed satellites of Jupiter the “Medicean stars,” he bound celestial discovery to patronage. By publishing their motions, he also made the claim exceed the gift economy of a single court. The telescope moved between workshop, arsenal, palace, observatory, and book.</w:t>
      </w:r>
      <w:r w:rsidRPr="00367884">
        <w:rPr>
          <w:szCs w:val="28"/>
          <w:vertAlign w:val="superscript"/>
        </w:rPr>
        <w:t>5</w:t>
      </w:r>
    </w:p>
    <w:p w14:paraId="61183644" w14:textId="77777777" w:rsidR="00367884" w:rsidRPr="00367884" w:rsidRDefault="00367884" w:rsidP="00367884">
      <w:pPr>
        <w:pStyle w:val="BookBody"/>
      </w:pPr>
      <w:r w:rsidRPr="00367884">
        <w:rPr>
          <w:szCs w:val="28"/>
        </w:rPr>
        <w:t>Its weaknesses followed it. Early telescopes had small apertures, poor lenses, narrow fields, chromatic fringes, blurred edges, and double images. They were hard to aim and exhausting to use. A critic who looked briefly and saw nothing stable was not necessarily blind or malicious. The same optical defects that enlarged a distant object could generate luminous halos and false duplications. Nor did possession of a tube guarantee Galileo’s view. The relation between lenses, aperture, tube length, focusing, lighting, and eye position had to be learned. Telescopic seeing was a craft before it was a routine.</w:t>
      </w:r>
      <w:r w:rsidRPr="00367884">
        <w:rPr>
          <w:szCs w:val="28"/>
          <w:vertAlign w:val="superscript"/>
        </w:rPr>
        <w:t>6</w:t>
      </w:r>
    </w:p>
    <w:p w14:paraId="78E6BA69" w14:textId="77777777" w:rsidR="00367884" w:rsidRPr="00367884" w:rsidRDefault="00367884" w:rsidP="00367884">
      <w:pPr>
        <w:pStyle w:val="BookBody"/>
      </w:pPr>
      <w:r w:rsidRPr="00367884">
        <w:rPr>
          <w:szCs w:val="28"/>
        </w:rPr>
        <w:t>Galileo guarded parts of that craft. He shared instruments selectively, promised improved versions, and controlled information about their construction. The secrecy was not an embarrassing residue left over from a pre-scientific age. It was one means by which artisans and mathematical practitioners protected value. Yet secrecy also created an epistemic problem: how could a community test an observation if the instrument depended on tacit knowledge and scarce glass? The printed book partly answered by distributing observations more widely than instruments. Patronage answered by attaching the observer’s credibility to recognized power. Repetition over time answered by making an appearance behave regularly. No single answer sufficed; together they built a provisional bridge from difficult sight to public knowledge.</w:t>
      </w:r>
    </w:p>
    <w:p w14:paraId="468A3F49" w14:textId="77777777" w:rsidR="00367884" w:rsidRPr="00367884" w:rsidRDefault="00367884" w:rsidP="00367884">
      <w:pPr>
        <w:pStyle w:val="BookBody"/>
      </w:pPr>
      <w:r w:rsidRPr="00367884">
        <w:rPr>
          <w:szCs w:val="28"/>
        </w:rPr>
        <w:t>This mixture of openness and control undercuts an easy story in which modern science begins when secret craft yields to transparent method. Galileo’s astronomy relied on both. The lens maker’s embodied competence remained inside the apparently public fact. So did the engraver’s selection of lines and the courtier’s management of reputation. What became public was not the whole process but a carefully prepared route through it. The public fact carried concealed labor.</w:t>
      </w:r>
    </w:p>
    <w:p w14:paraId="40AAB826" w14:textId="77777777" w:rsidR="00367884" w:rsidRPr="00367884" w:rsidRDefault="00367884" w:rsidP="00367884">
      <w:pPr>
        <w:pStyle w:val="BookBody"/>
      </w:pPr>
      <w:r w:rsidRPr="00367884">
        <w:rPr>
          <w:szCs w:val="28"/>
        </w:rPr>
        <w:t>The telescope’s biography therefore reveals the first principle of the instrumented world: instruments acquire authority, rather than possessing it automatically. Glass did not command belief merely by being glass. It had to become associated with reliable makers, disciplined observers, repeatable sequences, persuasive images, and successful predictions. The instrument’s passage through those relations was as important as its passage of light. A telescope was an optical tube; “the telescope” was a social and epistemic achievement.</w:t>
      </w:r>
    </w:p>
    <w:p w14:paraId="70676178" w14:textId="77777777" w:rsidR="00367884" w:rsidRPr="00367884" w:rsidRDefault="00367884" w:rsidP="00367884">
      <w:pPr>
        <w:pStyle w:val="SectionHeading"/>
      </w:pPr>
      <w:r w:rsidRPr="00367884">
        <w:rPr>
          <w:bCs/>
          <w:szCs w:val="28"/>
        </w:rPr>
        <w:t>Evidence That Moved</w:t>
      </w:r>
    </w:p>
    <w:p w14:paraId="4913265D" w14:textId="77777777" w:rsidR="00367884" w:rsidRPr="00367884" w:rsidRDefault="00367884" w:rsidP="00367884">
      <w:pPr>
        <w:pStyle w:val="BookBody"/>
      </w:pPr>
      <w:r w:rsidRPr="00367884">
        <w:rPr>
          <w:szCs w:val="28"/>
        </w:rPr>
        <w:t>Galileo’s observations of Jupiter’s satellites display this achievement with unusual clarity. On 7 January 1610 he saw small bright bodies near Jupiter. A single view could have meant fixed stars, optical ghosts, or defects in the lens. Over subsequent nights their positions changed, yet they remained close to the planet. Sometimes three appeared, sometimes four; sometimes one was hidden. The evidence did not consist in a privileged instant. It consisted in a patterned succession. Galileo’s little configurations—Jupiter represented with dots disposed on either side—became a visual grammar of time.</w:t>
      </w:r>
      <w:r w:rsidRPr="00367884">
        <w:rPr>
          <w:szCs w:val="28"/>
          <w:vertAlign w:val="superscript"/>
        </w:rPr>
        <w:t>7</w:t>
      </w:r>
    </w:p>
    <w:p w14:paraId="7EB39BAB" w14:textId="77777777" w:rsidR="00367884" w:rsidRPr="00367884" w:rsidRDefault="00367884" w:rsidP="00367884">
      <w:pPr>
        <w:pStyle w:val="BookBody"/>
      </w:pPr>
      <w:r w:rsidRPr="00367884">
        <w:rPr>
          <w:szCs w:val="28"/>
        </w:rPr>
        <w:t>This serial form changed what an astronomical object could be. The satellites were identified less by a permanently visible shape than by a relation that persisted through change. Their local motions distinguished them from the fixed stars. Their repeated disappearances could be understood as eclipses or passages behind Jupiter. The object was stabilized by its behavior. An appearance that remained ambiguous in one night acquired identity across many. Telescopic knowledge was therefore temporal before it was pictorial: the image became convincing when embedded in a record.</w:t>
      </w:r>
    </w:p>
    <w:p w14:paraId="4B67DFD0" w14:textId="77777777" w:rsidR="00367884" w:rsidRPr="00367884" w:rsidRDefault="00367884" w:rsidP="00367884">
      <w:pPr>
        <w:pStyle w:val="BookBody"/>
      </w:pPr>
      <w:r w:rsidRPr="00367884">
        <w:rPr>
          <w:szCs w:val="28"/>
        </w:rPr>
        <w:t>The same logic applied to the Moon. Galileo’s argument about mountains did not rest on resemblance alone, as if lunar marks merely looked like terrestrial ridges. Illumination supplied an implicit experiment. As the Sun’s angle changed, bright summits separated from the lit region and shadows shortened or lengthened. Geometry joined succession. From the relation among the solar rays, the lunar surface, and the observer, Galileo estimated elevations. The Moon became accessible to measurement without being touched. The old qualitative contrast between an incorruptible heaven and a rough Earth weakened as light converted visible difference into a comparable relation.</w:t>
      </w:r>
      <w:r w:rsidRPr="00367884">
        <w:rPr>
          <w:szCs w:val="28"/>
          <w:vertAlign w:val="superscript"/>
        </w:rPr>
        <w:t>8</w:t>
      </w:r>
    </w:p>
    <w:p w14:paraId="6B020F98" w14:textId="77777777" w:rsidR="00367884" w:rsidRPr="00367884" w:rsidRDefault="00367884" w:rsidP="00367884">
      <w:pPr>
        <w:pStyle w:val="BookBody"/>
      </w:pPr>
      <w:r w:rsidRPr="00367884">
        <w:rPr>
          <w:szCs w:val="28"/>
        </w:rPr>
        <w:t>Yet neither the satellite diagrams nor the lunar engravings were transcripts. Their economy was their power. Dots omitted the confused halos and blurred edges of the eyepiece. Lunar hatching regularized a moving and imperfect view. These marks instructed the reader to ignore optical noise and attend to relational structure. The page was not less truthful because it was selective; selection was what made an argument possible. But it also meant that the published object had passed through judgment. Readers had to trust that the omitted confusion was irrelevant rather than inconvenient.</w:t>
      </w:r>
    </w:p>
    <w:p w14:paraId="491D1CAD" w14:textId="77777777" w:rsidR="00367884" w:rsidRPr="00367884" w:rsidRDefault="00367884" w:rsidP="00367884">
      <w:pPr>
        <w:pStyle w:val="BookBody"/>
      </w:pPr>
      <w:r w:rsidRPr="00367884">
        <w:rPr>
          <w:szCs w:val="28"/>
        </w:rPr>
        <w:t>Galileo’s opponents sometimes disputed exactly that distinction. If the telescope deceived at terrestrial distances, why grant it authority in the heavens? If a small bright point multiplied, how could one know that four Jovian moons existed rather than one object distorted by glass? Such objections were not simply resistance to evidence. They probed the relation between artifact and object. Galileo’s strongest reply was practical: the instrument produced coherent, recurring, predictive relations. The satellites returned to expected positions. Telescopes of improving quality permitted others to see them. The observed system constrained interpretation. Nature did not permit any sequence whatever.</w:t>
      </w:r>
    </w:p>
    <w:p w14:paraId="7CE1E665" w14:textId="77777777" w:rsidR="00367884" w:rsidRPr="00367884" w:rsidRDefault="00367884" w:rsidP="00367884">
      <w:pPr>
        <w:pStyle w:val="BookBody"/>
      </w:pPr>
      <w:r w:rsidRPr="00367884">
        <w:rPr>
          <w:szCs w:val="28"/>
        </w:rPr>
        <w:t>The episode shows why “seeing is believing” is the wrong maxim for early telescopic astronomy. Seeing itself had to be made believable. It was made so through time, comparison, geometry, instrument improvement, and the circulation of signs. The telescope did not remove mediation; it exposed mediation as the condition of a more demanding realism.</w:t>
      </w:r>
    </w:p>
    <w:p w14:paraId="0150B0D3" w14:textId="77777777" w:rsidR="00367884" w:rsidRPr="00367884" w:rsidRDefault="00367884" w:rsidP="00367884">
      <w:pPr>
        <w:pStyle w:val="SectionHeading"/>
      </w:pPr>
      <w:r w:rsidRPr="00367884">
        <w:rPr>
          <w:bCs/>
          <w:szCs w:val="28"/>
        </w:rPr>
        <w:t>Mathematical Eyes</w:t>
      </w:r>
    </w:p>
    <w:p w14:paraId="0F9C3325" w14:textId="77777777" w:rsidR="00367884" w:rsidRPr="00367884" w:rsidRDefault="00367884" w:rsidP="00367884">
      <w:pPr>
        <w:pStyle w:val="BookBody"/>
      </w:pPr>
      <w:r w:rsidRPr="00367884">
        <w:rPr>
          <w:szCs w:val="28"/>
        </w:rPr>
        <w:t>Galileo’s often-quoted declaration that the book of nature is written in “mathematical language” is easily reduced to a slogan.</w:t>
      </w:r>
      <w:r w:rsidRPr="00367884">
        <w:rPr>
          <w:szCs w:val="28"/>
          <w:vertAlign w:val="superscript"/>
        </w:rPr>
        <w:t>9</w:t>
      </w:r>
      <w:r w:rsidRPr="00367884">
        <w:rPr>
          <w:szCs w:val="28"/>
        </w:rPr>
        <w:t xml:space="preserve"> In practice, the mathematical reader did not float above the senses. He depended on marks: lengths, angles, periods, shadows, positions, and paths. The telescope offered more marks and disturbed inherited classifications. It revealed that a body called “perfectly spherical” could present an irregular terminator, and that a planet could possess its own orbiting system. Mathematics then reorganized those appearances into relations that remained stable across altered viewpoints.</w:t>
      </w:r>
    </w:p>
    <w:p w14:paraId="7662D786" w14:textId="77777777" w:rsidR="00367884" w:rsidRPr="00367884" w:rsidRDefault="00367884" w:rsidP="00367884">
      <w:pPr>
        <w:pStyle w:val="BookBody"/>
      </w:pPr>
      <w:r w:rsidRPr="00367884">
        <w:rPr>
          <w:szCs w:val="28"/>
        </w:rPr>
        <w:t>This is where the instrumented world began to change the status of qualities. Color, brightness, texture, sound, taste, heat, and pressure did not simply vanish before number. They became evidentiary signs under controlled conditions. A bright dot could indicate a satellite when its position was recorded nightly. A shadow could indicate elevation when its geometry was specified. Later, a column of mercury would register pressure; the flexing of a bladder would mark changing air; the visible succession of caterpillar, pupa, and moth would register transformation through time. The qualitative world was not instantly abolished. It was redistributed into signals, variables, and residual noise.</w:t>
      </w:r>
    </w:p>
    <w:p w14:paraId="48F32727" w14:textId="77777777" w:rsidR="00367884" w:rsidRPr="00367884" w:rsidRDefault="00367884" w:rsidP="00367884">
      <w:pPr>
        <w:pStyle w:val="BookBody"/>
      </w:pPr>
      <w:r w:rsidRPr="00367884">
        <w:rPr>
          <w:szCs w:val="28"/>
        </w:rPr>
        <w:t>That redistribution was selective. Galileo’s diagrams privileged position over color, regular period over flicker, and calculable relation over the bodily strain of looking. These choices were extraordinarily productive. They also established a hierarchy among features. The “real” appearance increasingly became the one that survived translation into a stable relation. The messy perceptual field was treated as a mixture of information and interference, and trained judgment separated them.</w:t>
      </w:r>
    </w:p>
    <w:p w14:paraId="3331E1F4" w14:textId="77777777" w:rsidR="00367884" w:rsidRPr="00367884" w:rsidRDefault="00367884" w:rsidP="00367884">
      <w:pPr>
        <w:pStyle w:val="BookBody"/>
      </w:pPr>
      <w:r w:rsidRPr="00367884">
        <w:rPr>
          <w:szCs w:val="28"/>
        </w:rPr>
        <w:t>It would be anachronistic to call this seventeenth-century “objectivity” in the later sense. Lorraine Daston and Peter Galison have shown that mechanical objectivity—the ideal of suppressing the observer’s will through automatic recording—emerged as a distinct epistemic virtue much later.</w:t>
      </w:r>
      <w:r w:rsidRPr="00367884">
        <w:rPr>
          <w:szCs w:val="28"/>
          <w:vertAlign w:val="superscript"/>
        </w:rPr>
        <w:t>10</w:t>
      </w:r>
      <w:r w:rsidRPr="00367884">
        <w:rPr>
          <w:szCs w:val="28"/>
        </w:rPr>
        <w:t xml:space="preserve"> Galileo, Hooke, Boyle, and Merian did not normally apologize for judgment as such. They claimed authority through skilled judgment, proper selection, and faithful representation. Their images were not valued because no human hand had touched them. They were valued because an expert hand had rendered what mattered.</w:t>
      </w:r>
    </w:p>
    <w:p w14:paraId="1BB61EDE" w14:textId="77777777" w:rsidR="00367884" w:rsidRPr="00367884" w:rsidRDefault="00367884" w:rsidP="00367884">
      <w:pPr>
        <w:pStyle w:val="BookBody"/>
      </w:pPr>
      <w:r w:rsidRPr="00367884">
        <w:rPr>
          <w:szCs w:val="28"/>
        </w:rPr>
        <w:t>The distinction is crucial. Instruments did not inaugurate a simple march from subjective perception to objective fact. They created new forms of disciplined subjectivity: habits of attention, comparison, restraint, and inference. The observer had to become an instrument in the moral as well as bodily sense—patient, exact, candid about failure, and able to distinguish what was seen from what was concluded. This discipline could be sincere and still socially restricted. Who was recognized as properly disciplined remained a question of status, gender, occupation, confession, and access.</w:t>
      </w:r>
    </w:p>
    <w:p w14:paraId="34CADA3B" w14:textId="77777777" w:rsidR="00367884" w:rsidRPr="00367884" w:rsidRDefault="00367884" w:rsidP="00367884">
      <w:pPr>
        <w:pStyle w:val="BookBody"/>
      </w:pPr>
      <w:r w:rsidRPr="00367884">
        <w:rPr>
          <w:szCs w:val="28"/>
        </w:rPr>
        <w:t>Nor did mathematics empty the cosmos of significance at once. Galileo’s work could still be cast as a revelation of divine art, and Kepler’s harmonic cosmos remained saturated with theological meaning. What changed was the route by which significance became intellectually secure. The heavens increasingly answered through relationships that could be drawn, counted, and predicted. The instrument helped train the eye to seek such relationships. It made mathematical legibility a property not only of books but of appearances.</w:t>
      </w:r>
    </w:p>
    <w:p w14:paraId="6522CA05" w14:textId="77777777" w:rsidR="00367884" w:rsidRPr="00367884" w:rsidRDefault="00367884" w:rsidP="00367884">
      <w:pPr>
        <w:pStyle w:val="SectionHeading"/>
      </w:pPr>
      <w:r w:rsidRPr="00367884">
        <w:rPr>
          <w:bCs/>
          <w:szCs w:val="28"/>
        </w:rPr>
        <w:t>A New Visible World</w:t>
      </w:r>
    </w:p>
    <w:p w14:paraId="02AD11B0" w14:textId="77777777" w:rsidR="00367884" w:rsidRPr="00367884" w:rsidRDefault="00367884" w:rsidP="00367884">
      <w:pPr>
        <w:pStyle w:val="BookBody"/>
      </w:pPr>
      <w:r w:rsidRPr="00367884">
        <w:rPr>
          <w:szCs w:val="28"/>
        </w:rPr>
        <w:t xml:space="preserve">When Robert Hooke’s </w:t>
      </w:r>
      <w:r w:rsidRPr="00367884">
        <w:rPr>
          <w:i/>
          <w:szCs w:val="28"/>
        </w:rPr>
        <w:t>Micrographia</w:t>
      </w:r>
      <w:r w:rsidRPr="00367884">
        <w:rPr>
          <w:szCs w:val="28"/>
        </w:rPr>
        <w:t xml:space="preserve"> appeared in 1665, its title promised “physiological descriptions of minute bodies” made by magnifying glasses. Its great plates delivered a controlled astonishment. A flea filled a folding sheet. The edge of a razor became a battered ridge. Cork disclosed innumerable small compartments that Hooke called cells. A fly’s compound eye swelled into a vast tessellated architecture. The ordinary became alien not because nature had changed but because scale had.</w:t>
      </w:r>
      <w:r w:rsidRPr="00367884">
        <w:rPr>
          <w:szCs w:val="28"/>
          <w:vertAlign w:val="superscript"/>
        </w:rPr>
        <w:t>11</w:t>
      </w:r>
    </w:p>
    <w:p w14:paraId="448C47AE" w14:textId="77777777" w:rsidR="00367884" w:rsidRPr="00367884" w:rsidRDefault="00367884" w:rsidP="00367884">
      <w:pPr>
        <w:pStyle w:val="FigureImage"/>
      </w:pPr>
      <w:r w:rsidRPr="00367884">
        <w:rPr>
          <w:noProof/>
          <w:szCs w:val="28"/>
        </w:rPr>
        <w:drawing>
          <wp:inline distT="0" distB="0" distL="0" distR="0" wp14:anchorId="1AD39D15" wp14:editId="433DFBCE">
            <wp:extent cx="4069080" cy="4053466"/>
            <wp:effectExtent l="0" t="0" r="0" b="0"/>
            <wp:docPr id="1866470651" name="Picture 1866470651" descr="Hooke's engraved microscopic view of a fly's head dominated by two large compound eyes made of many repeated fac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4_2_hooke_fly_eye.jpg"/>
                    <pic:cNvPicPr/>
                  </pic:nvPicPr>
                  <pic:blipFill>
                    <a:blip r:embed="rId15"/>
                    <a:stretch>
                      <a:fillRect/>
                    </a:stretch>
                  </pic:blipFill>
                  <pic:spPr>
                    <a:xfrm>
                      <a:off x="0" y="0"/>
                      <a:ext cx="4069080" cy="4053466"/>
                    </a:xfrm>
                    <a:prstGeom prst="rect">
                      <a:avLst/>
                    </a:prstGeom>
                  </pic:spPr>
                </pic:pic>
              </a:graphicData>
            </a:graphic>
          </wp:inline>
        </w:drawing>
      </w:r>
    </w:p>
    <w:p w14:paraId="54A6C7A3" w14:textId="77777777" w:rsidR="00367884" w:rsidRPr="00367884" w:rsidRDefault="00367884" w:rsidP="00367884">
      <w:pPr>
        <w:pStyle w:val="FigureCaption"/>
      </w:pPr>
      <w:r w:rsidRPr="00367884">
        <w:rPr>
          <w:szCs w:val="28"/>
        </w:rPr>
        <w:t>Figure 14.2. The compound eye of a fly, Robert Hooke, Micrographia (London, 1665), Scheme XXIV. The plate monumentalizes a minute structure and converts a difficult optical encounter into a stable field of comparison. Working facsimile supplied for drafting; final repository credit and reproduction terms to be verified.</w:t>
      </w:r>
    </w:p>
    <w:p w14:paraId="1D459880" w14:textId="77777777" w:rsidR="00367884" w:rsidRPr="00367884" w:rsidRDefault="00367884" w:rsidP="00367884">
      <w:pPr>
        <w:pStyle w:val="BookBody"/>
      </w:pPr>
      <w:r w:rsidRPr="00367884">
        <w:rPr>
          <w:szCs w:val="28"/>
        </w:rPr>
        <w:t>The fly’s eye makes the transformation almost theatrical. The page no longer presents an insect as the naked eye meets it. It offers a surface composed of hundreds of repeated facets, each rendered by dense engraved lines. Enlargement produces order and monstrosity at once. The familiar head becomes architectural, even planetary. Hooke’s labels promise analysis: this can be divided, named, and related. But the overwhelming scale also confesses that microscopic nature exceeds ordinary imagination. The new visible world was not merely a smaller version of the old one. It unsettled the categories by which “small,” “simple,” “smooth,” and “finished” had been understood.</w:t>
      </w:r>
    </w:p>
    <w:p w14:paraId="11F829A4" w14:textId="77777777" w:rsidR="00367884" w:rsidRPr="00367884" w:rsidRDefault="00367884" w:rsidP="00367884">
      <w:pPr>
        <w:pStyle w:val="BookBody"/>
      </w:pPr>
      <w:r w:rsidRPr="00367884">
        <w:rPr>
          <w:szCs w:val="28"/>
        </w:rPr>
        <w:t>Hooke’s comparisons repeatedly reversed the prestige of art and nature. A polished point could appear blunt and irregular; a finely woven cloth became a rough lattice. Human workmanship, admired at ordinary scale, looked crude under magnification. Natural structures, meanwhile, disclosed intricate regularities. The microscope thus supplied a moral as well as visual lesson. It humbled unaided sense and mechanical pride while extending both. An instrument produced by art revealed the superiority of nature’s workmanship.</w:t>
      </w:r>
    </w:p>
    <w:p w14:paraId="78622276" w14:textId="77777777" w:rsidR="00367884" w:rsidRPr="00367884" w:rsidRDefault="00367884" w:rsidP="00367884">
      <w:pPr>
        <w:pStyle w:val="BookBody"/>
      </w:pPr>
      <w:r w:rsidRPr="00367884">
        <w:rPr>
          <w:szCs w:val="28"/>
        </w:rPr>
        <w:t>The instrument also changed the object’s temporal and bodily conditions. Specimens had to be cut, pinned, illuminated, compressed, dried, or placed in fluids. A living insect might struggle or decay. Light sufficient to reveal one feature could obscure another. Depth made parts drift out of focus. Hooke’s “new visible world” was therefore a prepared world. Its inhabitants appeared at the end of a sequence of handling. The object under the lens was natural, but it was also a specimen—selected and transformed so that certain structures would become available to sight.</w:t>
      </w:r>
    </w:p>
    <w:p w14:paraId="67D0F74F" w14:textId="77777777" w:rsidR="00367884" w:rsidRPr="00367884" w:rsidRDefault="00367884" w:rsidP="00367884">
      <w:pPr>
        <w:pStyle w:val="BookBody"/>
      </w:pPr>
      <w:r w:rsidRPr="00367884">
        <w:rPr>
          <w:szCs w:val="28"/>
        </w:rPr>
        <w:t>The compound microscope itself descended from lens-making practices connected to the telescope, but its epistemic problem was harder. The heavens offered distant luminous bodies against a dark field; microscopic specimens involved translucence, depth, texture, irregular motion, and difficult illumination. A telescope could be checked against terrestrial objects. What external standard could confirm a structure visible only under high magnification? The microscope amplified the question that the telescope had posed: when does an unfamiliar appearance belong to nature, and when to the apparatus?</w:t>
      </w:r>
    </w:p>
    <w:p w14:paraId="56AC8803" w14:textId="77777777" w:rsidR="00367884" w:rsidRPr="00367884" w:rsidRDefault="00367884" w:rsidP="00367884">
      <w:pPr>
        <w:pStyle w:val="BookBody"/>
      </w:pPr>
      <w:r w:rsidRPr="00367884">
        <w:rPr>
          <w:szCs w:val="28"/>
        </w:rPr>
        <w:t>Hooke answered through the same family of practices Galileo had used, but with different emphases. He compared lenses and illuminations, described procedures, repeated views, dissected specimens, and drew what persisted. He cultivated a reader able to follow the path from object to plate. The Royal Society supplied an institutional audience, and the magnificence of the engravings made microscopic observation public. Yet public did not mean unmediated. Few readers could reproduce Hooke’s best views. Most encountered the microscopic world first as print.</w:t>
      </w:r>
    </w:p>
    <w:p w14:paraId="33EAADA9" w14:textId="77777777" w:rsidR="00367884" w:rsidRPr="00367884" w:rsidRDefault="00367884" w:rsidP="00367884">
      <w:pPr>
        <w:pStyle w:val="SectionHeading"/>
      </w:pPr>
      <w:r w:rsidRPr="00367884">
        <w:rPr>
          <w:bCs/>
          <w:szCs w:val="28"/>
        </w:rPr>
        <w:t>Enlarged and Distorted</w:t>
      </w:r>
    </w:p>
    <w:p w14:paraId="4D150CAD" w14:textId="77777777" w:rsidR="00367884" w:rsidRPr="00367884" w:rsidRDefault="00367884" w:rsidP="00367884">
      <w:pPr>
        <w:pStyle w:val="BookBody"/>
      </w:pPr>
      <w:r w:rsidRPr="00367884">
        <w:rPr>
          <w:szCs w:val="28"/>
        </w:rPr>
        <w:t>The authority of the microscope grew alongside frank recognition of its defects. Seventeenth-century lenses contained bubbles and streaks; their curved surfaces produced spherical and chromatic aberration; compound arrangements multiplied distortions. Edward Ruestow’s history of microscopy in the Dutch Republic shows how much depended on optical craft and user training.</w:t>
      </w:r>
      <w:r w:rsidRPr="00367884">
        <w:rPr>
          <w:szCs w:val="28"/>
          <w:vertAlign w:val="superscript"/>
        </w:rPr>
        <w:t>12</w:t>
      </w:r>
      <w:r w:rsidRPr="00367884">
        <w:rPr>
          <w:szCs w:val="28"/>
        </w:rPr>
        <w:t xml:space="preserve"> Simple microscopes of the kind associated with Antoni van Leeuwenhoek could offer clearer high magnification than elaborate compounds, but they demanded extreme proximity, precise lighting, and a disciplined body. Improvement did not proceed by a single linear design.</w:t>
      </w:r>
    </w:p>
    <w:p w14:paraId="3B943259" w14:textId="77777777" w:rsidR="00367884" w:rsidRPr="00367884" w:rsidRDefault="00367884" w:rsidP="00367884">
      <w:pPr>
        <w:pStyle w:val="BookBody"/>
      </w:pPr>
      <w:r w:rsidRPr="00367884">
        <w:rPr>
          <w:szCs w:val="28"/>
        </w:rPr>
        <w:t>Hooke knew that enlargement might magnify error. He experimented with apertures and illumination, compared observations, and sometimes preferred lower magnification when it yielded greater clarity. The microscopist learned to distrust spectacle. The most astonishing image was not necessarily the most reliable. An observer had to ask whether a repeated edge was a real boundary, whether a colored fringe came from the specimen, and whether pressure had altered the thing observed. The eye and instrument entered a feedback loop: the observer adjusted the device in response to the image, then judged the image in light of the adjustment.</w:t>
      </w:r>
    </w:p>
    <w:p w14:paraId="3F5C5095" w14:textId="77777777" w:rsidR="00367884" w:rsidRPr="00367884" w:rsidRDefault="00367884" w:rsidP="00367884">
      <w:pPr>
        <w:pStyle w:val="BookBody"/>
      </w:pPr>
      <w:r w:rsidRPr="00367884">
        <w:rPr>
          <w:szCs w:val="28"/>
        </w:rPr>
        <w:t>Such practices complicate the metaphor of an instrument as a transparent window. Windows ideally disappear from attention. Early lenses could not. Their distortions made the medium conspicuous, and expertise consisted partly in knowing those distortions. A practiced observer saw through the instrument by seeing the instrument at the same time. The visual field carried two histories—the structure of the object and the behavior of glass—and the task was to separate them without imagining that either could be encountered alone.</w:t>
      </w:r>
    </w:p>
    <w:p w14:paraId="538C2C36" w14:textId="77777777" w:rsidR="00367884" w:rsidRPr="00367884" w:rsidRDefault="00367884" w:rsidP="00367884">
      <w:pPr>
        <w:pStyle w:val="BookBody"/>
      </w:pPr>
      <w:r w:rsidRPr="00367884">
        <w:rPr>
          <w:szCs w:val="28"/>
        </w:rPr>
        <w:t>This separation was never secured by introspection. It depended on operations: changing illumination, rotating the specimen, altering focus, using a second lens, consulting another observer, and comparing specimens. What appeared unchanged across controlled variation acquired credibility. The stable feature emerged not from a pure glance but from a series of transformations. An instrumental fact was what endured relevant interventions.</w:t>
      </w:r>
    </w:p>
    <w:p w14:paraId="4388E36A" w14:textId="77777777" w:rsidR="00367884" w:rsidRPr="00367884" w:rsidRDefault="00367884" w:rsidP="00367884">
      <w:pPr>
        <w:pStyle w:val="BookBody"/>
      </w:pPr>
      <w:r w:rsidRPr="00367884">
        <w:rPr>
          <w:szCs w:val="28"/>
        </w:rPr>
        <w:t>The epistemic strength of the microscope therefore lay precisely where later caricature might see weakness. Its images required judgment, but judgment could be disciplined through explicit tests. Its objects required preparation, but preparations could be compared. Its plates were made by hand, but conventions could make selection visible. Reliability did not mean the absence of mediation. It meant that mediation was rendered productive, criticizable, and to some extent repeatable.</w:t>
      </w:r>
    </w:p>
    <w:p w14:paraId="75894481" w14:textId="77777777" w:rsidR="00367884" w:rsidRPr="00367884" w:rsidRDefault="00367884" w:rsidP="00367884">
      <w:pPr>
        <w:pStyle w:val="BookBody"/>
      </w:pPr>
      <w:r w:rsidRPr="00367884">
        <w:rPr>
          <w:szCs w:val="28"/>
        </w:rPr>
        <w:t>This regime also had limits. A magnificent plate could outrun the observation that supported it. A reader might confuse graphic precision with optical certainty. Rare instruments and tacit skills impeded replication. The Royal Society’s imprimatur could lend authority where direct checking was difficult. Microscopy opened a vast domain while leaving its borders contested. Its success was not that doubt disappeared, but that doubt became attached to particular parts of a procedure: lens, light, specimen, hand, or inference.</w:t>
      </w:r>
    </w:p>
    <w:p w14:paraId="2E15F164" w14:textId="77777777" w:rsidR="00367884" w:rsidRPr="00367884" w:rsidRDefault="00367884" w:rsidP="00367884">
      <w:pPr>
        <w:pStyle w:val="SectionHeading"/>
      </w:pPr>
      <w:r w:rsidRPr="00367884">
        <w:rPr>
          <w:bCs/>
          <w:szCs w:val="28"/>
        </w:rPr>
        <w:t>The Plate as Argument</w:t>
      </w:r>
    </w:p>
    <w:p w14:paraId="1ADA4BCB" w14:textId="77777777" w:rsidR="00367884" w:rsidRPr="00367884" w:rsidRDefault="00367884" w:rsidP="00367884">
      <w:pPr>
        <w:pStyle w:val="BookBody"/>
      </w:pPr>
      <w:r w:rsidRPr="00367884">
        <w:rPr>
          <w:szCs w:val="28"/>
        </w:rPr>
        <w:t>Natural-historical and anatomical images had long joined observation to learned tradition. Sixteenth-century botanists and anatomists used pictures to identify, compare, and teach; images could claim eyewitness authority while also arranging bodies according to inherited categories. Sachiko Kusukawa has shown that the printed image was never a neutral supplement to text. It was part of an argument, formed through negotiations among author, artist, woodcutter or engraver, printer, and patron.</w:t>
      </w:r>
      <w:r w:rsidRPr="00367884">
        <w:rPr>
          <w:szCs w:val="28"/>
          <w:vertAlign w:val="superscript"/>
        </w:rPr>
        <w:t>13</w:t>
      </w:r>
      <w:r w:rsidRPr="00367884">
        <w:rPr>
          <w:szCs w:val="28"/>
        </w:rPr>
        <w:t xml:space="preserve"> The seventeenth-century instrumented plate intensified rather than abolished that collaborative condition.</w:t>
      </w:r>
    </w:p>
    <w:p w14:paraId="439A62A5" w14:textId="77777777" w:rsidR="00367884" w:rsidRPr="00367884" w:rsidRDefault="00367884" w:rsidP="00367884">
      <w:pPr>
        <w:pStyle w:val="BookBody"/>
      </w:pPr>
      <w:r w:rsidRPr="00367884">
        <w:rPr>
          <w:szCs w:val="28"/>
        </w:rPr>
        <w:t>Hooke’s fly eye could not be presented as a simple snapshot. The depth of the specimen exceeded the narrow plane of focus. Different parts became clear under different adjustments. The finished engraving gathered those partial views into one surface and translated tonal or translucent effects into line. Scale shifted again when the large drawing was reduced or enlarged for the copperplate. The printed figure was synthetic: truer to a sustained act of examination than any instant at the lens.</w:t>
      </w:r>
    </w:p>
    <w:p w14:paraId="14C71AC0" w14:textId="77777777" w:rsidR="00367884" w:rsidRPr="00367884" w:rsidRDefault="00367884" w:rsidP="00367884">
      <w:pPr>
        <w:pStyle w:val="BookBody"/>
      </w:pPr>
      <w:r w:rsidRPr="00367884">
        <w:rPr>
          <w:szCs w:val="28"/>
        </w:rPr>
        <w:t>This synthetic character was not necessarily deception. A diagram of Jupiter’s satellites also gathered time into a series, and a map joined measurements no traveler saw from above. Images became instruments of thought because they reorganized perception. They froze motion, aligned separate views, standardized scale, isolated a part, or juxtaposed stages. The page created objects that could be returned to, pointed at, and compared. It granted memory a durable external form.</w:t>
      </w:r>
    </w:p>
    <w:p w14:paraId="355A042E" w14:textId="77777777" w:rsidR="00367884" w:rsidRPr="00367884" w:rsidRDefault="00367884" w:rsidP="00367884">
      <w:pPr>
        <w:pStyle w:val="BookBody"/>
      </w:pPr>
      <w:r w:rsidRPr="00367884">
        <w:rPr>
          <w:szCs w:val="28"/>
        </w:rPr>
        <w:t>But every gain involved a decision. Which contour mattered? Which irregularity was accidental? Should the image preserve the confusion of first sight or present the structure discerned after repeated observation? Early modern makers usually chose intelligibility. They aimed at a faithful reasoned image, not the automatic registration later associated with mechanical objectivity. Their fidelity was fidelity to the judged object. This is why the authority of the maker remained visible in the plate’s precision.</w:t>
      </w:r>
    </w:p>
    <w:p w14:paraId="595F16AD" w14:textId="77777777" w:rsidR="00367884" w:rsidRPr="00367884" w:rsidRDefault="00367884" w:rsidP="00367884">
      <w:pPr>
        <w:pStyle w:val="BookBody"/>
      </w:pPr>
      <w:r w:rsidRPr="00367884">
        <w:rPr>
          <w:szCs w:val="28"/>
        </w:rPr>
        <w:t>The plate also changed the scale of witnessing. An observation made by one person could circulate among hundreds. Readers could compare copies, annotate them, and test them against specimens. Print created what might be called visual publicity. Yet the plate’s reach could hide its local origin. The reader saw a fly’s eye, not the hours of focus and drawing; the Moon, not the lens grinder; an exotic caterpillar, not the colonial informant who helped locate its plant. Images could widen participation while narrowing the visible field of labor.</w:t>
      </w:r>
    </w:p>
    <w:p w14:paraId="2FF5CD01" w14:textId="77777777" w:rsidR="00367884" w:rsidRPr="00367884" w:rsidRDefault="00367884" w:rsidP="00367884">
      <w:pPr>
        <w:pStyle w:val="BookBody"/>
      </w:pPr>
      <w:r w:rsidRPr="00367884">
        <w:rPr>
          <w:szCs w:val="28"/>
        </w:rPr>
        <w:t>The instrumented image was therefore both evidence and institution. It disciplined attention, coordinated distant readers, and assigned credit. It could preserve a fragile observation with remarkable power. It could also make contested judgments look self-evident. To read such an image historically is to hold both capacities together.</w:t>
      </w:r>
    </w:p>
    <w:p w14:paraId="03C67742" w14:textId="77777777" w:rsidR="00367884" w:rsidRPr="00367884" w:rsidRDefault="00367884" w:rsidP="00367884">
      <w:pPr>
        <w:pStyle w:val="SectionHeading"/>
      </w:pPr>
      <w:r w:rsidRPr="00367884">
        <w:rPr>
          <w:bCs/>
          <w:szCs w:val="28"/>
        </w:rPr>
        <w:t>A Machine-Made Fact</w:t>
      </w:r>
    </w:p>
    <w:p w14:paraId="6FD9D4EC" w14:textId="77777777" w:rsidR="00367884" w:rsidRPr="00367884" w:rsidRDefault="00367884" w:rsidP="00367884">
      <w:pPr>
        <w:pStyle w:val="BookBody"/>
      </w:pPr>
      <w:r w:rsidRPr="00367884">
        <w:rPr>
          <w:szCs w:val="28"/>
        </w:rPr>
        <w:t>The telescope and microscope reorganized sight. Robert Boyle’s air pump reorganized experience more broadly. In the late 1650s and early 1660s Boyle, working with Robert Hooke, built apparatus capable of removing much of the air from a glass receiver. Inside that vessel familiar processes behaved strangely: a bladder expanded, a flame died, an animal struggled, sound weakened, mercury altered its level. The apparatus did not merely disclose an ordinarily hidden object. It produced an artificial space in which the effects of reduced air could be isolated and displayed.</w:t>
      </w:r>
      <w:r w:rsidRPr="00367884">
        <w:rPr>
          <w:szCs w:val="28"/>
          <w:vertAlign w:val="superscript"/>
        </w:rPr>
        <w:t>14</w:t>
      </w:r>
    </w:p>
    <w:p w14:paraId="12CA598C" w14:textId="77777777" w:rsidR="00367884" w:rsidRPr="00367884" w:rsidRDefault="00367884" w:rsidP="00367884">
      <w:pPr>
        <w:pStyle w:val="FigureImage"/>
      </w:pPr>
      <w:r w:rsidRPr="00367884">
        <w:rPr>
          <w:noProof/>
          <w:szCs w:val="28"/>
        </w:rPr>
        <w:drawing>
          <wp:inline distT="0" distB="0" distL="0" distR="0" wp14:anchorId="3BF1EB1F" wp14:editId="4AD5E392">
            <wp:extent cx="2880360" cy="4047088"/>
            <wp:effectExtent l="0" t="0" r="0" b="0"/>
            <wp:docPr id="3" name="Picture 3" descr="Seventeenth-century engraving of Boyle's first air pump, showing the receiver, pump, valves, frame, and accesso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4_3_boyle_air_pump.jpg"/>
                    <pic:cNvPicPr/>
                  </pic:nvPicPr>
                  <pic:blipFill>
                    <a:blip r:embed="rId16"/>
                    <a:stretch>
                      <a:fillRect/>
                    </a:stretch>
                  </pic:blipFill>
                  <pic:spPr>
                    <a:xfrm>
                      <a:off x="0" y="0"/>
                      <a:ext cx="2880360" cy="4047088"/>
                    </a:xfrm>
                    <a:prstGeom prst="rect">
                      <a:avLst/>
                    </a:prstGeom>
                  </pic:spPr>
                </pic:pic>
              </a:graphicData>
            </a:graphic>
          </wp:inline>
        </w:drawing>
      </w:r>
    </w:p>
    <w:p w14:paraId="77DA146A" w14:textId="77777777" w:rsidR="00367884" w:rsidRPr="00367884" w:rsidRDefault="00367884" w:rsidP="00367884">
      <w:pPr>
        <w:pStyle w:val="FigureCaption"/>
      </w:pPr>
      <w:r w:rsidRPr="00367884">
        <w:rPr>
          <w:szCs w:val="28"/>
        </w:rPr>
        <w:t>Figure 14.3. Boyle’s first air pump as engraved for New Experiments Physico-Mechanical, Touching the Spring of the Air (1660), reproduced in Steven Shapin and Simon Schaffer, Leviathan and the Air-Pump. The crowded apparatus makes experimental knowledge visibly dependent on valves, vessels, seals, gauges, and skilled operation. Working scan supplied for drafting; final source credit and reproduction terms to be verified.</w:t>
      </w:r>
    </w:p>
    <w:p w14:paraId="044E2E6F" w14:textId="77777777" w:rsidR="00367884" w:rsidRPr="00367884" w:rsidRDefault="00367884" w:rsidP="00367884">
      <w:pPr>
        <w:pStyle w:val="BookBody"/>
      </w:pPr>
      <w:r w:rsidRPr="00367884">
        <w:rPr>
          <w:szCs w:val="28"/>
        </w:rPr>
        <w:t>The engraving makes the experimental fact visibly mechanical. A glass globe, stopcocks, pumps, joints, cords, frames, and auxiliary vessels fill the page. No one part is “the experiment.” The phenomenon exists at their intersection. Air must be removed sufficiently; joints must seal; glass must survive; a test object must be inserted; an effect must be observed; the sequence must be reported. The pump is not a window but a theater whose architecture constrains what can occur.</w:t>
      </w:r>
    </w:p>
    <w:p w14:paraId="4657F89E" w14:textId="77777777" w:rsidR="00367884" w:rsidRPr="00367884" w:rsidRDefault="00367884" w:rsidP="00367884">
      <w:pPr>
        <w:pStyle w:val="BookBody"/>
      </w:pPr>
      <w:r w:rsidRPr="00367884">
        <w:rPr>
          <w:szCs w:val="28"/>
        </w:rPr>
        <w:t>This theater was temperamental. Pumps leaked. Glass vessels varied. Valves stuck. The operator’s skill mattered. Even the claim that the receiver was empty raised a problem: how empty was empty, and how could one know? Boyle often avoided making the fragile matter of fact carry an unnecessarily heavy metaphysical load. The pump established effects associated with the withdrawal or “rarefaction” of air; whether an absolute vacuum existed could remain disputed. By separating what the apparatus showed from the ultimate cause, he sought a stable experimental foundation amid theoretical disagreement.</w:t>
      </w:r>
      <w:r w:rsidRPr="00367884">
        <w:rPr>
          <w:szCs w:val="28"/>
          <w:vertAlign w:val="superscript"/>
        </w:rPr>
        <w:t>15</w:t>
      </w:r>
    </w:p>
    <w:p w14:paraId="37E9AA41" w14:textId="77777777" w:rsidR="00367884" w:rsidRPr="00367884" w:rsidRDefault="00367884" w:rsidP="00367884">
      <w:pPr>
        <w:pStyle w:val="BookBody"/>
      </w:pPr>
      <w:r w:rsidRPr="00367884">
        <w:rPr>
          <w:szCs w:val="28"/>
        </w:rPr>
        <w:t>Peter Dear has emphasized the novelty of giving carefully contrived, singular events a foundational role in natural knowledge.</w:t>
      </w:r>
      <w:r w:rsidRPr="00367884">
        <w:rPr>
          <w:szCs w:val="28"/>
          <w:vertAlign w:val="superscript"/>
        </w:rPr>
        <w:t>16</w:t>
      </w:r>
      <w:r w:rsidRPr="00367884">
        <w:rPr>
          <w:szCs w:val="28"/>
        </w:rPr>
        <w:t xml:space="preserve"> Aristotelian natural philosophy had often treated regular, general experience as more philosophically revealing than rare productions. An experiment that occurred once in an artificial vessel might appear closer to a trick than a universal truth. Boyle’s program reversed the valuation. The contrivance made the event useful because it isolated circumstances. Artifice did not disqualify nature; it interrogated it.</w:t>
      </w:r>
    </w:p>
    <w:p w14:paraId="1A3545D3" w14:textId="77777777" w:rsidR="00367884" w:rsidRPr="00367884" w:rsidRDefault="00367884" w:rsidP="00367884">
      <w:pPr>
        <w:pStyle w:val="BookBody"/>
      </w:pPr>
      <w:r w:rsidRPr="00367884">
        <w:rPr>
          <w:szCs w:val="28"/>
        </w:rPr>
        <w:t>The resulting “matter of fact” was neither a bare occurrence nor a mere sentence. It was an achieved agreement about what had happened under specified conditions. Steven Shapin and Simon Schaffer distinguish the material technology of the pump, the literary technology of the experimental report, and the social technology that regulated assent.</w:t>
      </w:r>
      <w:r w:rsidRPr="00367884">
        <w:rPr>
          <w:szCs w:val="28"/>
          <w:vertAlign w:val="superscript"/>
        </w:rPr>
        <w:t>17</w:t>
      </w:r>
      <w:r w:rsidRPr="00367884">
        <w:rPr>
          <w:szCs w:val="28"/>
        </w:rPr>
        <w:t xml:space="preserve"> Their distinction captures the layered production of certainty. The machine made an event possible; prose made it present to absent readers; conventions of witnessing established how far those readers should believe.</w:t>
      </w:r>
    </w:p>
    <w:p w14:paraId="08C46AB3" w14:textId="77777777" w:rsidR="00367884" w:rsidRPr="00367884" w:rsidRDefault="00367884" w:rsidP="00367884">
      <w:pPr>
        <w:pStyle w:val="BookBody"/>
      </w:pPr>
      <w:r w:rsidRPr="00367884">
        <w:rPr>
          <w:szCs w:val="28"/>
        </w:rPr>
        <w:t>Nature constrained every layer. A leaking seal could ruin a trial regardless of social expectation. A bird’s death or survival could surprise the experimenters. Repeated operations could expose a mistaken description. But nature never entered the record except through the apparatus and the people around it. The fact was real and made—real because the world resisted and responded, made because only an organized practice rendered that response distinct, reportable, and authoritative.</w:t>
      </w:r>
    </w:p>
    <w:p w14:paraId="723E0D98" w14:textId="77777777" w:rsidR="00367884" w:rsidRPr="00367884" w:rsidRDefault="00367884" w:rsidP="00367884">
      <w:pPr>
        <w:pStyle w:val="SectionHeading"/>
      </w:pPr>
      <w:r w:rsidRPr="00367884">
        <w:rPr>
          <w:bCs/>
          <w:szCs w:val="28"/>
        </w:rPr>
        <w:t>Making Experiment Public</w:t>
      </w:r>
    </w:p>
    <w:p w14:paraId="519C85BD" w14:textId="77777777" w:rsidR="00367884" w:rsidRPr="00367884" w:rsidRDefault="00367884" w:rsidP="00367884">
      <w:pPr>
        <w:pStyle w:val="BookBody"/>
      </w:pPr>
      <w:r w:rsidRPr="00367884">
        <w:rPr>
          <w:szCs w:val="28"/>
        </w:rPr>
        <w:t>Boyle’s printed narratives often moved slowly through apparatus, procedure, expectation, event, and qualification. To a modern reader they can seem needlessly circumstantial. Their detail performed an essential function. Since most readers could not see the pump and few possessed one, prose had to create “virtual witnesses.”</w:t>
      </w:r>
      <w:r w:rsidRPr="00367884">
        <w:rPr>
          <w:szCs w:val="28"/>
          <w:vertAlign w:val="superscript"/>
        </w:rPr>
        <w:t>18</w:t>
      </w:r>
      <w:r w:rsidRPr="00367884">
        <w:rPr>
          <w:szCs w:val="28"/>
        </w:rPr>
        <w:t xml:space="preserve"> A reader was invited to imagine the receiver, follow the operation of valves, register a change, and distinguish observation from conjecture. The experimental report extended the laboratory beyond the room.</w:t>
      </w:r>
    </w:p>
    <w:p w14:paraId="7CC397DF" w14:textId="77777777" w:rsidR="00367884" w:rsidRPr="00367884" w:rsidRDefault="00367884" w:rsidP="00367884">
      <w:pPr>
        <w:pStyle w:val="BookBody"/>
      </w:pPr>
      <w:r w:rsidRPr="00367884">
        <w:rPr>
          <w:szCs w:val="28"/>
        </w:rPr>
        <w:t>This literary technology did not make replication unnecessary, but it often substituted for it in practice. Pumps were expensive and difficult to operate. Successful repetitions were scarce. Boyle could not rely on an indefinitely reproducible classroom demonstration. He therefore multiplied trials in text and surrounded them with named or socially credible witnesses. The report allowed a community to assent to an event without claiming unanimity about its cause.</w:t>
      </w:r>
    </w:p>
    <w:p w14:paraId="76A63BA5" w14:textId="77777777" w:rsidR="00367884" w:rsidRPr="00367884" w:rsidRDefault="00367884" w:rsidP="00367884">
      <w:pPr>
        <w:pStyle w:val="BookBody"/>
      </w:pPr>
      <w:r w:rsidRPr="00367884">
        <w:rPr>
          <w:szCs w:val="28"/>
        </w:rPr>
        <w:t>The separation of fact and explanation was a political achievement within natural philosophy. Participants could agree that a bladder expanded when surrounding air was withdrawn while disagreeing about vacuum, pressure, matter, or motion. This limited assent kept metaphysical conflict from consuming every experiment. It also elevated a style of modest speech. The experimental philosopher described circumstances, acknowledged failures, and avoided claiming more than the event warranted. Epistemic restraint became a virtue.</w:t>
      </w:r>
    </w:p>
    <w:p w14:paraId="624B3009" w14:textId="77777777" w:rsidR="00367884" w:rsidRPr="00367884" w:rsidRDefault="00367884" w:rsidP="00367884">
      <w:pPr>
        <w:pStyle w:val="BookBody"/>
      </w:pPr>
      <w:r w:rsidRPr="00367884">
        <w:rPr>
          <w:szCs w:val="28"/>
        </w:rPr>
        <w:t>Thomas Hobbes rejected the settlement. He did not merely offer a rival account of air. He questioned whether leaky, private, machine-dependent performances could ground philosophy at all. For Hobbes, secure knowledge required demonstrative reasoning from definitions; Boyle’s probabilistic facts left disagreement institutionalized. He also attacked the social form of the experimental community, which allowed a select group to decide what had been adequately witnessed. The dispute concerned what kind of order knowledge should have.</w:t>
      </w:r>
      <w:r w:rsidRPr="00367884">
        <w:rPr>
          <w:szCs w:val="28"/>
          <w:vertAlign w:val="superscript"/>
        </w:rPr>
        <w:t>19</w:t>
      </w:r>
    </w:p>
    <w:p w14:paraId="797EB649" w14:textId="77777777" w:rsidR="00367884" w:rsidRPr="00367884" w:rsidRDefault="00367884" w:rsidP="00367884">
      <w:pPr>
        <w:pStyle w:val="BookBody"/>
      </w:pPr>
      <w:r w:rsidRPr="00367884">
        <w:rPr>
          <w:szCs w:val="28"/>
        </w:rPr>
        <w:t>Boyle’s victory was not absolute, but his form of experiment proved generative. It allowed natural philosophers to accumulate warranted particulars, compare trials, and suspend final explanation. The singular event became durable when it entered a patterned archive. Repetition did not have to mean exact duplication everywhere. It could mean recognizable agreement across variations, reported with enough detail to expose relevant differences.</w:t>
      </w:r>
    </w:p>
    <w:p w14:paraId="0D2419BD" w14:textId="77777777" w:rsidR="00367884" w:rsidRPr="00367884" w:rsidRDefault="00367884" w:rsidP="00367884">
      <w:pPr>
        <w:pStyle w:val="BookBody"/>
      </w:pPr>
      <w:r w:rsidRPr="00367884">
        <w:rPr>
          <w:szCs w:val="28"/>
        </w:rPr>
        <w:t>The experimental fact thus resembled the telescopic object. Jupiter’s moons became credible through a sequence of positions; the spring of the air became credible through a sequence of contrived effects. In both cases, controlled variation transformed an ambiguous appearance into a stable relation. The instrument did not guarantee truth. It made possible a disciplined history of encounters from which truth claims could be built.</w:t>
      </w:r>
    </w:p>
    <w:p w14:paraId="3CFC2E05" w14:textId="77777777" w:rsidR="00367884" w:rsidRPr="00367884" w:rsidRDefault="00367884" w:rsidP="00367884">
      <w:pPr>
        <w:pStyle w:val="SectionHeading"/>
      </w:pPr>
      <w:r w:rsidRPr="00367884">
        <w:rPr>
          <w:bCs/>
          <w:szCs w:val="28"/>
        </w:rPr>
        <w:t>Who Could Be Believed</w:t>
      </w:r>
    </w:p>
    <w:p w14:paraId="317E3ECC" w14:textId="77777777" w:rsidR="00367884" w:rsidRPr="00367884" w:rsidRDefault="00367884" w:rsidP="00367884">
      <w:pPr>
        <w:pStyle w:val="BookBody"/>
      </w:pPr>
      <w:r w:rsidRPr="00367884">
        <w:rPr>
          <w:szCs w:val="28"/>
        </w:rPr>
        <w:t>If experiments depended on testimony, the character of the witness mattered. Shapin’s social history of truth shows how seventeenth-century English natural philosophers drew upon conventions of gentlemanly conduct.</w:t>
      </w:r>
      <w:r w:rsidRPr="00367884">
        <w:rPr>
          <w:szCs w:val="28"/>
          <w:vertAlign w:val="superscript"/>
        </w:rPr>
        <w:t>20</w:t>
      </w:r>
      <w:r w:rsidRPr="00367884">
        <w:rPr>
          <w:szCs w:val="28"/>
        </w:rPr>
        <w:t xml:space="preserve"> A gentleman was presumed independent enough to speak without mercenary compulsion and honorable enough not to lie. Civil conversation, modest assertion, and the avoidance of open insult helped turn disagreement into collective inquiry. The credibility of a matter of fact was attached to a moral person.</w:t>
      </w:r>
    </w:p>
    <w:p w14:paraId="533BEECD" w14:textId="77777777" w:rsidR="00367884" w:rsidRPr="00367884" w:rsidRDefault="00367884" w:rsidP="00367884">
      <w:pPr>
        <w:pStyle w:val="BookBody"/>
      </w:pPr>
      <w:r w:rsidRPr="00367884">
        <w:rPr>
          <w:szCs w:val="28"/>
        </w:rPr>
        <w:t>This arrangement solved one problem by creating another. The pump depended on glassmakers, metalworkers, instrument makers, servants, operators, and assistants. Their hands made the event possible, but their testimony did not automatically carry the same weight as that of gentlemen. Hooke’s role reveals the ambiguity. As a brilliant designer, maker, observer, and curator of experiments, he was indispensable; as a salaried servant of the Royal Society, his social position differed from Boyle’s. The instrumented world elevated skill while often separating skill from public credit.</w:t>
      </w:r>
    </w:p>
    <w:p w14:paraId="3D450E62" w14:textId="77777777" w:rsidR="00367884" w:rsidRPr="00367884" w:rsidRDefault="00367884" w:rsidP="00367884">
      <w:pPr>
        <w:pStyle w:val="BookBody"/>
      </w:pPr>
      <w:r w:rsidRPr="00367884">
        <w:rPr>
          <w:szCs w:val="28"/>
        </w:rPr>
        <w:t>Gender intensified the exclusion. Women observed, collected, illustrated, reared organisms, exchanged remedies, and worked within family shops and correspondence networks. Yet the institutions that certified philosophical testimony were largely male. A woman’s empirical authority often had to travel through household, artisanal, courtly, or commercial roles rather than through recognized philosophical office. The public “we” of experimental science was narrower than the labor sustaining it.</w:t>
      </w:r>
    </w:p>
    <w:p w14:paraId="1D458C43" w14:textId="77777777" w:rsidR="00367884" w:rsidRPr="00367884" w:rsidRDefault="00367884" w:rsidP="00367884">
      <w:pPr>
        <w:pStyle w:val="BookBody"/>
      </w:pPr>
      <w:r w:rsidRPr="00367884">
        <w:rPr>
          <w:szCs w:val="28"/>
        </w:rPr>
        <w:t>The same held for imperial and colonial knowledge. Specimens, plants, shells, insects, and reports moved through networks of sailors, merchants, enslaved workers, Indigenous experts, missionaries, soldiers, and collectors. Metropolitan books could stabilize these objects while detaching them from the people who found, named, fed, carried, or interpreted them. The geography of observation expanded faster than the geography of credit.</w:t>
      </w:r>
    </w:p>
    <w:p w14:paraId="1022A4D5" w14:textId="77777777" w:rsidR="00367884" w:rsidRPr="00367884" w:rsidRDefault="00367884" w:rsidP="00367884">
      <w:pPr>
        <w:pStyle w:val="BookBody"/>
      </w:pPr>
      <w:r w:rsidRPr="00367884">
        <w:rPr>
          <w:szCs w:val="28"/>
        </w:rPr>
        <w:t>These exclusions were not incidental blemishes on an otherwise self-contained method. They shaped what became visible. Access determined which organisms reached collections, which instruments were available, whose reports were recorded, and which questions appeared worth asking. Trust was an epistemic resource unevenly distributed. To say that a fact was socially made is partly to say that the community of possible fact-makers had boundaries.</w:t>
      </w:r>
    </w:p>
    <w:p w14:paraId="1C1A4597" w14:textId="77777777" w:rsidR="00367884" w:rsidRPr="00367884" w:rsidRDefault="00367884" w:rsidP="00367884">
      <w:pPr>
        <w:pStyle w:val="BookBody"/>
      </w:pPr>
      <w:r w:rsidRPr="00367884">
        <w:rPr>
          <w:szCs w:val="28"/>
        </w:rPr>
        <w:t>Yet social analysis does not dissolve the object into reputation. Gentlemanly agreement could not keep a flame burning in depleted air or force a satellite into the wrong place. Marginalized informants could know organisms that metropolitan virtuosi did not. Apparatus could embarrass its designer. The social order distributed attention and credibility; it did not abolish resistance. The hardest historical task is to describe facts as both constrained by a more-than-human world and formed within unequal human relations.</w:t>
      </w:r>
    </w:p>
    <w:p w14:paraId="36EC6CE6" w14:textId="77777777" w:rsidR="00367884" w:rsidRPr="00367884" w:rsidRDefault="00367884" w:rsidP="00367884">
      <w:pPr>
        <w:pStyle w:val="SectionHeading"/>
      </w:pPr>
      <w:r w:rsidRPr="00367884">
        <w:rPr>
          <w:bCs/>
          <w:szCs w:val="28"/>
        </w:rPr>
        <w:t>Merian’s Garden of Time</w:t>
      </w:r>
    </w:p>
    <w:p w14:paraId="271A927E" w14:textId="77777777" w:rsidR="00367884" w:rsidRPr="00367884" w:rsidRDefault="00367884" w:rsidP="00367884">
      <w:pPr>
        <w:pStyle w:val="BookBody"/>
      </w:pPr>
      <w:r w:rsidRPr="00367884">
        <w:rPr>
          <w:szCs w:val="28"/>
        </w:rPr>
        <w:t>Maria Sibylla Merian’s natural history offers a different configuration of instrument, observation, and credibility. She was trained within a family world of artists, publishers, and engravers. From youth she collected caterpillars, fed them the plants on which she found them, watched them molt and pupate, and recorded the emergence of moths and butterflies. Her principal apparatus was not a spectacular machine. It was a sustained practice of keeping: boxes, jars, leaves, dates, brushes, pigments, notebooks, and the household labor required to maintain living organisms.</w:t>
      </w:r>
      <w:r w:rsidRPr="00367884">
        <w:rPr>
          <w:szCs w:val="28"/>
          <w:vertAlign w:val="superscript"/>
        </w:rPr>
        <w:t>21</w:t>
      </w:r>
    </w:p>
    <w:p w14:paraId="4172A492" w14:textId="77777777" w:rsidR="00367884" w:rsidRPr="00367884" w:rsidRDefault="00367884" w:rsidP="00367884">
      <w:pPr>
        <w:pStyle w:val="BookBody"/>
      </w:pPr>
      <w:r w:rsidRPr="00367884">
        <w:rPr>
          <w:szCs w:val="28"/>
        </w:rPr>
        <w:t>This practice addressed a fundamental question. Insects were still widely associated with putrefaction and spontaneous generation. A caterpillar, apparently enclosed within a lifeless pupa, emerged as a winged creature radically unlike its earlier form. Merian made that transformation visible as a continuous life history. By rearing individuals and attending to sequence, she connected egg, larva, pupa, and adult. The identity of the organism existed through metamorphosis rather than despite it.</w:t>
      </w:r>
    </w:p>
    <w:p w14:paraId="662042BD" w14:textId="77777777" w:rsidR="00367884" w:rsidRPr="00367884" w:rsidRDefault="00367884" w:rsidP="00367884">
      <w:pPr>
        <w:pStyle w:val="BookBody"/>
      </w:pPr>
      <w:r w:rsidRPr="00367884">
        <w:rPr>
          <w:szCs w:val="28"/>
        </w:rPr>
        <w:t>Her images also connected insects to host plants. Caterpillars did not appear as isolated specimens on blank ground. They ate particular leaves, rested on stems, damaged blossoms, and transformed within a vegetal setting. This was not yet ecology as a modern discipline, but it was ecological seeing: an organism became intelligible through relations of nourishment, habitat, and time. Kay Etheridge rightly emphasizes the importance of this sustained attention to plant–insect association.</w:t>
      </w:r>
      <w:r w:rsidRPr="00367884">
        <w:rPr>
          <w:szCs w:val="28"/>
          <w:vertAlign w:val="superscript"/>
        </w:rPr>
        <w:t>22</w:t>
      </w:r>
    </w:p>
    <w:p w14:paraId="7EAD345B" w14:textId="77777777" w:rsidR="00367884" w:rsidRPr="00367884" w:rsidRDefault="00367884" w:rsidP="00367884">
      <w:pPr>
        <w:pStyle w:val="BookBody"/>
      </w:pPr>
      <w:r w:rsidRPr="00367884">
        <w:rPr>
          <w:szCs w:val="28"/>
        </w:rPr>
        <w:t>The plate gathers stages that could not have occupied the depicted branch at one instant. Caterpillar, pupa, and winged adult coexist in a composed present. Merian used what one biographer calls “tricks with time and place”: the image condensed days or weeks of rearing into a single field.</w:t>
      </w:r>
      <w:r w:rsidRPr="00367884">
        <w:rPr>
          <w:szCs w:val="28"/>
          <w:vertAlign w:val="superscript"/>
        </w:rPr>
        <w:t>23</w:t>
      </w:r>
      <w:r w:rsidRPr="00367884">
        <w:rPr>
          <w:szCs w:val="28"/>
        </w:rPr>
        <w:t xml:space="preserve"> Like Hooke’s fly eye, it was synthetic rather than snapshot-like. Its truth lay in ordering separate observations so that a life cycle could be apprehended at once.</w:t>
      </w:r>
    </w:p>
    <w:p w14:paraId="55BE963F" w14:textId="77777777" w:rsidR="00367884" w:rsidRPr="00367884" w:rsidRDefault="00367884" w:rsidP="00367884">
      <w:pPr>
        <w:pStyle w:val="FigureImage"/>
      </w:pPr>
      <w:r w:rsidRPr="00367884">
        <w:rPr>
          <w:noProof/>
          <w:szCs w:val="28"/>
        </w:rPr>
        <w:drawing>
          <wp:inline distT="0" distB="0" distL="0" distR="0" wp14:anchorId="0A8833AE" wp14:editId="2633534F">
            <wp:extent cx="3017520" cy="4695671"/>
            <wp:effectExtent l="0" t="0" r="0" b="0"/>
            <wp:docPr id="4" name="Picture 4" descr="Merian's color natural-history plate showing caterpillars, pupal forms, moths, damaged leaves, and a shared host pl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4_4_merian_life_cycle.jpg"/>
                    <pic:cNvPicPr/>
                  </pic:nvPicPr>
                  <pic:blipFill>
                    <a:blip r:embed="rId17"/>
                    <a:stretch>
                      <a:fillRect/>
                    </a:stretch>
                  </pic:blipFill>
                  <pic:spPr>
                    <a:xfrm>
                      <a:off x="0" y="0"/>
                      <a:ext cx="3017520" cy="4695671"/>
                    </a:xfrm>
                    <a:prstGeom prst="rect">
                      <a:avLst/>
                    </a:prstGeom>
                  </pic:spPr>
                </pic:pic>
              </a:graphicData>
            </a:graphic>
          </wp:inline>
        </w:drawing>
      </w:r>
    </w:p>
    <w:p w14:paraId="0B96CD3A" w14:textId="77777777" w:rsidR="00367884" w:rsidRPr="00367884" w:rsidRDefault="00367884" w:rsidP="00367884">
      <w:pPr>
        <w:pStyle w:val="FigureCaption"/>
      </w:pPr>
      <w:r w:rsidRPr="00367884">
        <w:rPr>
          <w:szCs w:val="28"/>
        </w:rPr>
        <w:t>Figure 14.4. Caterpillars, pupal forms, moths, and host plant composed as one life history in Maria Sibylla Merian, Metamorphosis insectorum Surinamensium (Amsterdam, 1705). The plate collapses successive observations into a relational image rather than depicting a single instant. Working facsimile supplied for drafting; final repository credit and reproduction terms to be verified.</w:t>
      </w:r>
    </w:p>
    <w:p w14:paraId="334BD17C" w14:textId="77777777" w:rsidR="00367884" w:rsidRPr="00367884" w:rsidRDefault="00367884" w:rsidP="00367884">
      <w:pPr>
        <w:pStyle w:val="BookBody"/>
      </w:pPr>
      <w:r w:rsidRPr="00367884">
        <w:rPr>
          <w:szCs w:val="28"/>
        </w:rPr>
        <w:t>The composition makes time spatial. One can move the eye along stem, leaf, caterpillar, pupa, and moth as if reading a sentence. Color preserves distinctions that line engraving alone would weaken. The damaged leaves register feeding; posture indicates behavior; scale allows comparison. Qualities—color, form, texture, appetite—do not stand as ornamental description. They become signs within a developmental relation.</w:t>
      </w:r>
    </w:p>
    <w:p w14:paraId="7EB04A59" w14:textId="77777777" w:rsidR="00367884" w:rsidRPr="00367884" w:rsidRDefault="00367884" w:rsidP="00367884">
      <w:pPr>
        <w:pStyle w:val="BookBody"/>
      </w:pPr>
      <w:r w:rsidRPr="00367884">
        <w:rPr>
          <w:szCs w:val="28"/>
        </w:rPr>
        <w:t>Merian’s work therefore expands the meaning of an instrumented world. Instrumentation need not be concentrated in a brass or glass device. It may reside in an organized practice that renders otherwise fleeting events comparable. Her rearing method controlled proximity, food, and duration. Her paintings aligned stages. Engraving and color printing made them portable. A life cycle emerged from the coordination of living bodies, household routine, memory, hand, and page.</w:t>
      </w:r>
    </w:p>
    <w:p w14:paraId="4C214366" w14:textId="77777777" w:rsidR="00367884" w:rsidRPr="00367884" w:rsidRDefault="00367884" w:rsidP="00367884">
      <w:pPr>
        <w:pStyle w:val="SectionHeading"/>
      </w:pPr>
      <w:r w:rsidRPr="00367884">
        <w:rPr>
          <w:bCs/>
          <w:szCs w:val="28"/>
        </w:rPr>
        <w:t>Insect, Plant, Colony</w:t>
      </w:r>
    </w:p>
    <w:p w14:paraId="33237EB1" w14:textId="77777777" w:rsidR="00367884" w:rsidRPr="00367884" w:rsidRDefault="00367884" w:rsidP="00367884">
      <w:pPr>
        <w:pStyle w:val="BookBody"/>
      </w:pPr>
      <w:r w:rsidRPr="00367884">
        <w:rPr>
          <w:szCs w:val="28"/>
        </w:rPr>
        <w:t xml:space="preserve">In 1699 Merian traveled with her younger daughter Dorothea Maria to Suriname. The expedition was remarkable not because no European woman had observed colonial nature, but because Merian organized a commercial and scholarly journey around her own natural-historical project. She financed it through savings and loans, collected and reared insects, and returned to Amsterdam with drawings, specimens, and notes that became the 1705 </w:t>
      </w:r>
      <w:r w:rsidRPr="00367884">
        <w:rPr>
          <w:i/>
          <w:szCs w:val="28"/>
        </w:rPr>
        <w:t>Metamorphosis insectorum Surinamensium</w:t>
      </w:r>
      <w:r w:rsidRPr="00367884">
        <w:rPr>
          <w:szCs w:val="28"/>
        </w:rPr>
        <w:t>.</w:t>
      </w:r>
      <w:r w:rsidRPr="00367884">
        <w:rPr>
          <w:szCs w:val="28"/>
          <w:vertAlign w:val="superscript"/>
        </w:rPr>
        <w:t>24</w:t>
      </w:r>
    </w:p>
    <w:p w14:paraId="73C00F95" w14:textId="77777777" w:rsidR="00367884" w:rsidRPr="00367884" w:rsidRDefault="00367884" w:rsidP="00367884">
      <w:pPr>
        <w:pStyle w:val="BookBody"/>
      </w:pPr>
      <w:r w:rsidRPr="00367884">
        <w:rPr>
          <w:szCs w:val="28"/>
        </w:rPr>
        <w:t>The book’s beauty can make the colonial conditions of its knowledge disappear. Merian worked in a plantation society sustained by enslaved labor. African and Indigenous people helped locate plants and animals, supplied information about uses and dangers, and made movement through the environment possible. Natalie Zemon Davis shows that Merian sometimes acknowledged these informants while still speaking from within relations of possession and mastery.</w:t>
      </w:r>
      <w:r w:rsidRPr="00367884">
        <w:rPr>
          <w:szCs w:val="28"/>
          <w:vertAlign w:val="superscript"/>
        </w:rPr>
        <w:t>25</w:t>
      </w:r>
      <w:r w:rsidRPr="00367884">
        <w:rPr>
          <w:szCs w:val="28"/>
        </w:rPr>
        <w:t xml:space="preserve"> The phrase “my Indians” or references to enslaved people record proximity without equality. Information entered the plate across coercive boundaries.</w:t>
      </w:r>
    </w:p>
    <w:p w14:paraId="2A22CBAE" w14:textId="77777777" w:rsidR="00367884" w:rsidRPr="00367884" w:rsidRDefault="00367884" w:rsidP="00367884">
      <w:pPr>
        <w:pStyle w:val="BookBody"/>
      </w:pPr>
      <w:r w:rsidRPr="00367884">
        <w:rPr>
          <w:szCs w:val="28"/>
        </w:rPr>
        <w:t>Those boundaries affected the content. Plantation owners valued crops and commodities; local experts knew where organisms fed, when they appeared, and which plants healed or poisoned. Merian’s attention to damaged plants and insect relations could register conflicts that a simple catalogue of profitable species would miss. She criticized the single-minded pursuit of sugar while observing biological abundance around it. Her natural history was enabled by empire and not reducible to imperial utility.</w:t>
      </w:r>
    </w:p>
    <w:p w14:paraId="13EC9221" w14:textId="77777777" w:rsidR="00367884" w:rsidRPr="00367884" w:rsidRDefault="00367884" w:rsidP="00367884">
      <w:pPr>
        <w:pStyle w:val="BookBody"/>
      </w:pPr>
      <w:r w:rsidRPr="00367884">
        <w:rPr>
          <w:szCs w:val="28"/>
        </w:rPr>
        <w:t>Her family workshop further complicates individual authorship. Daughters and assistants helped draw, transfer, engrave, color, and publish. The finished volume bore Merian’s name, rightly marking her organizing intelligence, but its plates were collaborative products. As with Boyle’s pump, the celebrated author stood at the visible center of a distributed practice. The difference was that a family and commercial network, rather than a learned society, sustained the credibility of the work.</w:t>
      </w:r>
    </w:p>
    <w:p w14:paraId="75AEAD23" w14:textId="77777777" w:rsidR="00367884" w:rsidRPr="00367884" w:rsidRDefault="00367884" w:rsidP="00367884">
      <w:pPr>
        <w:pStyle w:val="BookBody"/>
      </w:pPr>
      <w:r w:rsidRPr="00367884">
        <w:rPr>
          <w:szCs w:val="28"/>
        </w:rPr>
        <w:t>Merian’s authority did not imitate Boyle’s gentlemanly modesty. It rested on long familiarity with living insects, artisanal command of image-making, possession of specimens, commercial publication, and the coherence of observed cycles. She could show what others had failed to keep alive long enough to see. The evidentiary force of her plates came from the fit among stages, plants, written descriptions, and repeatable metamorphoses. Readers might not reproduce the Suriname journey, but they could rear European caterpillars, compare collections, and recognize the logic of transformation.</w:t>
      </w:r>
    </w:p>
    <w:p w14:paraId="49351DE9" w14:textId="77777777" w:rsidR="00367884" w:rsidRPr="00367884" w:rsidRDefault="00367884" w:rsidP="00367884">
      <w:pPr>
        <w:pStyle w:val="BookBody"/>
      </w:pPr>
      <w:r w:rsidRPr="00367884">
        <w:rPr>
          <w:szCs w:val="28"/>
        </w:rPr>
        <w:t>The colonial plate thus contains multiple distances. It brings a Surinamese organism close to a European reader. It places stages separated in time on one branch. It joins local knowledge to metropolitan print. It also distances the image from coerced labor and from the ecological violence of plantation society. Instrumented visibility can reveal relations at one scale while obscuring the relations that made the revelation possible.</w:t>
      </w:r>
    </w:p>
    <w:p w14:paraId="15C959C6" w14:textId="77777777" w:rsidR="00367884" w:rsidRPr="00367884" w:rsidRDefault="00367884" w:rsidP="00367884">
      <w:pPr>
        <w:pStyle w:val="SectionHeading"/>
      </w:pPr>
      <w:r w:rsidRPr="00367884">
        <w:rPr>
          <w:bCs/>
          <w:szCs w:val="28"/>
        </w:rPr>
        <w:t>Failure as an Instrument</w:t>
      </w:r>
    </w:p>
    <w:p w14:paraId="6885CA82" w14:textId="77777777" w:rsidR="00367884" w:rsidRPr="00367884" w:rsidRDefault="00367884" w:rsidP="00367884">
      <w:pPr>
        <w:pStyle w:val="BookBody"/>
      </w:pPr>
      <w:r w:rsidRPr="00367884">
        <w:rPr>
          <w:szCs w:val="28"/>
        </w:rPr>
        <w:t>The polished plate and successful experiment can make early modern inquiry look more orderly than it was. In practice, failure was everywhere. Galileo lost targets in the telescope’s narrow field, lenses produced doubled stars, specimens slipped from focus, air pumps leaked, animals died before they could be observed, and caterpillars refused unfamiliar food. These breakdowns were not external interruptions to a finished method. They helped define the method by revealing which conditions mattered.</w:t>
      </w:r>
      <w:r w:rsidRPr="00367884">
        <w:rPr>
          <w:szCs w:val="28"/>
          <w:vertAlign w:val="superscript"/>
        </w:rPr>
        <w:t>26</w:t>
      </w:r>
    </w:p>
    <w:p w14:paraId="6FB6C54D" w14:textId="77777777" w:rsidR="00367884" w:rsidRPr="00367884" w:rsidRDefault="00367884" w:rsidP="00367884">
      <w:pPr>
        <w:pStyle w:val="BookBody"/>
      </w:pPr>
      <w:r w:rsidRPr="00367884">
        <w:rPr>
          <w:szCs w:val="28"/>
        </w:rPr>
        <w:t>A failed telescopic observation could implicate the glass, the atmosphere, the observer, or the celestial claim. Repetition under altered conditions distributed suspicion. If a luminous companion moved when the tube rotated, it might belong to the instrument; if it preserved a changing relation to Jupiter across nights and instruments, the celestial interpretation strengthened. The important achievement was not an infallible device but a repertoire of discriminations. Failure mapped the apparatus.</w:t>
      </w:r>
    </w:p>
    <w:p w14:paraId="51BC0046" w14:textId="77777777" w:rsidR="00367884" w:rsidRPr="00367884" w:rsidRDefault="00367884" w:rsidP="00367884">
      <w:pPr>
        <w:pStyle w:val="BookBody"/>
      </w:pPr>
      <w:r w:rsidRPr="00367884">
        <w:rPr>
          <w:szCs w:val="28"/>
        </w:rPr>
        <w:t>Boyle’s pump made this especially visible. A leak was both a nuisance and a source of knowledge about seals, pressure, and the limits of evacuation. But it also threatened the status of every effect. If air remained in the receiver, an opponent could argue that the supposed vacuum had not been tested. Experimentalists therefore learned to report degrees, signs, and qualifications rather than treat “empty” as an all-or-nothing condition. The machine’s imperfection encouraged a style of bounded claims.</w:t>
      </w:r>
      <w:r w:rsidRPr="00367884">
        <w:rPr>
          <w:szCs w:val="28"/>
          <w:vertAlign w:val="superscript"/>
        </w:rPr>
        <w:t>27</w:t>
      </w:r>
    </w:p>
    <w:p w14:paraId="34636D73" w14:textId="77777777" w:rsidR="00367884" w:rsidRPr="00367884" w:rsidRDefault="00367884" w:rsidP="00367884">
      <w:pPr>
        <w:pStyle w:val="BookBody"/>
      </w:pPr>
      <w:r w:rsidRPr="00367884">
        <w:rPr>
          <w:szCs w:val="28"/>
        </w:rPr>
        <w:t>Natural history had its own negative trials. Rearing an insect on the plant where it had been found allowed Merian to observe whether it fed and survived. The caterpillar’s refusal mattered. So did a pupa from which a parasite emerged instead of the expected moth. Such events complicated a neat sequence but also disclosed relations among species. Error could be corrected because the living organism did not obediently enact the picture prepared for it.</w:t>
      </w:r>
      <w:r w:rsidRPr="00367884">
        <w:rPr>
          <w:szCs w:val="28"/>
          <w:vertAlign w:val="superscript"/>
        </w:rPr>
        <w:t>28</w:t>
      </w:r>
    </w:p>
    <w:p w14:paraId="656A9D75" w14:textId="77777777" w:rsidR="00367884" w:rsidRPr="00367884" w:rsidRDefault="00367884" w:rsidP="00367884">
      <w:pPr>
        <w:pStyle w:val="BookBody"/>
      </w:pPr>
      <w:r w:rsidRPr="00367884">
        <w:rPr>
          <w:szCs w:val="28"/>
        </w:rPr>
        <w:t>The epistemic value of failure depended on records. An unrecorded breakdown remained frustration; a described breakdown became information about conditions. The notebook, letter, and printed narrative preserved unsuccessful arrangements and allowed later workers to distinguish an exception from a faulty operation. This is one reason seventeenth-century natural knowledge became increasingly procedural. Readers needed to know not only what happened but what had been done.</w:t>
      </w:r>
    </w:p>
    <w:p w14:paraId="462772B0" w14:textId="77777777" w:rsidR="00367884" w:rsidRPr="00367884" w:rsidRDefault="00367884" w:rsidP="00367884">
      <w:pPr>
        <w:pStyle w:val="BookBody"/>
      </w:pPr>
      <w:r w:rsidRPr="00367884">
        <w:rPr>
          <w:szCs w:val="28"/>
        </w:rPr>
        <w:t>Procedure, however, did not mean a universal recipe. Much remained tacit. The pressure of a hand on a glass joint, the angle of illumination, the freshness of a specimen, and the timing of a glance could resist exact verbalization. A published method translated embodied skill without exhausting it. Replication was thus rarely the duplication of a script by interchangeable observers. It was the reconstruction of a skilled situation.</w:t>
      </w:r>
      <w:r w:rsidRPr="00367884">
        <w:rPr>
          <w:szCs w:val="28"/>
          <w:vertAlign w:val="superscript"/>
        </w:rPr>
        <w:t>29</w:t>
      </w:r>
    </w:p>
    <w:p w14:paraId="726793F7" w14:textId="77777777" w:rsidR="00367884" w:rsidRPr="00367884" w:rsidRDefault="00367884" w:rsidP="00367884">
      <w:pPr>
        <w:pStyle w:val="BookBody"/>
      </w:pPr>
      <w:r w:rsidRPr="00367884">
        <w:rPr>
          <w:szCs w:val="28"/>
        </w:rPr>
        <w:t>This point qualifies another familiar origin story. Modern science did not arise when fallible persons vanished behind self-correcting instruments. It arose partly through practices that made fallibility discussable. Observers learned to identify sources of error, expose apparatus to criticism, and treat disagreement as potentially local rather than total. A failed trial could prompt repair without forcing the abandonment of experimental knowledge.</w:t>
      </w:r>
    </w:p>
    <w:p w14:paraId="0AA45642" w14:textId="77777777" w:rsidR="00367884" w:rsidRPr="00367884" w:rsidRDefault="00367884" w:rsidP="00367884">
      <w:pPr>
        <w:pStyle w:val="BookBody"/>
      </w:pPr>
      <w:r w:rsidRPr="00367884">
        <w:rPr>
          <w:szCs w:val="28"/>
        </w:rPr>
        <w:t>The resulting humility was neither pure nor evenly enforced. Powerful authors could redescribe failure as a minor circumstance, while technicians might be blamed for outcomes that challenged a theory. Prestigious institutions could stabilize a claim before all competent observers agreed. The rhetoric of candor could itself generate credit. Yet the obligation to specify failures created openings for criticism. A fact tied to conditions could be tested by altering them.</w:t>
      </w:r>
    </w:p>
    <w:p w14:paraId="5D8DC843" w14:textId="77777777" w:rsidR="00367884" w:rsidRPr="00367884" w:rsidRDefault="00367884" w:rsidP="00367884">
      <w:pPr>
        <w:pStyle w:val="BookBody"/>
      </w:pPr>
      <w:r w:rsidRPr="00367884">
        <w:rPr>
          <w:szCs w:val="28"/>
        </w:rPr>
        <w:t>Failure therefore joined image and instrument as a technology of discernment. It taught practitioners where nature ended and apparatus began, while repeatedly showing that the boundary was not fixed in advance. A seal, lens, specimen, and body formed one temporary system. Breakdown made their interdependence visible. Success could then be understood not as the elimination of mediation but as its controlled performance.</w:t>
      </w:r>
      <w:r w:rsidRPr="00367884">
        <w:rPr>
          <w:szCs w:val="28"/>
          <w:vertAlign w:val="superscript"/>
        </w:rPr>
        <w:t>30</w:t>
      </w:r>
    </w:p>
    <w:p w14:paraId="2348AB93" w14:textId="77777777" w:rsidR="00367884" w:rsidRPr="00367884" w:rsidRDefault="00367884" w:rsidP="00367884">
      <w:pPr>
        <w:pStyle w:val="SectionHeading"/>
      </w:pPr>
      <w:r w:rsidRPr="00367884">
        <w:rPr>
          <w:bCs/>
          <w:szCs w:val="28"/>
        </w:rPr>
        <w:t>The Discipline of the Image</w:t>
      </w:r>
    </w:p>
    <w:p w14:paraId="35EAFC32" w14:textId="77777777" w:rsidR="00367884" w:rsidRPr="00367884" w:rsidRDefault="00367884" w:rsidP="00367884">
      <w:pPr>
        <w:pStyle w:val="BookBody"/>
      </w:pPr>
      <w:r w:rsidRPr="00367884">
        <w:rPr>
          <w:szCs w:val="28"/>
        </w:rPr>
        <w:t>Across Galileo, Hooke, Boyle, and Merian, images did more than communicate completed discoveries. They participated in discovery by establishing what could be compared. Galileo’s diagrams aligned nights. Hooke’s plate aligned focal planes and scales. Boyle’s apparatus engraving aligned parts and operations. Merian’s composition aligned life stages and host relations. Each image created a field in which a pattern became available to inspection.</w:t>
      </w:r>
    </w:p>
    <w:p w14:paraId="12D9E32F" w14:textId="77777777" w:rsidR="00367884" w:rsidRPr="00367884" w:rsidRDefault="00367884" w:rsidP="00367884">
      <w:pPr>
        <w:pStyle w:val="BookBody"/>
      </w:pPr>
      <w:r w:rsidRPr="00367884">
        <w:rPr>
          <w:szCs w:val="28"/>
        </w:rPr>
        <w:t>The early modern printed page was therefore itself an instrument. It preserved, compressed, and transported. It could keep a lunar shadow fixed after the phase had changed, hold open the interior of a machine, or place an egg beside an adult. Margins, labels, letters, captions, and sequences directed the reader’s eye. The page did not merely represent an object; it organized an encounter with it.</w:t>
      </w:r>
    </w:p>
    <w:p w14:paraId="4BED2D75" w14:textId="77777777" w:rsidR="00367884" w:rsidRPr="00367884" w:rsidRDefault="00367884" w:rsidP="00367884">
      <w:pPr>
        <w:pStyle w:val="BookBody"/>
      </w:pPr>
      <w:r w:rsidRPr="00367884">
        <w:rPr>
          <w:szCs w:val="28"/>
        </w:rPr>
        <w:t>That organization required conventions. Lines had to distinguish boundary from shading. Letters had to correspond to textual descriptions. Scale had to be stated or implied. Repetition had to signal structure rather than decorative pattern. Readers learned these conventions just as observers learned to focus a lens. Visual literacy became part of experimental literacy.</w:t>
      </w:r>
    </w:p>
    <w:p w14:paraId="64F5C1DC" w14:textId="77777777" w:rsidR="00367884" w:rsidRPr="00367884" w:rsidRDefault="00367884" w:rsidP="00367884">
      <w:pPr>
        <w:pStyle w:val="BookBody"/>
      </w:pPr>
      <w:r w:rsidRPr="00367884">
        <w:rPr>
          <w:szCs w:val="28"/>
        </w:rPr>
        <w:t>The image also allowed disagreement to become precise. A critic could ask whether a contour had been regularized, whether a sequence omitted a failure, or whether two stages belonged to one species. Once an observation had a durable form, it could be compared with another plate or specimen. Stabilization invited scrutiny. The same operation that created authority also created vulnerabilities.</w:t>
      </w:r>
    </w:p>
    <w:p w14:paraId="431B0564" w14:textId="77777777" w:rsidR="00367884" w:rsidRPr="00367884" w:rsidRDefault="00367884" w:rsidP="00367884">
      <w:pPr>
        <w:pStyle w:val="BookBody"/>
      </w:pPr>
      <w:r w:rsidRPr="00367884">
        <w:rPr>
          <w:szCs w:val="28"/>
        </w:rPr>
        <w:t>This comparative discipline extended beyond the individual book. The Accademia dei Lincei around Galileo assembled drawings, specimens, correspondence, and instruments into a program of collective seeing. The Royal Society used meetings, registers, letters, and publications to coordinate observations that arrived from different places. A picture could move through these networks more readily than a fragile specimen, while still carrying enough structure to provoke correction.</w:t>
      </w:r>
      <w:r w:rsidRPr="00367884">
        <w:rPr>
          <w:szCs w:val="28"/>
          <w:vertAlign w:val="superscript"/>
        </w:rPr>
        <w:t>31</w:t>
      </w:r>
      <w:r w:rsidRPr="00367884">
        <w:rPr>
          <w:szCs w:val="28"/>
        </w:rPr>
        <w:t xml:space="preserve"> The institution became a memory device for images and reports.</w:t>
      </w:r>
    </w:p>
    <w:p w14:paraId="7EAA9974" w14:textId="77777777" w:rsidR="00367884" w:rsidRPr="00367884" w:rsidRDefault="00367884" w:rsidP="00367884">
      <w:pPr>
        <w:pStyle w:val="BookBody"/>
      </w:pPr>
      <w:r w:rsidRPr="00367884">
        <w:rPr>
          <w:szCs w:val="28"/>
        </w:rPr>
        <w:t>This double effect helps explain the power of early scientific print. A plate could seduce, but it could also be checked. It could conceal labor, but it could expose a claim to detailed inspection. It could flatten a temporal process, but the flattening made the process conceptually graspable. Representation was not a fall away from reality. It was a material practice through which certain realities became thinkable.</w:t>
      </w:r>
    </w:p>
    <w:p w14:paraId="71CDE5F5" w14:textId="77777777" w:rsidR="00367884" w:rsidRPr="00367884" w:rsidRDefault="00367884" w:rsidP="00367884">
      <w:pPr>
        <w:pStyle w:val="BookBody"/>
      </w:pPr>
      <w:r w:rsidRPr="00367884">
        <w:rPr>
          <w:szCs w:val="28"/>
        </w:rPr>
        <w:t>The authority of resemblance was correspondingly complex. Makers sometimes improved a figure by removing accidental damage or by showing a typical form assembled from several specimens. Such choices could clarify a species or structure while obscuring variation. The plate promised access to the thing, yet it often presented the thing as an expert believed it ought to be seen. Sixteenth- and seventeenth-century image makers inhabited this tension openly; faithful depiction and reasoned correction were not opposites.</w:t>
      </w:r>
      <w:r w:rsidRPr="00367884">
        <w:rPr>
          <w:szCs w:val="28"/>
          <w:vertAlign w:val="superscript"/>
        </w:rPr>
        <w:t>32</w:t>
      </w:r>
    </w:p>
    <w:p w14:paraId="02FBDAB9" w14:textId="77777777" w:rsidR="00367884" w:rsidRPr="00367884" w:rsidRDefault="00367884" w:rsidP="00367884">
      <w:pPr>
        <w:pStyle w:val="BookBody"/>
      </w:pPr>
      <w:r w:rsidRPr="00367884">
        <w:rPr>
          <w:szCs w:val="28"/>
        </w:rPr>
        <w:t>The cost was a growing temptation to identify the organized sign with nature itself. Once lunar heights, air pressures, microscopic structures, and developmental stages were rendered on the page, the messiness of their production receded. The cleaned line appeared more certain than the wavering view. The instrumented world risked becoming a world already diagrammed.</w:t>
      </w:r>
    </w:p>
    <w:p w14:paraId="1302A248" w14:textId="77777777" w:rsidR="00367884" w:rsidRPr="00367884" w:rsidRDefault="00367884" w:rsidP="00367884">
      <w:pPr>
        <w:pStyle w:val="SectionHeading"/>
      </w:pPr>
      <w:r w:rsidRPr="00367884">
        <w:rPr>
          <w:bCs/>
          <w:szCs w:val="28"/>
        </w:rPr>
        <w:t>Qualities as Signs</w:t>
      </w:r>
    </w:p>
    <w:p w14:paraId="67186B0A" w14:textId="77777777" w:rsidR="00367884" w:rsidRPr="00367884" w:rsidRDefault="00367884" w:rsidP="00367884">
      <w:pPr>
        <w:pStyle w:val="BookBody"/>
      </w:pPr>
      <w:r w:rsidRPr="00367884">
        <w:rPr>
          <w:szCs w:val="28"/>
        </w:rPr>
        <w:t>The larger transformation can now be stated. Early modern instruments did not simply replace qualities with quantities. They taught observers to make qualities function as signs within controlled arrays. A darkness on the Moon became significant through changing solar angle. Bright dots became satellites through periodic displacement. The expansion of a bladder became evidence through altered air. A caterpillar’s color and appetite became diagnostic through rearing and comparison. What mattered was not bare sensation but ordered difference.</w:t>
      </w:r>
    </w:p>
    <w:p w14:paraId="2ECF4908" w14:textId="77777777" w:rsidR="00367884" w:rsidRPr="00367884" w:rsidRDefault="00367884" w:rsidP="00367884">
      <w:pPr>
        <w:pStyle w:val="BookBody"/>
      </w:pPr>
      <w:r w:rsidRPr="00367884">
        <w:rPr>
          <w:szCs w:val="28"/>
        </w:rPr>
        <w:t>This regime rewarded qualities that could be stabilized, repeated, or translated. Position became a coordinate; duration became a period; pressure became a height; enlargement became a scale; color and morphology became identifying marks. Other features—the ache of the eye, the smell of a specimen, the noise of the workshop, the technician’s hesitation—rarely entered the final account unless they explained failure. The border between data and circumstance was made in practice.</w:t>
      </w:r>
    </w:p>
    <w:p w14:paraId="61318F0C" w14:textId="77777777" w:rsidR="00367884" w:rsidRPr="00367884" w:rsidRDefault="00367884" w:rsidP="00367884">
      <w:pPr>
        <w:pStyle w:val="BookBody"/>
      </w:pPr>
      <w:r w:rsidRPr="00367884">
        <w:rPr>
          <w:szCs w:val="28"/>
        </w:rPr>
        <w:t>The making of that border was neither arbitrary nor complete. An observer could not simply declare interference away. If a colored fringe changed with every lens, it became optical artifact; if it persisted across controlled variations, it demanded explanation. If a caterpillar refused the assigned plant, the proposed relation failed. If the receiver admitted air, the experimental condition dissolved. Material recalcitrance disciplined selection.</w:t>
      </w:r>
    </w:p>
    <w:p w14:paraId="4549A2B7" w14:textId="77777777" w:rsidR="00367884" w:rsidRPr="00367884" w:rsidRDefault="00367884" w:rsidP="00367884">
      <w:pPr>
        <w:pStyle w:val="BookBody"/>
      </w:pPr>
      <w:r w:rsidRPr="00367884">
        <w:rPr>
          <w:szCs w:val="28"/>
        </w:rPr>
        <w:t>At the same time, the selection encouraged a particular image of nature. The most authoritative properties were increasingly those that survived intervention and circulation. Nature appeared as a bearer of repeatable effects, separable variables, and transferable marks. This did not yet amount to a fully mechanistic ontology. But it prepared the ground on which mechanism would become compelling. A world that could be decomposed in apparatus and recomposed in representation looked increasingly like a world made of analyzable parts.</w:t>
      </w:r>
    </w:p>
    <w:p w14:paraId="34F41AC7" w14:textId="77777777" w:rsidR="00367884" w:rsidRPr="00367884" w:rsidRDefault="00367884" w:rsidP="00367884">
      <w:pPr>
        <w:pStyle w:val="BookBody"/>
      </w:pPr>
      <w:r w:rsidRPr="00367884">
        <w:rPr>
          <w:szCs w:val="28"/>
        </w:rPr>
        <w:t>There was also a spiritual ambiguity. Instruments could deepen wonder: hidden intricacy testified to providential workmanship, and the rough Moon enlarged creation’s variety. Yet disciplined signs weakened the older confidence that ordinary sensory qualities transparently expressed cosmic meaning. Color and sound might still delight or signify, but natural philosophy increasingly asked what operations produced them and what relations they registered. The world remained eloquent, though its language was being revised.</w:t>
      </w:r>
    </w:p>
    <w:p w14:paraId="13B40509" w14:textId="77777777" w:rsidR="00367884" w:rsidRPr="00367884" w:rsidRDefault="00367884" w:rsidP="00367884">
      <w:pPr>
        <w:pStyle w:val="BookBody"/>
      </w:pPr>
      <w:r w:rsidRPr="00367884">
        <w:rPr>
          <w:szCs w:val="28"/>
        </w:rPr>
        <w:t>The living cosmos did not die when a lens was raised. It entered a new economy of evidence. Life, matter, and motion were asked to present credentials: stable appearances, reproducible effects, measurable relations, credible witnesses. What could not travel through those channels risked becoming secondary, private, or unreal.</w:t>
      </w:r>
    </w:p>
    <w:p w14:paraId="7C31DB58" w14:textId="77777777" w:rsidR="00367884" w:rsidRPr="00367884" w:rsidRDefault="00367884" w:rsidP="00367884">
      <w:pPr>
        <w:pStyle w:val="SectionHeading"/>
      </w:pPr>
      <w:r w:rsidRPr="00367884">
        <w:rPr>
          <w:bCs/>
          <w:szCs w:val="28"/>
        </w:rPr>
        <w:t>Neither Window nor Invention</w:t>
      </w:r>
    </w:p>
    <w:p w14:paraId="1FB8BE33" w14:textId="77777777" w:rsidR="00367884" w:rsidRPr="00367884" w:rsidRDefault="00367884" w:rsidP="00367884">
      <w:pPr>
        <w:pStyle w:val="BookBody"/>
      </w:pPr>
      <w:r w:rsidRPr="00367884">
        <w:rPr>
          <w:szCs w:val="28"/>
        </w:rPr>
        <w:t>Two misleading conclusions now become possible. The first treats instruments as neutral windows that simply uncovered a finished world. On this account the Moon was mountainous, flies had compound eyes, air exerted pressure, and caterpillars became moths; glass and print merely allowed humans to notice. The propositions are true, but the account is incomplete. “Mountain,” “facet,” “pressure,” and “life cycle” became evidentiary objects through sequences of preparation, comparison, representation, and trust. The disclosed world was not identical with the unorganized field of possible experience.</w:t>
      </w:r>
    </w:p>
    <w:p w14:paraId="0D656E7E" w14:textId="77777777" w:rsidR="00367884" w:rsidRPr="00367884" w:rsidRDefault="00367884" w:rsidP="00367884">
      <w:pPr>
        <w:pStyle w:val="BookBody"/>
      </w:pPr>
      <w:r w:rsidRPr="00367884">
        <w:rPr>
          <w:szCs w:val="28"/>
        </w:rPr>
        <w:t>The second conclusion treats facts as inventions of instruments and communities. This too confuses formation with fabrication. Galileo could not make the Jovian satellites adopt any pattern he wished. Hooke’s specimens imposed structures that resisted his categories. Boyle’s apparatus failed in materially specific ways. Merian’s insects ate, pupated, emerged, or died regardless of the elegance of her composition. Practices formed objects of knowledge by entering into relations with things that answered back.</w:t>
      </w:r>
    </w:p>
    <w:p w14:paraId="074C8196" w14:textId="77777777" w:rsidR="00367884" w:rsidRPr="00367884" w:rsidRDefault="00367884" w:rsidP="00367884">
      <w:pPr>
        <w:pStyle w:val="BookBody"/>
      </w:pPr>
      <w:r w:rsidRPr="00367884">
        <w:rPr>
          <w:szCs w:val="28"/>
        </w:rPr>
        <w:t>A better account begins with encounter. Instruments reorganized the terms on which human bodies met nonhuman bodies. They amplified traces, created artificial situations, held events still, and extended memory. Communities then judged which encounters were reliable. The resulting facts were relational achievements: neither views from nowhere nor projections from society.</w:t>
      </w:r>
    </w:p>
    <w:p w14:paraId="1D14189B" w14:textId="77777777" w:rsidR="00367884" w:rsidRPr="00367884" w:rsidRDefault="00367884" w:rsidP="00367884">
      <w:pPr>
        <w:pStyle w:val="BookBody"/>
      </w:pPr>
      <w:r w:rsidRPr="00367884">
        <w:rPr>
          <w:szCs w:val="28"/>
        </w:rPr>
        <w:t>This relational realism preserves the force of discovery. Galileo did discover moons around Jupiter; Hooke did disclose structures beyond unaided vision; Boyle did establish powerful effects of air; Merian did make insect metamorphosis and host dependence newly coherent. But discovery did not mean passive reception. It meant building conditions under which an aspect of the world could become stable enough to compel trained observers.</w:t>
      </w:r>
    </w:p>
    <w:p w14:paraId="2700C63B" w14:textId="77777777" w:rsidR="00367884" w:rsidRPr="00367884" w:rsidRDefault="00367884" w:rsidP="00367884">
      <w:pPr>
        <w:pStyle w:val="BookBody"/>
      </w:pPr>
      <w:r w:rsidRPr="00367884">
        <w:rPr>
          <w:szCs w:val="28"/>
        </w:rPr>
        <w:t>The distinction also clarifies why instruments transform reality without creating it ex nihilo. A microscope changes light, scale, posture, and attention. An air pump changes pressure. A drawing changes duration into spatial arrangement. These interventions bring forth phenomena that do not appear in ordinary experience. The phenomena are artifacts in the literal sense—effects made through art—but not therefore false. Experiment made nature answer questions it had never been asked in that form.</w:t>
      </w:r>
    </w:p>
    <w:p w14:paraId="63C189B1" w14:textId="77777777" w:rsidR="00367884" w:rsidRPr="00367884" w:rsidRDefault="00367884" w:rsidP="00367884">
      <w:pPr>
        <w:pStyle w:val="BookBody"/>
      </w:pPr>
      <w:r w:rsidRPr="00367884">
        <w:rPr>
          <w:szCs w:val="28"/>
        </w:rPr>
        <w:t>The instrumented world was consequently plural. The same insect existed as living animal, prepared specimen, magnified surface, engraved plate, classified type, commodity, and sign of providence. No single form exhausted it. Yet institutions increasingly privileged the forms that could circulate within disciplined inquiry. Ontological abundance persisted while epistemic authority narrowed.</w:t>
      </w:r>
    </w:p>
    <w:p w14:paraId="12CC375A" w14:textId="77777777" w:rsidR="00367884" w:rsidRPr="00367884" w:rsidRDefault="00367884" w:rsidP="00367884">
      <w:pPr>
        <w:pStyle w:val="SectionHeading"/>
      </w:pPr>
      <w:r w:rsidRPr="00367884">
        <w:rPr>
          <w:bCs/>
          <w:szCs w:val="28"/>
        </w:rPr>
        <w:t>The Uneasy Eye</w:t>
      </w:r>
    </w:p>
    <w:p w14:paraId="3F742853" w14:textId="77777777" w:rsidR="00367884" w:rsidRPr="00367884" w:rsidRDefault="00367884" w:rsidP="00367884">
      <w:pPr>
        <w:pStyle w:val="BookBody"/>
      </w:pPr>
      <w:r w:rsidRPr="00367884">
        <w:rPr>
          <w:szCs w:val="28"/>
        </w:rPr>
        <w:t>The instrument’s deepest effect may have been to unsettle the observer’s confidence in ordinary perception. The telescope revealed celestial bodies invisible to the naked eye. The microscope showed that smoothness and sharpness changed with scale. The pump made familiar air act like a material spring. Merian’s rearing showed that identities persisted through radical alteration. Common sense was neither simply rejected nor left intact. It became the first layer of a world whose decisive structures might require mediation.</w:t>
      </w:r>
    </w:p>
    <w:p w14:paraId="663BCD92" w14:textId="77777777" w:rsidR="00367884" w:rsidRPr="00367884" w:rsidRDefault="00367884" w:rsidP="00367884">
      <w:pPr>
        <w:pStyle w:val="BookBody"/>
      </w:pPr>
      <w:r w:rsidRPr="00367884">
        <w:rPr>
          <w:szCs w:val="28"/>
        </w:rPr>
        <w:t>This produced a recurrent anxiety: if the senses need instruments, and instruments can deceive, where does certainty reside? The seventeenth century did not supply one answer. Galileo emphasized mathematical regularity and repeated sight. Hooke combined skilled observation with comparative trials and graphic description. Boyle cultivated witnessed experiment and modest assent. Merian joined patient husbandry to synthetic image. Each arrangement stabilized knowledge differently.</w:t>
      </w:r>
    </w:p>
    <w:p w14:paraId="1F4A3694" w14:textId="77777777" w:rsidR="00367884" w:rsidRPr="00367884" w:rsidRDefault="00367884" w:rsidP="00367884">
      <w:pPr>
        <w:pStyle w:val="BookBody"/>
      </w:pPr>
      <w:r w:rsidRPr="00367884">
        <w:rPr>
          <w:szCs w:val="28"/>
        </w:rPr>
        <w:t>Their plurality matters. There was no single “scientific method” descending intact upon Europe. There were interacting disciplines of credibility. Astronomy privileged position and prediction. Microscopy privileged trained discrimination among artifacts. Experimental philosophy privileged contrived trials and collective witness. Natural history privileged sustained acquaintance, collection, and visual comparison. They borrowed from one another without becoming identical.</w:t>
      </w:r>
    </w:p>
    <w:p w14:paraId="7D1C8BC0" w14:textId="77777777" w:rsidR="00367884" w:rsidRPr="00367884" w:rsidRDefault="00367884" w:rsidP="00367884">
      <w:pPr>
        <w:pStyle w:val="BookBody"/>
      </w:pPr>
      <w:r w:rsidRPr="00367884">
        <w:rPr>
          <w:szCs w:val="28"/>
        </w:rPr>
        <w:t>Nor did the new disciplines eliminate older virtues. Wonder remained productive; craft remained indispensable; patronage and commerce still moved knowledge; theological interpretation persisted. The instrumented world was assembled within the living cosmos before it became a means of undoing that cosmos. Its novelty lay in creating durable routes from sensation to public claim.</w:t>
      </w:r>
    </w:p>
    <w:p w14:paraId="4B2A4999" w14:textId="77777777" w:rsidR="00367884" w:rsidRPr="00367884" w:rsidRDefault="00367884" w:rsidP="00367884">
      <w:pPr>
        <w:pStyle w:val="BookBody"/>
      </w:pPr>
      <w:r w:rsidRPr="00367884">
        <w:rPr>
          <w:szCs w:val="28"/>
        </w:rPr>
        <w:t>Over time, those routes altered what could plausibly count as real. Properties accessible to calibrated intervention gained authority. Hidden causes were increasingly judged by observable effects. Regularity across trials became more persuasive than inherited correspondence. The investigator learned to prefer an operation that could be specified over an analogy that could be multiplied. The shift was gradual, contested, and never complete, but it changed the center of gravity.</w:t>
      </w:r>
    </w:p>
    <w:p w14:paraId="30564E5F" w14:textId="77777777" w:rsidR="00367884" w:rsidRPr="00367884" w:rsidRDefault="00367884" w:rsidP="00367884">
      <w:pPr>
        <w:pStyle w:val="BookBody"/>
      </w:pPr>
      <w:r w:rsidRPr="00367884">
        <w:rPr>
          <w:szCs w:val="28"/>
        </w:rPr>
        <w:t>The eye remained in the system, though no longer sovereign. It was corrected by glass, guided by diagrams, checked by other eyes, and disciplined by sequences. The observer’s freedom became both a resource and a danger. Skill was necessary; willfulness had to be restrained. Later centuries would dream of instruments that recorded without judgment. The seventeenth century more candidly inhabited the uneasy dependence of knowledge on trained persons.</w:t>
      </w:r>
    </w:p>
    <w:p w14:paraId="7A09598A" w14:textId="77777777" w:rsidR="00367884" w:rsidRPr="00367884" w:rsidRDefault="00367884" w:rsidP="00367884">
      <w:pPr>
        <w:pStyle w:val="SectionHeading"/>
      </w:pPr>
      <w:r w:rsidRPr="00367884">
        <w:rPr>
          <w:bCs/>
          <w:szCs w:val="28"/>
        </w:rPr>
        <w:t>Matter Made Available</w:t>
      </w:r>
    </w:p>
    <w:p w14:paraId="53BD0AD4" w14:textId="77777777" w:rsidR="00367884" w:rsidRPr="00367884" w:rsidRDefault="00367884" w:rsidP="00367884">
      <w:pPr>
        <w:pStyle w:val="BookBody"/>
      </w:pPr>
      <w:r w:rsidRPr="00367884">
        <w:rPr>
          <w:szCs w:val="28"/>
        </w:rPr>
        <w:t>By the end of this chapter’s story, nature had become newly available. The Moon could be treated as measurable surface; an insect as articulated structure and developmental sequence; air as an agent whose effects could be varied; an observation as an image or narrative capable of traveling. Availability meant more than visibility. It meant that phenomena could be isolated, manipulated, represented, and entered into collective judgment.</w:t>
      </w:r>
    </w:p>
    <w:p w14:paraId="16553F0F" w14:textId="77777777" w:rsidR="00367884" w:rsidRPr="00367884" w:rsidRDefault="00367884" w:rsidP="00367884">
      <w:pPr>
        <w:pStyle w:val="BookBody"/>
      </w:pPr>
      <w:r w:rsidRPr="00367884">
        <w:rPr>
          <w:szCs w:val="28"/>
        </w:rPr>
        <w:t>This achievement enlarged reality. It added moons, microscopic structures, aerial effects, and life histories to the domain of disciplined knowledge. It also thinned experience in specific ways. The sound, color, vitality, and purpose of things were increasingly required to pass through controlled operations. Qualities that could not be stabilized were vulnerable to demotion. The world became richer in disclosed detail and poorer in unquestioned meaning.</w:t>
      </w:r>
    </w:p>
    <w:p w14:paraId="5F60E655" w14:textId="77777777" w:rsidR="00367884" w:rsidRPr="00367884" w:rsidRDefault="00367884" w:rsidP="00367884">
      <w:pPr>
        <w:pStyle w:val="BookBody"/>
      </w:pPr>
      <w:r w:rsidRPr="00367884">
        <w:rPr>
          <w:szCs w:val="28"/>
        </w:rPr>
        <w:t>The instrumented world thus joined the displacement described in Chapter 13 to a new practice of making. Copernican and Keplerian astronomy had reorganized the architecture of the heavens; telescopes, microscopes, pumps, and plates reorganized the architecture of evidence. The cosmos was no longer only contemplated as an order. It was probed through devices that intervened in the conditions of appearance.</w:t>
      </w:r>
    </w:p>
    <w:p w14:paraId="23713A73" w14:textId="77777777" w:rsidR="00367884" w:rsidRPr="00367884" w:rsidRDefault="00367884" w:rsidP="00367884">
      <w:pPr>
        <w:pStyle w:val="BookBody"/>
      </w:pPr>
      <w:r w:rsidRPr="00367884">
        <w:rPr>
          <w:szCs w:val="28"/>
        </w:rPr>
        <w:t>That intervention prepared the next transformation. Once nature could be broken into controlled situations, rendered as measurable relations, and made to answer through apparatus, a mechanical image of reality gained extraordinary plausibility. Matter seemed increasingly intelligible as extension, motion, impact, pressure, texture, and arrangement. Organisms and observers might still exceed that vocabulary, but the burden of explanation was shifting.</w:t>
      </w:r>
    </w:p>
    <w:p w14:paraId="49DC1303" w14:textId="77777777" w:rsidR="00367884" w:rsidRPr="00367884" w:rsidRDefault="00367884" w:rsidP="00367884">
      <w:pPr>
        <w:pStyle w:val="BookBody"/>
      </w:pPr>
      <w:r w:rsidRPr="00367884">
        <w:rPr>
          <w:szCs w:val="28"/>
        </w:rPr>
        <w:t>The next chapter turns from instruments to the ontology they helped authorize. It asks how method, mechanism, and the dream of mastery converted an instrumented nature into a world of matter available for prediction and control. The lens and pump did not by themselves kill the living cosmos. They built the disciplined spaces in which its life could be redescribed as mechanism.</w:t>
      </w:r>
    </w:p>
    <w:p w14:paraId="1AD22DA3" w14:textId="77777777" w:rsidR="00367884" w:rsidRPr="00367884" w:rsidRDefault="00367884" w:rsidP="00367884">
      <w:pPr>
        <w:pStyle w:val="NotesHeading"/>
      </w:pPr>
      <w:r w:rsidRPr="00367884">
        <w:rPr>
          <w:bCs/>
          <w:szCs w:val="28"/>
        </w:rPr>
        <w:t>Notes</w:t>
      </w:r>
    </w:p>
    <w:p w14:paraId="0C2D8E00" w14:textId="77777777" w:rsidR="00367884" w:rsidRPr="00367884" w:rsidRDefault="00367884" w:rsidP="00367884">
      <w:pPr>
        <w:pStyle w:val="NoteEntry"/>
      </w:pPr>
      <w:r w:rsidRPr="00367884">
        <w:rPr>
          <w:szCs w:val="28"/>
        </w:rPr>
        <w:t xml:space="preserve">1. Galileo Galilei, “The Starry Messenger,” in </w:t>
      </w:r>
      <w:r w:rsidRPr="00367884">
        <w:rPr>
          <w:i/>
          <w:szCs w:val="28"/>
        </w:rPr>
        <w:t>Discoveries and Opinions of Galileo</w:t>
      </w:r>
      <w:r w:rsidRPr="00367884">
        <w:rPr>
          <w:szCs w:val="28"/>
        </w:rPr>
        <w:t xml:space="preserve">, trans. Stillman Drake (New York: Doubleday Anchor, 1957), 21–58; Albert Van Helden, </w:t>
      </w:r>
      <w:r w:rsidRPr="00367884">
        <w:rPr>
          <w:i/>
          <w:szCs w:val="28"/>
        </w:rPr>
        <w:t>Measuring the Universe: Cosmic Dimensions from Aristarchus to Halley</w:t>
      </w:r>
      <w:r w:rsidRPr="00367884">
        <w:rPr>
          <w:szCs w:val="28"/>
        </w:rPr>
        <w:t xml:space="preserve"> (Chicago: University of Chicago Press, 1985), 82–90.</w:t>
      </w:r>
    </w:p>
    <w:p w14:paraId="4AAD49ED" w14:textId="77777777" w:rsidR="00367884" w:rsidRPr="00367884" w:rsidRDefault="00367884" w:rsidP="00367884">
      <w:pPr>
        <w:pStyle w:val="NoteEntry"/>
      </w:pPr>
      <w:r w:rsidRPr="00367884">
        <w:rPr>
          <w:szCs w:val="28"/>
        </w:rPr>
        <w:t xml:space="preserve">2. Mario Biagioli, </w:t>
      </w:r>
      <w:r w:rsidRPr="00367884">
        <w:rPr>
          <w:i/>
          <w:szCs w:val="28"/>
        </w:rPr>
        <w:t>Galileo’s Instruments of Credit: Telescopes, Images, Secrecy</w:t>
      </w:r>
      <w:r w:rsidRPr="00367884">
        <w:rPr>
          <w:szCs w:val="28"/>
        </w:rPr>
        <w:t xml:space="preserve"> (Chicago: University of Chicago Press, 2006), 95–134; Eileen Reeves, </w:t>
      </w:r>
      <w:r w:rsidRPr="00367884">
        <w:rPr>
          <w:i/>
          <w:szCs w:val="28"/>
        </w:rPr>
        <w:t>Galileo’s Glassworks: The Telescope and the Mirror</w:t>
      </w:r>
      <w:r w:rsidRPr="00367884">
        <w:rPr>
          <w:szCs w:val="28"/>
        </w:rPr>
        <w:t xml:space="preserve"> (Cambridge, MA: Harvard University Press, 2008), 1–46.</w:t>
      </w:r>
    </w:p>
    <w:p w14:paraId="74F9DE37" w14:textId="77777777" w:rsidR="00367884" w:rsidRPr="00367884" w:rsidRDefault="00367884" w:rsidP="00367884">
      <w:pPr>
        <w:pStyle w:val="NoteEntry"/>
      </w:pPr>
      <w:r w:rsidRPr="00367884">
        <w:rPr>
          <w:szCs w:val="28"/>
        </w:rPr>
        <w:t xml:space="preserve">3. Galileo Galilei, </w:t>
      </w:r>
      <w:r w:rsidRPr="00367884">
        <w:rPr>
          <w:i/>
          <w:szCs w:val="28"/>
        </w:rPr>
        <w:t>Sidereus Nuncius</w:t>
      </w:r>
      <w:r w:rsidRPr="00367884">
        <w:rPr>
          <w:szCs w:val="28"/>
        </w:rPr>
        <w:t xml:space="preserve"> (Venice, 1610), 7–10; Biagioli, </w:t>
      </w:r>
      <w:r w:rsidRPr="00367884">
        <w:rPr>
          <w:i/>
          <w:szCs w:val="28"/>
        </w:rPr>
        <w:t>Galileo’s Instruments of Credit</w:t>
      </w:r>
      <w:r w:rsidRPr="00367884">
        <w:rPr>
          <w:szCs w:val="28"/>
        </w:rPr>
        <w:t>, 135–83.</w:t>
      </w:r>
    </w:p>
    <w:p w14:paraId="30CECB02" w14:textId="77777777" w:rsidR="00367884" w:rsidRPr="00367884" w:rsidRDefault="00367884" w:rsidP="00367884">
      <w:pPr>
        <w:pStyle w:val="NoteEntry"/>
      </w:pPr>
      <w:r w:rsidRPr="00367884">
        <w:rPr>
          <w:szCs w:val="28"/>
        </w:rPr>
        <w:t xml:space="preserve">4. Reeves, </w:t>
      </w:r>
      <w:r w:rsidRPr="00367884">
        <w:rPr>
          <w:i/>
          <w:szCs w:val="28"/>
        </w:rPr>
        <w:t>Galileo’s Glassworks</w:t>
      </w:r>
      <w:r w:rsidRPr="00367884">
        <w:rPr>
          <w:szCs w:val="28"/>
        </w:rPr>
        <w:t xml:space="preserve">, 1–46; Biagioli, </w:t>
      </w:r>
      <w:r w:rsidRPr="00367884">
        <w:rPr>
          <w:i/>
          <w:szCs w:val="28"/>
        </w:rPr>
        <w:t>Galileo’s Instruments of Credit</w:t>
      </w:r>
      <w:r w:rsidRPr="00367884">
        <w:rPr>
          <w:szCs w:val="28"/>
        </w:rPr>
        <w:t>, 77–101.</w:t>
      </w:r>
    </w:p>
    <w:p w14:paraId="084EDC47" w14:textId="77777777" w:rsidR="00367884" w:rsidRPr="00367884" w:rsidRDefault="00367884" w:rsidP="00367884">
      <w:pPr>
        <w:pStyle w:val="NoteEntry"/>
      </w:pPr>
      <w:r w:rsidRPr="00367884">
        <w:rPr>
          <w:szCs w:val="28"/>
        </w:rPr>
        <w:t xml:space="preserve">5. Biagioli, </w:t>
      </w:r>
      <w:r w:rsidRPr="00367884">
        <w:rPr>
          <w:i/>
          <w:szCs w:val="28"/>
        </w:rPr>
        <w:t>Galileo’s Instruments of Credit</w:t>
      </w:r>
      <w:r w:rsidRPr="00367884">
        <w:rPr>
          <w:szCs w:val="28"/>
        </w:rPr>
        <w:t>, 19–76, 135–218.</w:t>
      </w:r>
    </w:p>
    <w:p w14:paraId="54654D62" w14:textId="77777777" w:rsidR="00367884" w:rsidRPr="00367884" w:rsidRDefault="00367884" w:rsidP="00367884">
      <w:pPr>
        <w:pStyle w:val="NoteEntry"/>
      </w:pPr>
      <w:r w:rsidRPr="00367884">
        <w:rPr>
          <w:szCs w:val="28"/>
        </w:rPr>
        <w:t xml:space="preserve">6. Biagioli, </w:t>
      </w:r>
      <w:r w:rsidRPr="00367884">
        <w:rPr>
          <w:i/>
          <w:szCs w:val="28"/>
        </w:rPr>
        <w:t>Galileo’s Instruments of Credit</w:t>
      </w:r>
      <w:r w:rsidRPr="00367884">
        <w:rPr>
          <w:szCs w:val="28"/>
        </w:rPr>
        <w:t xml:space="preserve">, 95–134; Reeves, </w:t>
      </w:r>
      <w:r w:rsidRPr="00367884">
        <w:rPr>
          <w:i/>
          <w:szCs w:val="28"/>
        </w:rPr>
        <w:t>Galileo’s Glassworks</w:t>
      </w:r>
      <w:r w:rsidRPr="00367884">
        <w:rPr>
          <w:szCs w:val="28"/>
        </w:rPr>
        <w:t>, 46–86.</w:t>
      </w:r>
    </w:p>
    <w:p w14:paraId="4D568E47" w14:textId="77777777" w:rsidR="00367884" w:rsidRPr="00367884" w:rsidRDefault="00367884" w:rsidP="00367884">
      <w:pPr>
        <w:pStyle w:val="NoteEntry"/>
      </w:pPr>
      <w:r w:rsidRPr="00367884">
        <w:rPr>
          <w:szCs w:val="28"/>
        </w:rPr>
        <w:t xml:space="preserve">7. Galileo, “The Starry Messenger,” 40–58; Biagioli, </w:t>
      </w:r>
      <w:r w:rsidRPr="00367884">
        <w:rPr>
          <w:i/>
          <w:szCs w:val="28"/>
        </w:rPr>
        <w:t>Galileo’s Instruments of Credit</w:t>
      </w:r>
      <w:r w:rsidRPr="00367884">
        <w:rPr>
          <w:szCs w:val="28"/>
        </w:rPr>
        <w:t>, 113–34.</w:t>
      </w:r>
    </w:p>
    <w:p w14:paraId="0C9D264B" w14:textId="77777777" w:rsidR="00367884" w:rsidRPr="00367884" w:rsidRDefault="00367884" w:rsidP="00367884">
      <w:pPr>
        <w:pStyle w:val="NoteEntry"/>
      </w:pPr>
      <w:r w:rsidRPr="00367884">
        <w:rPr>
          <w:szCs w:val="28"/>
        </w:rPr>
        <w:t xml:space="preserve">8. Galileo, “The Starry Messenger,” 26–39; Van Helden, </w:t>
      </w:r>
      <w:r w:rsidRPr="00367884">
        <w:rPr>
          <w:i/>
          <w:szCs w:val="28"/>
        </w:rPr>
        <w:t>Measuring the Universe</w:t>
      </w:r>
      <w:r w:rsidRPr="00367884">
        <w:rPr>
          <w:szCs w:val="28"/>
        </w:rPr>
        <w:t>, 82–90.</w:t>
      </w:r>
    </w:p>
    <w:p w14:paraId="03D2BF53" w14:textId="77777777" w:rsidR="00367884" w:rsidRPr="00367884" w:rsidRDefault="00367884" w:rsidP="00367884">
      <w:pPr>
        <w:pStyle w:val="NoteEntry"/>
      </w:pPr>
      <w:r w:rsidRPr="00367884">
        <w:rPr>
          <w:szCs w:val="28"/>
        </w:rPr>
        <w:t xml:space="preserve">9. Galileo Galilei, “The Assayer,” in </w:t>
      </w:r>
      <w:r w:rsidRPr="00367884">
        <w:rPr>
          <w:i/>
          <w:szCs w:val="28"/>
        </w:rPr>
        <w:t>Discoveries and Opinions of Galileo</w:t>
      </w:r>
      <w:r w:rsidRPr="00367884">
        <w:rPr>
          <w:szCs w:val="28"/>
        </w:rPr>
        <w:t>, trans. Stillman Drake (New York: Doubleday Anchor, 1957), 229–80, at 237–38.</w:t>
      </w:r>
    </w:p>
    <w:p w14:paraId="47028FD8" w14:textId="77777777" w:rsidR="00367884" w:rsidRPr="00367884" w:rsidRDefault="00367884" w:rsidP="00367884">
      <w:pPr>
        <w:pStyle w:val="NoteEntry"/>
      </w:pPr>
      <w:r w:rsidRPr="00367884">
        <w:rPr>
          <w:szCs w:val="28"/>
        </w:rPr>
        <w:t xml:space="preserve">10. Lorraine Daston and Peter Galison, </w:t>
      </w:r>
      <w:r w:rsidRPr="00367884">
        <w:rPr>
          <w:i/>
          <w:szCs w:val="28"/>
        </w:rPr>
        <w:t>Objectivity</w:t>
      </w:r>
      <w:r w:rsidRPr="00367884">
        <w:rPr>
          <w:szCs w:val="28"/>
        </w:rPr>
        <w:t xml:space="preserve"> (New York: Zone Books, 2007), 17–54, 115–90. Their chronology is essential: seventeenth-century expert selection should not be collapsed into the nineteenth-century ideal of mechanical objectivity.</w:t>
      </w:r>
    </w:p>
    <w:p w14:paraId="48553041" w14:textId="77777777" w:rsidR="00367884" w:rsidRPr="00367884" w:rsidRDefault="00367884" w:rsidP="00367884">
      <w:pPr>
        <w:pStyle w:val="NoteEntry"/>
      </w:pPr>
      <w:r w:rsidRPr="00367884">
        <w:rPr>
          <w:szCs w:val="28"/>
        </w:rPr>
        <w:t xml:space="preserve">11. Robert Hooke, </w:t>
      </w:r>
      <w:r w:rsidRPr="00367884">
        <w:rPr>
          <w:i/>
          <w:szCs w:val="28"/>
        </w:rPr>
        <w:t>Micrographia: Or Some Physiological Descriptions of Minute Bodies Made by Magnifying Glasses</w:t>
      </w:r>
      <w:r w:rsidRPr="00367884">
        <w:rPr>
          <w:szCs w:val="28"/>
        </w:rPr>
        <w:t xml:space="preserve"> (London: Royal Society, 1665), preface and observations I, XVIII, and XXXVIII–XLIV; Catherine Wilson, </w:t>
      </w:r>
      <w:r w:rsidRPr="00367884">
        <w:rPr>
          <w:i/>
          <w:szCs w:val="28"/>
        </w:rPr>
        <w:t>The Invisible World: Early Modern Philosophy and the Invention of the Microscope</w:t>
      </w:r>
      <w:r w:rsidRPr="00367884">
        <w:rPr>
          <w:szCs w:val="28"/>
        </w:rPr>
        <w:t xml:space="preserve"> (Princeton: Princeton University Press, 1995), 64–96.</w:t>
      </w:r>
    </w:p>
    <w:p w14:paraId="0728FED7" w14:textId="77777777" w:rsidR="00367884" w:rsidRPr="00367884" w:rsidRDefault="00367884" w:rsidP="00367884">
      <w:pPr>
        <w:pStyle w:val="NoteEntry"/>
      </w:pPr>
      <w:r w:rsidRPr="00367884">
        <w:rPr>
          <w:szCs w:val="28"/>
        </w:rPr>
        <w:t xml:space="preserve">12. Edward G. Ruestow, </w:t>
      </w:r>
      <w:r w:rsidRPr="00367884">
        <w:rPr>
          <w:i/>
          <w:szCs w:val="28"/>
        </w:rPr>
        <w:t>The Microscope in the Dutch Republic: The Shaping of Discovery</w:t>
      </w:r>
      <w:r w:rsidRPr="00367884">
        <w:rPr>
          <w:szCs w:val="28"/>
        </w:rPr>
        <w:t xml:space="preserve"> (Cambridge: Cambridge University Press, 1996), 1–35, 119–75; Wilson, </w:t>
      </w:r>
      <w:r w:rsidRPr="00367884">
        <w:rPr>
          <w:i/>
          <w:szCs w:val="28"/>
        </w:rPr>
        <w:t>The Invisible World</w:t>
      </w:r>
      <w:r w:rsidRPr="00367884">
        <w:rPr>
          <w:szCs w:val="28"/>
        </w:rPr>
        <w:t>, 37–96.</w:t>
      </w:r>
    </w:p>
    <w:p w14:paraId="4AC52DAF" w14:textId="77777777" w:rsidR="00367884" w:rsidRPr="00367884" w:rsidRDefault="00367884" w:rsidP="00367884">
      <w:pPr>
        <w:pStyle w:val="NoteEntry"/>
      </w:pPr>
      <w:r w:rsidRPr="00367884">
        <w:rPr>
          <w:szCs w:val="28"/>
        </w:rPr>
        <w:t xml:space="preserve">13. Sachiko Kusukawa, </w:t>
      </w:r>
      <w:r w:rsidRPr="00367884">
        <w:rPr>
          <w:i/>
          <w:szCs w:val="28"/>
        </w:rPr>
        <w:t>Picturing the Book of Nature: Image, Text, and Argument in Sixteenth-Century Human Anatomy and Medical Botany</w:t>
      </w:r>
      <w:r w:rsidRPr="00367884">
        <w:rPr>
          <w:szCs w:val="28"/>
        </w:rPr>
        <w:t xml:space="preserve"> (Chicago: University of Chicago Press, 2012), 1–49, 228–58.</w:t>
      </w:r>
    </w:p>
    <w:p w14:paraId="09767988" w14:textId="77777777" w:rsidR="00367884" w:rsidRPr="00367884" w:rsidRDefault="00367884" w:rsidP="00367884">
      <w:pPr>
        <w:pStyle w:val="NoteEntry"/>
      </w:pPr>
      <w:r w:rsidRPr="00367884">
        <w:rPr>
          <w:szCs w:val="28"/>
        </w:rPr>
        <w:t xml:space="preserve">14. Robert Boyle, </w:t>
      </w:r>
      <w:r w:rsidRPr="00367884">
        <w:rPr>
          <w:i/>
          <w:szCs w:val="28"/>
        </w:rPr>
        <w:t>New Experiments Physico-Mechanical, Touching the Spring of the Air</w:t>
      </w:r>
      <w:r w:rsidRPr="00367884">
        <w:rPr>
          <w:szCs w:val="28"/>
        </w:rPr>
        <w:t xml:space="preserve"> (Oxford, 1660); Steven Shapin and Simon Schaffer, </w:t>
      </w:r>
      <w:r w:rsidRPr="00367884">
        <w:rPr>
          <w:i/>
          <w:szCs w:val="28"/>
        </w:rPr>
        <w:t>Leviathan and the Air-Pump: Hobbes, Boyle, and the Experimental Life</w:t>
      </w:r>
      <w:r w:rsidRPr="00367884">
        <w:rPr>
          <w:szCs w:val="28"/>
        </w:rPr>
        <w:t xml:space="preserve"> (Princeton: Princeton University Press, 1985), 22–79.</w:t>
      </w:r>
    </w:p>
    <w:p w14:paraId="2120F98D" w14:textId="77777777" w:rsidR="00367884" w:rsidRPr="00367884" w:rsidRDefault="00367884" w:rsidP="00367884">
      <w:pPr>
        <w:pStyle w:val="NoteEntry"/>
      </w:pPr>
      <w:r w:rsidRPr="00367884">
        <w:rPr>
          <w:szCs w:val="28"/>
        </w:rPr>
        <w:t xml:space="preserve">15. Shapin and Schaffer, </w:t>
      </w:r>
      <w:r w:rsidRPr="00367884">
        <w:rPr>
          <w:i/>
          <w:szCs w:val="28"/>
        </w:rPr>
        <w:t>Leviathan and the Air-Pump</w:t>
      </w:r>
      <w:r w:rsidRPr="00367884">
        <w:rPr>
          <w:szCs w:val="28"/>
        </w:rPr>
        <w:t xml:space="preserve">, 36–79; Robert Boyle, </w:t>
      </w:r>
      <w:r w:rsidRPr="00367884">
        <w:rPr>
          <w:i/>
          <w:szCs w:val="28"/>
        </w:rPr>
        <w:t>A Continuation of New Experiments Physico-Mechanical, Touching the Spring and Weight of the Air</w:t>
      </w:r>
      <w:r w:rsidRPr="00367884">
        <w:rPr>
          <w:szCs w:val="28"/>
        </w:rPr>
        <w:t xml:space="preserve"> (Oxford, 1669).</w:t>
      </w:r>
    </w:p>
    <w:p w14:paraId="091250F8" w14:textId="77777777" w:rsidR="00367884" w:rsidRPr="00367884" w:rsidRDefault="00367884" w:rsidP="00367884">
      <w:pPr>
        <w:pStyle w:val="NoteEntry"/>
      </w:pPr>
      <w:r w:rsidRPr="00367884">
        <w:rPr>
          <w:szCs w:val="28"/>
        </w:rPr>
        <w:t xml:space="preserve">16. Peter Dear, </w:t>
      </w:r>
      <w:r w:rsidRPr="00367884">
        <w:rPr>
          <w:i/>
          <w:szCs w:val="28"/>
        </w:rPr>
        <w:t>Discipline and Experience: The Mathematical Way in the Scientific Revolution</w:t>
      </w:r>
      <w:r w:rsidRPr="00367884">
        <w:rPr>
          <w:szCs w:val="28"/>
        </w:rPr>
        <w:t xml:space="preserve"> (Chicago: University of Chicago Press, 1995), 1–10, 151–209.</w:t>
      </w:r>
    </w:p>
    <w:p w14:paraId="1EB8FD28" w14:textId="77777777" w:rsidR="00367884" w:rsidRPr="00367884" w:rsidRDefault="00367884" w:rsidP="00367884">
      <w:pPr>
        <w:pStyle w:val="NoteEntry"/>
      </w:pPr>
      <w:r w:rsidRPr="00367884">
        <w:rPr>
          <w:szCs w:val="28"/>
        </w:rPr>
        <w:t xml:space="preserve">17. Shapin and Schaffer, </w:t>
      </w:r>
      <w:r w:rsidRPr="00367884">
        <w:rPr>
          <w:i/>
          <w:szCs w:val="28"/>
        </w:rPr>
        <w:t>Leviathan and the Air-Pump</w:t>
      </w:r>
      <w:r w:rsidRPr="00367884">
        <w:rPr>
          <w:szCs w:val="28"/>
        </w:rPr>
        <w:t>, 25–26.</w:t>
      </w:r>
    </w:p>
    <w:p w14:paraId="39D4B0D0" w14:textId="77777777" w:rsidR="00367884" w:rsidRPr="00367884" w:rsidRDefault="00367884" w:rsidP="00367884">
      <w:pPr>
        <w:pStyle w:val="NoteEntry"/>
      </w:pPr>
      <w:r w:rsidRPr="00367884">
        <w:rPr>
          <w:szCs w:val="28"/>
        </w:rPr>
        <w:t xml:space="preserve">18. Shapin and Schaffer, </w:t>
      </w:r>
      <w:r w:rsidRPr="00367884">
        <w:rPr>
          <w:i/>
          <w:szCs w:val="28"/>
        </w:rPr>
        <w:t>Leviathan and the Air-Pump</w:t>
      </w:r>
      <w:r w:rsidRPr="00367884">
        <w:rPr>
          <w:szCs w:val="28"/>
        </w:rPr>
        <w:t xml:space="preserve">, 60–65; Steven Shapin, </w:t>
      </w:r>
      <w:r w:rsidRPr="00367884">
        <w:rPr>
          <w:i/>
          <w:szCs w:val="28"/>
        </w:rPr>
        <w:t>A Social History of Truth: Civility and Science in Seventeenth-Century England</w:t>
      </w:r>
      <w:r w:rsidRPr="00367884">
        <w:rPr>
          <w:szCs w:val="28"/>
        </w:rPr>
        <w:t xml:space="preserve"> (Chicago: University of Chicago Press, 1994), 193–242.</w:t>
      </w:r>
    </w:p>
    <w:p w14:paraId="2F8FE7C4" w14:textId="77777777" w:rsidR="00367884" w:rsidRPr="00367884" w:rsidRDefault="00367884" w:rsidP="00367884">
      <w:pPr>
        <w:pStyle w:val="NoteEntry"/>
      </w:pPr>
      <w:r w:rsidRPr="00367884">
        <w:rPr>
          <w:szCs w:val="28"/>
        </w:rPr>
        <w:t xml:space="preserve">19. Shapin and Schaffer, </w:t>
      </w:r>
      <w:r w:rsidRPr="00367884">
        <w:rPr>
          <w:i/>
          <w:szCs w:val="28"/>
        </w:rPr>
        <w:t>Leviathan and the Air-Pump</w:t>
      </w:r>
      <w:r w:rsidRPr="00367884">
        <w:rPr>
          <w:szCs w:val="28"/>
        </w:rPr>
        <w:t>, 80–154, 225–82.</w:t>
      </w:r>
    </w:p>
    <w:p w14:paraId="3EBB19A1" w14:textId="77777777" w:rsidR="00367884" w:rsidRPr="00367884" w:rsidRDefault="00367884" w:rsidP="00367884">
      <w:pPr>
        <w:pStyle w:val="NoteEntry"/>
      </w:pPr>
      <w:r w:rsidRPr="00367884">
        <w:rPr>
          <w:szCs w:val="28"/>
        </w:rPr>
        <w:t xml:space="preserve">20. Shapin, </w:t>
      </w:r>
      <w:r w:rsidRPr="00367884">
        <w:rPr>
          <w:i/>
          <w:szCs w:val="28"/>
        </w:rPr>
        <w:t>A Social History of Truth</w:t>
      </w:r>
      <w:r w:rsidRPr="00367884">
        <w:rPr>
          <w:szCs w:val="28"/>
        </w:rPr>
        <w:t>, xxv–xxxi, 3–41, 65–125, 193–242.</w:t>
      </w:r>
    </w:p>
    <w:p w14:paraId="2AD2FDA5" w14:textId="77777777" w:rsidR="00367884" w:rsidRPr="00367884" w:rsidRDefault="00367884" w:rsidP="00367884">
      <w:pPr>
        <w:pStyle w:val="NoteEntry"/>
      </w:pPr>
      <w:r w:rsidRPr="00367884">
        <w:rPr>
          <w:szCs w:val="28"/>
        </w:rPr>
        <w:t xml:space="preserve">21. Ella Reitsma, </w:t>
      </w:r>
      <w:r w:rsidRPr="00367884">
        <w:rPr>
          <w:i/>
          <w:szCs w:val="28"/>
        </w:rPr>
        <w:t>Maria Sibylla Merian and Daughters: Women of Art and Science</w:t>
      </w:r>
      <w:r w:rsidRPr="00367884">
        <w:rPr>
          <w:szCs w:val="28"/>
        </w:rPr>
        <w:t xml:space="preserve"> (Los Angeles: J. Paul Getty Museum, 2008), 11–16, 67–74; Kay Etheridge, </w:t>
      </w:r>
      <w:r w:rsidRPr="00367884">
        <w:rPr>
          <w:i/>
          <w:szCs w:val="28"/>
        </w:rPr>
        <w:t>The Flowering of Ecology: Maria Sibylla Merian’s Caterpillar Book</w:t>
      </w:r>
      <w:r w:rsidRPr="00367884">
        <w:rPr>
          <w:szCs w:val="28"/>
        </w:rPr>
        <w:t xml:space="preserve"> (Leiden: Brill, 2021), 1–38.</w:t>
      </w:r>
    </w:p>
    <w:p w14:paraId="7B5979B4" w14:textId="77777777" w:rsidR="00367884" w:rsidRPr="00367884" w:rsidRDefault="00367884" w:rsidP="00367884">
      <w:pPr>
        <w:pStyle w:val="NoteEntry"/>
      </w:pPr>
      <w:r w:rsidRPr="00367884">
        <w:rPr>
          <w:szCs w:val="28"/>
        </w:rPr>
        <w:t xml:space="preserve">22. Etheridge, </w:t>
      </w:r>
      <w:r w:rsidRPr="00367884">
        <w:rPr>
          <w:i/>
          <w:szCs w:val="28"/>
        </w:rPr>
        <w:t>The Flowering of Ecology</w:t>
      </w:r>
      <w:r w:rsidRPr="00367884">
        <w:rPr>
          <w:szCs w:val="28"/>
        </w:rPr>
        <w:t xml:space="preserve">, 39–93; Janice Neri, </w:t>
      </w:r>
      <w:r w:rsidRPr="00367884">
        <w:rPr>
          <w:i/>
          <w:szCs w:val="28"/>
        </w:rPr>
        <w:t>The Insect and the Image: Visualizing Nature in Early Modern Europe, 1500–1700</w:t>
      </w:r>
      <w:r w:rsidRPr="00367884">
        <w:rPr>
          <w:szCs w:val="28"/>
        </w:rPr>
        <w:t xml:space="preserve"> (Minneapolis: University of Minnesota Press, 2011), 137–82.</w:t>
      </w:r>
    </w:p>
    <w:p w14:paraId="329EFBA2" w14:textId="77777777" w:rsidR="00367884" w:rsidRPr="00367884" w:rsidRDefault="00367884" w:rsidP="00367884">
      <w:pPr>
        <w:pStyle w:val="NoteEntry"/>
      </w:pPr>
      <w:r w:rsidRPr="00367884">
        <w:rPr>
          <w:szCs w:val="28"/>
        </w:rPr>
        <w:t xml:space="preserve">23. Reitsma, </w:t>
      </w:r>
      <w:r w:rsidRPr="00367884">
        <w:rPr>
          <w:i/>
          <w:szCs w:val="28"/>
        </w:rPr>
        <w:t>Maria Sibylla Merian and Daughters</w:t>
      </w:r>
      <w:r w:rsidRPr="00367884">
        <w:rPr>
          <w:szCs w:val="28"/>
        </w:rPr>
        <w:t xml:space="preserve">, 17; Maria Sibylla Merian, </w:t>
      </w:r>
      <w:r w:rsidRPr="00367884">
        <w:rPr>
          <w:i/>
          <w:szCs w:val="28"/>
        </w:rPr>
        <w:t>Metamorphosis insectorum Surinamensium</w:t>
      </w:r>
      <w:r w:rsidRPr="00367884">
        <w:rPr>
          <w:szCs w:val="28"/>
        </w:rPr>
        <w:t xml:space="preserve"> (Amsterdam, 1705).</w:t>
      </w:r>
    </w:p>
    <w:p w14:paraId="18283877" w14:textId="77777777" w:rsidR="00367884" w:rsidRPr="00367884" w:rsidRDefault="00367884" w:rsidP="00367884">
      <w:pPr>
        <w:pStyle w:val="NoteEntry"/>
      </w:pPr>
      <w:r w:rsidRPr="00367884">
        <w:rPr>
          <w:szCs w:val="28"/>
        </w:rPr>
        <w:t xml:space="preserve">24. Natalie Zemon Davis, </w:t>
      </w:r>
      <w:r w:rsidRPr="00367884">
        <w:rPr>
          <w:i/>
          <w:szCs w:val="28"/>
        </w:rPr>
        <w:t>Women on the Margins: Three Seventeenth-Century Lives</w:t>
      </w:r>
      <w:r w:rsidRPr="00367884">
        <w:rPr>
          <w:szCs w:val="28"/>
        </w:rPr>
        <w:t xml:space="preserve"> (Cambridge, MA: Harvard University Press, 1995), 140–214; Reitsma, </w:t>
      </w:r>
      <w:r w:rsidRPr="00367884">
        <w:rPr>
          <w:i/>
          <w:szCs w:val="28"/>
        </w:rPr>
        <w:t>Maria Sibylla Merian and Daughters</w:t>
      </w:r>
      <w:r w:rsidRPr="00367884">
        <w:rPr>
          <w:szCs w:val="28"/>
        </w:rPr>
        <w:t>, 169–224.</w:t>
      </w:r>
    </w:p>
    <w:p w14:paraId="5A0AF310" w14:textId="77777777" w:rsidR="00367884" w:rsidRPr="00367884" w:rsidRDefault="00367884" w:rsidP="00367884">
      <w:pPr>
        <w:pStyle w:val="NoteEntry"/>
      </w:pPr>
      <w:r w:rsidRPr="00367884">
        <w:rPr>
          <w:szCs w:val="28"/>
        </w:rPr>
        <w:t xml:space="preserve">25. Davis, </w:t>
      </w:r>
      <w:r w:rsidRPr="00367884">
        <w:rPr>
          <w:i/>
          <w:szCs w:val="28"/>
        </w:rPr>
        <w:t>Women on the Margins</w:t>
      </w:r>
      <w:r w:rsidRPr="00367884">
        <w:rPr>
          <w:szCs w:val="28"/>
        </w:rPr>
        <w:t>, 173–205.</w:t>
      </w:r>
    </w:p>
    <w:p w14:paraId="711B91BD" w14:textId="77777777" w:rsidR="00367884" w:rsidRPr="00367884" w:rsidRDefault="00367884" w:rsidP="00367884">
      <w:pPr>
        <w:pStyle w:val="NoteEntry"/>
      </w:pPr>
      <w:r w:rsidRPr="00367884">
        <w:rPr>
          <w:szCs w:val="28"/>
        </w:rPr>
        <w:t xml:space="preserve">26. Biagioli, </w:t>
      </w:r>
      <w:r w:rsidRPr="00367884">
        <w:rPr>
          <w:i/>
          <w:szCs w:val="28"/>
        </w:rPr>
        <w:t>Galileo’s Instruments of Credit</w:t>
      </w:r>
      <w:r w:rsidRPr="00367884">
        <w:rPr>
          <w:szCs w:val="28"/>
        </w:rPr>
        <w:t xml:space="preserve">, 95–134; Ruestow, </w:t>
      </w:r>
      <w:r w:rsidRPr="00367884">
        <w:rPr>
          <w:i/>
          <w:szCs w:val="28"/>
        </w:rPr>
        <w:t>Microscope in the Dutch Republic</w:t>
      </w:r>
      <w:r w:rsidRPr="00367884">
        <w:rPr>
          <w:szCs w:val="28"/>
        </w:rPr>
        <w:t xml:space="preserve">, 119–75; Shapin and Schaffer, </w:t>
      </w:r>
      <w:r w:rsidRPr="00367884">
        <w:rPr>
          <w:i/>
          <w:szCs w:val="28"/>
        </w:rPr>
        <w:t>Leviathan and the Air-Pump</w:t>
      </w:r>
      <w:r w:rsidRPr="00367884">
        <w:rPr>
          <w:szCs w:val="28"/>
        </w:rPr>
        <w:t>, 36–79.</w:t>
      </w:r>
    </w:p>
    <w:p w14:paraId="49B2F333" w14:textId="77777777" w:rsidR="00367884" w:rsidRPr="00367884" w:rsidRDefault="00367884" w:rsidP="00367884">
      <w:pPr>
        <w:pStyle w:val="NoteEntry"/>
      </w:pPr>
      <w:r w:rsidRPr="00367884">
        <w:rPr>
          <w:szCs w:val="28"/>
        </w:rPr>
        <w:t xml:space="preserve">27. Shapin and Schaffer, </w:t>
      </w:r>
      <w:r w:rsidRPr="00367884">
        <w:rPr>
          <w:i/>
          <w:szCs w:val="28"/>
        </w:rPr>
        <w:t>Leviathan and the Air-Pump</w:t>
      </w:r>
      <w:r w:rsidRPr="00367884">
        <w:rPr>
          <w:szCs w:val="28"/>
        </w:rPr>
        <w:t>, 36–79, 225–82.</w:t>
      </w:r>
    </w:p>
    <w:p w14:paraId="7128C8F6" w14:textId="77777777" w:rsidR="00367884" w:rsidRPr="00367884" w:rsidRDefault="00367884" w:rsidP="00367884">
      <w:pPr>
        <w:pStyle w:val="NoteEntry"/>
      </w:pPr>
      <w:r w:rsidRPr="00367884">
        <w:rPr>
          <w:szCs w:val="28"/>
        </w:rPr>
        <w:t xml:space="preserve">28. Etheridge, </w:t>
      </w:r>
      <w:r w:rsidRPr="00367884">
        <w:rPr>
          <w:i/>
          <w:szCs w:val="28"/>
        </w:rPr>
        <w:t>Flowering of Ecology</w:t>
      </w:r>
      <w:r w:rsidRPr="00367884">
        <w:rPr>
          <w:szCs w:val="28"/>
        </w:rPr>
        <w:t xml:space="preserve">, 39–93; Reitsma, </w:t>
      </w:r>
      <w:r w:rsidRPr="00367884">
        <w:rPr>
          <w:i/>
          <w:szCs w:val="28"/>
        </w:rPr>
        <w:t>Maria Sibylla Merian and Daughters</w:t>
      </w:r>
      <w:r w:rsidRPr="00367884">
        <w:rPr>
          <w:szCs w:val="28"/>
        </w:rPr>
        <w:t>, 67–74.</w:t>
      </w:r>
    </w:p>
    <w:p w14:paraId="44B2729D" w14:textId="77777777" w:rsidR="00367884" w:rsidRPr="00367884" w:rsidRDefault="00367884" w:rsidP="00367884">
      <w:pPr>
        <w:pStyle w:val="NoteEntry"/>
      </w:pPr>
      <w:r w:rsidRPr="00367884">
        <w:rPr>
          <w:szCs w:val="28"/>
        </w:rPr>
        <w:t xml:space="preserve">29. Shapin, </w:t>
      </w:r>
      <w:r w:rsidRPr="00367884">
        <w:rPr>
          <w:i/>
          <w:szCs w:val="28"/>
        </w:rPr>
        <w:t>Social History of Truth</w:t>
      </w:r>
      <w:r w:rsidRPr="00367884">
        <w:rPr>
          <w:szCs w:val="28"/>
        </w:rPr>
        <w:t xml:space="preserve">, 355–407; Ruestow, </w:t>
      </w:r>
      <w:r w:rsidRPr="00367884">
        <w:rPr>
          <w:i/>
          <w:szCs w:val="28"/>
        </w:rPr>
        <w:t>Microscope in the Dutch Republic</w:t>
      </w:r>
      <w:r w:rsidRPr="00367884">
        <w:rPr>
          <w:szCs w:val="28"/>
        </w:rPr>
        <w:t>, 119–75.</w:t>
      </w:r>
    </w:p>
    <w:p w14:paraId="0CE3C495" w14:textId="77777777" w:rsidR="00367884" w:rsidRPr="00367884" w:rsidRDefault="00367884" w:rsidP="00367884">
      <w:pPr>
        <w:pStyle w:val="NoteEntry"/>
      </w:pPr>
      <w:r w:rsidRPr="00367884">
        <w:rPr>
          <w:szCs w:val="28"/>
        </w:rPr>
        <w:t xml:space="preserve">30. Dear, </w:t>
      </w:r>
      <w:r w:rsidRPr="00367884">
        <w:rPr>
          <w:i/>
          <w:szCs w:val="28"/>
        </w:rPr>
        <w:t>Discipline and Experience</w:t>
      </w:r>
      <w:r w:rsidRPr="00367884">
        <w:rPr>
          <w:szCs w:val="28"/>
        </w:rPr>
        <w:t xml:space="preserve">, 151–209; Shapin and Schaffer, </w:t>
      </w:r>
      <w:r w:rsidRPr="00367884">
        <w:rPr>
          <w:i/>
          <w:szCs w:val="28"/>
        </w:rPr>
        <w:t>Leviathan and the Air-Pump</w:t>
      </w:r>
      <w:r w:rsidRPr="00367884">
        <w:rPr>
          <w:szCs w:val="28"/>
        </w:rPr>
        <w:t>, 22–79.</w:t>
      </w:r>
    </w:p>
    <w:p w14:paraId="18F94FEA" w14:textId="77777777" w:rsidR="00367884" w:rsidRPr="00367884" w:rsidRDefault="00367884" w:rsidP="00367884">
      <w:pPr>
        <w:pStyle w:val="NoteEntry"/>
      </w:pPr>
      <w:r w:rsidRPr="00367884">
        <w:rPr>
          <w:szCs w:val="28"/>
        </w:rPr>
        <w:t xml:space="preserve">31. David Freedberg, </w:t>
      </w:r>
      <w:r w:rsidRPr="00367884">
        <w:rPr>
          <w:i/>
          <w:szCs w:val="28"/>
        </w:rPr>
        <w:t>The Eye of the Lynx: Galileo, His Friends, and the Beginnings of Modern Natural History</w:t>
      </w:r>
      <w:r w:rsidRPr="00367884">
        <w:rPr>
          <w:szCs w:val="28"/>
        </w:rPr>
        <w:t xml:space="preserve"> (Chicago: University of Chicago Press, 2002), 101–91; Shapin, </w:t>
      </w:r>
      <w:r w:rsidRPr="00367884">
        <w:rPr>
          <w:i/>
          <w:szCs w:val="28"/>
        </w:rPr>
        <w:t>Social History of Truth</w:t>
      </w:r>
      <w:r w:rsidRPr="00367884">
        <w:rPr>
          <w:szCs w:val="28"/>
        </w:rPr>
        <w:t>, 193–242.</w:t>
      </w:r>
    </w:p>
    <w:p w14:paraId="2F7B77EF" w14:textId="77777777" w:rsidR="00367884" w:rsidRPr="00367884" w:rsidRDefault="00367884" w:rsidP="00367884">
      <w:pPr>
        <w:pStyle w:val="NoteEntry"/>
      </w:pPr>
      <w:r w:rsidRPr="00367884">
        <w:rPr>
          <w:szCs w:val="28"/>
        </w:rPr>
        <w:t xml:space="preserve">32. Kusukawa, </w:t>
      </w:r>
      <w:r w:rsidRPr="00367884">
        <w:rPr>
          <w:i/>
          <w:szCs w:val="28"/>
        </w:rPr>
        <w:t>Picturing the Book of Nature</w:t>
      </w:r>
      <w:r w:rsidRPr="00367884">
        <w:rPr>
          <w:szCs w:val="28"/>
        </w:rPr>
        <w:t xml:space="preserve">, 228–58; Daston and Galison, </w:t>
      </w:r>
      <w:r w:rsidRPr="00367884">
        <w:rPr>
          <w:i/>
          <w:szCs w:val="28"/>
        </w:rPr>
        <w:t>Objectivity</w:t>
      </w:r>
      <w:r w:rsidRPr="00367884">
        <w:rPr>
          <w:szCs w:val="28"/>
        </w:rPr>
        <w:t>, 55–113.</w:t>
      </w:r>
    </w:p>
    <w:p w14:paraId="2EB4E0F2" w14:textId="77777777" w:rsidR="000A74F2" w:rsidRPr="000A74F2" w:rsidRDefault="000A74F2" w:rsidP="000A74F2">
      <w:pPr>
        <w:pStyle w:val="ChapterHeading"/>
      </w:pPr>
      <w:bookmarkStart w:id="19" w:name="toc_chapter_15"/>
      <w:r>
        <w:rPr>
          <w:sz w:val="28"/>
        </w:rPr>
        <w:t>Chapter 15</w:t>
      </w:r>
      <w:r>
        <w:rPr>
          <w:sz w:val="28"/>
        </w:rPr>
        <w:br/>
      </w:r>
      <w:r>
        <w:t>Nature Made Available</w:t>
      </w:r>
      <w:bookmarkEnd w:id="19"/>
    </w:p>
    <w:p w14:paraId="6C266493" w14:textId="77777777" w:rsidR="000A74F2" w:rsidRPr="000A74F2" w:rsidRDefault="000A74F2" w:rsidP="000A74F2">
      <w:pPr>
        <w:pStyle w:val="SectionHeading"/>
      </w:pPr>
      <w:r w:rsidRPr="000A74F2">
        <w:rPr>
          <w:rFonts w:cstheme="majorBidi"/>
          <w:bCs/>
          <w:color w:val="2E74B5"/>
          <w:szCs w:val="28"/>
        </w:rPr>
        <w:t>Beyond the Pillars</w:t>
      </w:r>
    </w:p>
    <w:p w14:paraId="17ED523E" w14:textId="77777777" w:rsidR="000A74F2" w:rsidRPr="000A74F2" w:rsidRDefault="000A74F2" w:rsidP="000A74F2">
      <w:pPr>
        <w:pStyle w:val="BookBody"/>
      </w:pPr>
      <w:r w:rsidRPr="000A74F2">
        <w:rPr>
          <w:szCs w:val="28"/>
        </w:rPr>
        <w:t>Chapter 14 ended inside the disciplined spaces built by lenses, pumps, prepared specimens, and printed plates. In those spaces nature did not merely appear; it was made to answer under specified conditions. The telescope displaced the naked eye, the microscope enlarged a prepared body, and the air pump created an event that ordinary experience could not supply. Apparatus did not dictate a single philosophy, but it made a new philosophical demand increasingly plausible. If phenomena could be isolated, varied, and represented, perhaps the world itself was best understood as something decomposable: matter arranged in lawful ways, open to analysis and rearrangement.</w:t>
      </w:r>
    </w:p>
    <w:p w14:paraId="0678CB4D" w14:textId="77777777" w:rsidR="000A74F2" w:rsidRPr="000A74F2" w:rsidRDefault="000A74F2" w:rsidP="000A74F2">
      <w:pPr>
        <w:pStyle w:val="BookBody"/>
      </w:pPr>
      <w:r w:rsidRPr="000A74F2">
        <w:rPr>
          <w:szCs w:val="28"/>
        </w:rPr>
        <w:t xml:space="preserve">The image that Francis Bacon placed before the </w:t>
      </w:r>
      <w:r w:rsidRPr="000A74F2">
        <w:rPr>
          <w:i/>
          <w:szCs w:val="28"/>
        </w:rPr>
        <w:t>Instauratio Magna</w:t>
      </w:r>
      <w:r w:rsidRPr="000A74F2">
        <w:rPr>
          <w:szCs w:val="28"/>
        </w:rPr>
        <w:t xml:space="preserve"> in 1620 gave this hope a geography. A ship passes between the Pillars of Hercules, the legendary boundary of the navigable world. A second vessel is already farther out. Beneath them appears a phrase from Daniel, </w:t>
      </w:r>
      <w:r w:rsidRPr="000A74F2">
        <w:rPr>
          <w:i/>
          <w:szCs w:val="28"/>
        </w:rPr>
        <w:t>Multi pertransibunt et augebitur scientia</w:t>
      </w:r>
      <w:r w:rsidRPr="000A74F2">
        <w:rPr>
          <w:szCs w:val="28"/>
        </w:rPr>
        <w:t>: many shall pass through, and knowledge shall be increased. The old limit remains visible, but no longer final. The engraving turns inquiry into departure. Knowledge advances by crossing a boundary that inherited authorities had mistaken for the edge of possibility.</w:t>
      </w:r>
      <w:r w:rsidRPr="000A74F2">
        <w:rPr>
          <w:szCs w:val="28"/>
          <w:vertAlign w:val="superscript"/>
        </w:rPr>
        <w:t>1</w:t>
      </w:r>
    </w:p>
    <w:p w14:paraId="631BF3FB" w14:textId="77777777" w:rsidR="000A74F2" w:rsidRPr="000A74F2" w:rsidRDefault="000A74F2" w:rsidP="000A74F2">
      <w:pPr>
        <w:pStyle w:val="BookBody"/>
      </w:pPr>
      <w:r w:rsidRPr="000A74F2">
        <w:rPr>
          <w:szCs w:val="28"/>
        </w:rPr>
        <w:t>The image is triumphal, yet not simple. A ship is an instrument of observation, trade, war, settlement, extraction, and return. It carries disciplined skill and concentrated capital; it also depends on sailors, charts, ports, winds, timber, and coerced or unequal labor. Bacon’s frontispiece therefore announces more than intellectual freedom. It joins the expansion of knowledge to the capacity to move through, survey, and use a world. The open sea promises discovery because it has become a field of operation.</w:t>
      </w:r>
    </w:p>
    <w:p w14:paraId="426BC810" w14:textId="77777777" w:rsidR="000A74F2" w:rsidRPr="000A74F2" w:rsidRDefault="000A74F2" w:rsidP="000A74F2">
      <w:pPr>
        <w:pStyle w:val="FigureImage"/>
      </w:pPr>
      <w:r w:rsidRPr="000A74F2">
        <w:rPr>
          <w:noProof/>
          <w:szCs w:val="28"/>
        </w:rPr>
        <w:drawing>
          <wp:inline distT="0" distB="0" distL="0" distR="0" wp14:anchorId="0B6A5F4F" wp14:editId="0AD7053C">
            <wp:extent cx="2788920" cy="3707719"/>
            <wp:effectExtent l="0" t="0" r="0" b="0"/>
            <wp:docPr id="1834915992" name="Picture 1834915992" descr="The engraved 1620 frontispiece to Bacon's Instauratio Magna, showing ships sailing through and beyond the Pillars of Hercules beneath a biblical motto about increasing knowle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5_1_bacon_frontispiece.jpg"/>
                    <pic:cNvPicPr/>
                  </pic:nvPicPr>
                  <pic:blipFill>
                    <a:blip r:embed="rId18"/>
                    <a:stretch>
                      <a:fillRect/>
                    </a:stretch>
                  </pic:blipFill>
                  <pic:spPr>
                    <a:xfrm>
                      <a:off x="0" y="0"/>
                      <a:ext cx="2788920" cy="3707719"/>
                    </a:xfrm>
                    <a:prstGeom prst="rect">
                      <a:avLst/>
                    </a:prstGeom>
                  </pic:spPr>
                </pic:pic>
              </a:graphicData>
            </a:graphic>
          </wp:inline>
        </w:drawing>
      </w:r>
    </w:p>
    <w:p w14:paraId="3BE6EC86" w14:textId="77777777" w:rsidR="000A74F2" w:rsidRPr="000A74F2" w:rsidRDefault="000A74F2" w:rsidP="000A74F2">
      <w:pPr>
        <w:pStyle w:val="FigureCaption"/>
      </w:pPr>
      <w:r w:rsidRPr="000A74F2">
        <w:rPr>
          <w:color w:val="555555"/>
          <w:szCs w:val="28"/>
        </w:rPr>
        <w:t>Figure 15.1. Frontispiece to Francis Bacon’s Instauratio Magna (London, 1620). A ship passes beyond the Pillars of Hercules beneath the motto Multi pertransibunt et augebitur scientia. Working facsimile supplied from the Skokloster Castle image collection; final repository credit and reproduction terms to be verified.</w:t>
      </w:r>
    </w:p>
    <w:p w14:paraId="250C9AF0" w14:textId="77777777" w:rsidR="000A74F2" w:rsidRPr="000A74F2" w:rsidRDefault="000A74F2" w:rsidP="000A74F2">
      <w:pPr>
        <w:pStyle w:val="BookBody"/>
      </w:pPr>
      <w:r w:rsidRPr="000A74F2">
        <w:rPr>
          <w:szCs w:val="28"/>
        </w:rPr>
        <w:t>This chapter follows that operational ideal through Bacon, René Descartes, and Robert Boyle. It does not treat them as three stages of one doctrine. Bacon distrusted premature systems and made organized experience the engine of inquiry. Descartes began from a metaphysics of created substances and identified the essence of body with extension. Boyle joined experimental caution to a corpuscular account of matter and a theology of divine sovereignty. They differed over method, vacuum, laws, hypotheses, and the reach of reason. Yet their differences converged upon a consequential possibility: nature could be treated as available for intervention without being acknowledged as an independent center of claims.</w:t>
      </w:r>
    </w:p>
    <w:p w14:paraId="6FA09CE3" w14:textId="77777777" w:rsidR="000A74F2" w:rsidRPr="000A74F2" w:rsidRDefault="000A74F2" w:rsidP="000A74F2">
      <w:pPr>
        <w:pStyle w:val="BookBody"/>
      </w:pPr>
      <w:r w:rsidRPr="000A74F2">
        <w:rPr>
          <w:szCs w:val="28"/>
        </w:rPr>
        <w:t>Availability is not the same as mere passivity. A body may resist, surprise, break an apparatus, or defeat a prediction. Bacon’s investigator conquers nature only by obeying it. Descartes’s matter moves according to laws no human will can suspend. Boyle’s experiments make their strongest demands when outcomes resist expectation. To call nature available is therefore not to say it became infinitely compliant. It is to say that its resistance could be redescribed as a problem of cause, configuration, law, and technique rather than as the expression of an intrinsic purpose entitled to deference.</w:t>
      </w:r>
    </w:p>
    <w:p w14:paraId="7FAF970A" w14:textId="77777777" w:rsidR="000A74F2" w:rsidRPr="000A74F2" w:rsidRDefault="000A74F2" w:rsidP="000A74F2">
      <w:pPr>
        <w:pStyle w:val="BookBody"/>
      </w:pPr>
      <w:r w:rsidRPr="000A74F2">
        <w:rPr>
          <w:szCs w:val="28"/>
        </w:rPr>
        <w:t>Nor did this change amount to the instantaneous “death of nature.” Organisms continued to grow and suffer. Chemical bodies behaved in unruly ways. Providential order, biblical history, and natural theology remained intellectually powerful. Mechanical explanation was itself a field of dispute. The decisive alteration was narrower and deeper: matter ceased, for many investigators, to carry within itself the kinds of substantial form, appetite, soul, sympathy, and final direction that had once made natural bodies agents in a hierarchically living cosmos. Their effects remained. Their claims upon explanation changed.</w:t>
      </w:r>
    </w:p>
    <w:p w14:paraId="0E424E1A" w14:textId="77777777" w:rsidR="000A74F2" w:rsidRPr="000A74F2" w:rsidRDefault="000A74F2" w:rsidP="000A74F2">
      <w:pPr>
        <w:pStyle w:val="SectionHeading"/>
      </w:pPr>
      <w:r w:rsidRPr="000A74F2">
        <w:rPr>
          <w:rFonts w:cstheme="majorBidi"/>
          <w:bCs/>
          <w:color w:val="2E74B5"/>
          <w:szCs w:val="28"/>
        </w:rPr>
        <w:t>Nature Conquered by Obedience</w:t>
      </w:r>
    </w:p>
    <w:p w14:paraId="20BAEB7A" w14:textId="77777777" w:rsidR="000A74F2" w:rsidRPr="000A74F2" w:rsidRDefault="000A74F2" w:rsidP="000A74F2">
      <w:pPr>
        <w:pStyle w:val="BookBody"/>
      </w:pPr>
      <w:r w:rsidRPr="000A74F2">
        <w:rPr>
          <w:szCs w:val="28"/>
        </w:rPr>
        <w:t xml:space="preserve">The opening aphorisms of Bacon’s </w:t>
      </w:r>
      <w:r w:rsidRPr="000A74F2">
        <w:rPr>
          <w:i/>
          <w:szCs w:val="28"/>
        </w:rPr>
        <w:t>New Organon</w:t>
      </w:r>
      <w:r w:rsidRPr="000A74F2">
        <w:rPr>
          <w:szCs w:val="28"/>
        </w:rPr>
        <w:t xml:space="preserve"> bind knowledge to operation. The unaided intellect, he writes, is no more sufficient than the bare hand; both require tools. Human knowledge and human power “come to the same thing,” because effects depend on causes. Most famously, nature is conquered only through obedience.</w:t>
      </w:r>
      <w:r w:rsidRPr="000A74F2">
        <w:rPr>
          <w:szCs w:val="28"/>
          <w:vertAlign w:val="superscript"/>
        </w:rPr>
        <w:t>2</w:t>
      </w:r>
      <w:r w:rsidRPr="000A74F2">
        <w:rPr>
          <w:szCs w:val="28"/>
        </w:rPr>
        <w:t xml:space="preserve"> The apparent paradox defines Bacon’s program. Command is not an act of sovereign assertion over a compliant object. It is the practical consequence of submitting expectation to an order discovered through disciplined encounters.</w:t>
      </w:r>
    </w:p>
    <w:p w14:paraId="3DE86B5B" w14:textId="77777777" w:rsidR="000A74F2" w:rsidRPr="000A74F2" w:rsidRDefault="000A74F2" w:rsidP="000A74F2">
      <w:pPr>
        <w:pStyle w:val="BookBody"/>
      </w:pPr>
      <w:r w:rsidRPr="000A74F2">
        <w:rPr>
          <w:szCs w:val="28"/>
        </w:rPr>
        <w:t>That submission begins with distrust of the mind’s ordinary freedom. Bacon’s idols are not merely false propositions that can be replaced by correct ones. They are recurrent ways in which human beings deform experience: the species-wide tendencies of the Tribe, the private habits of the Cave, the confusions carried by words in the Marketplace, and the staged worlds of philosophical systems in the Theatre. The intellect resembles an uneven mirror that mingles its own nature with the rays of things. A method worthy of nature must therefore restrain spontaneous interpretation before it can enlarge power.</w:t>
      </w:r>
      <w:r w:rsidRPr="000A74F2">
        <w:rPr>
          <w:szCs w:val="28"/>
          <w:vertAlign w:val="superscript"/>
        </w:rPr>
        <w:t>3</w:t>
      </w:r>
    </w:p>
    <w:p w14:paraId="186B5934" w14:textId="77777777" w:rsidR="000A74F2" w:rsidRPr="000A74F2" w:rsidRDefault="000A74F2" w:rsidP="000A74F2">
      <w:pPr>
        <w:pStyle w:val="BookBody"/>
      </w:pPr>
      <w:r w:rsidRPr="000A74F2">
        <w:rPr>
          <w:szCs w:val="28"/>
        </w:rPr>
        <w:t>This is why Bacon’s language of mastery coexists with an ethic of intellectual humiliation. The natural philosopher must not leap from a few familiar instances to universal axioms. He must gather histories, order instances, search for absences and degrees, and ascend cautiously from particulars. The point is not to abolish reason but to prevent it from legislating before it has listened. Bacon’s celebrated comparison of ant, spider, and bee makes the balance vivid. Mere empiricists accumulate like ants; rationalists spin systems from themselves like spiders; the bee gathers material and transforms it. Inquiry becomes productive when experience and intellect are joined without allowing either to rule alone.</w:t>
      </w:r>
      <w:r w:rsidRPr="000A74F2">
        <w:rPr>
          <w:szCs w:val="28"/>
          <w:vertAlign w:val="superscript"/>
        </w:rPr>
        <w:t>4</w:t>
      </w:r>
    </w:p>
    <w:p w14:paraId="6949DCE1" w14:textId="77777777" w:rsidR="000A74F2" w:rsidRPr="000A74F2" w:rsidRDefault="000A74F2" w:rsidP="000A74F2">
      <w:pPr>
        <w:pStyle w:val="BookBody"/>
      </w:pPr>
      <w:r w:rsidRPr="000A74F2">
        <w:rPr>
          <w:szCs w:val="28"/>
        </w:rPr>
        <w:t>The scale of the task exceeds the solitary sage. Bacon repeatedly imagined natural history as a collective enterprise requiring money, organization, instruments, correspondents, artisans, and political support. Knowledge would no longer be secured chiefly by the prestige of an ancient author or the brilliance of a private demonstration. It would be assembled through a division of labor. The method disciplined not only inference but the social body that produced evidence.</w:t>
      </w:r>
    </w:p>
    <w:p w14:paraId="51AB9E65" w14:textId="77777777" w:rsidR="000A74F2" w:rsidRPr="000A74F2" w:rsidRDefault="000A74F2" w:rsidP="000A74F2">
      <w:pPr>
        <w:pStyle w:val="BookBody"/>
      </w:pPr>
      <w:r w:rsidRPr="000A74F2">
        <w:rPr>
          <w:szCs w:val="28"/>
        </w:rPr>
        <w:t>This collective dimension altered what counted as philosophically important. Crafts and trades, long treated as lower forms of knowledge, contained histories of operations. Dyers, metallurgists, glassmakers, gardeners, navigators, distillers, and mechanics knew how bodies changed when heated, mixed, cut, strained, fermented, or compressed. Bacon did not romanticize artisanal secrecy. He wanted practices extracted from local possession, compared, recorded, and made serviceable to a public program. The workshop supplied effects; the reformed natural history would detach those effects from scattered recipes and turn them toward causes.</w:t>
      </w:r>
      <w:r w:rsidRPr="000A74F2">
        <w:rPr>
          <w:szCs w:val="28"/>
          <w:vertAlign w:val="superscript"/>
        </w:rPr>
        <w:t>5</w:t>
      </w:r>
    </w:p>
    <w:p w14:paraId="3FE86FCB" w14:textId="77777777" w:rsidR="000A74F2" w:rsidRPr="000A74F2" w:rsidRDefault="000A74F2" w:rsidP="000A74F2">
      <w:pPr>
        <w:pStyle w:val="BookBody"/>
      </w:pPr>
      <w:r w:rsidRPr="000A74F2">
        <w:rPr>
          <w:szCs w:val="28"/>
        </w:rPr>
        <w:t xml:space="preserve">Here the word </w:t>
      </w:r>
      <w:r w:rsidRPr="000A74F2">
        <w:rPr>
          <w:i/>
          <w:szCs w:val="28"/>
        </w:rPr>
        <w:t>public</w:t>
      </w:r>
      <w:r w:rsidRPr="000A74F2">
        <w:rPr>
          <w:szCs w:val="28"/>
        </w:rPr>
        <w:t xml:space="preserve"> requires care. Bacon’s public was not democratic in the modern sense. His program looked to kings and great institutions, and his political imagination remained hierarchical. Knowledge might serve humanity while being directed by a select body with access to resources and authority. The institutionalization of inquiry could widen the archive of experience and narrow control over its use at the same time. The promise of common benefit did not determine who would define benefit.</w:t>
      </w:r>
    </w:p>
    <w:p w14:paraId="53159630" w14:textId="77777777" w:rsidR="000A74F2" w:rsidRPr="000A74F2" w:rsidRDefault="000A74F2" w:rsidP="000A74F2">
      <w:pPr>
        <w:pStyle w:val="BookBody"/>
      </w:pPr>
      <w:r w:rsidRPr="000A74F2">
        <w:rPr>
          <w:szCs w:val="28"/>
        </w:rPr>
        <w:t>Bacon also distinguished immediate usefulness from the deeper utility of explanation. At the beginning of inquiry, he argued, investigators should seek experiments that illuminate rather than merely produce. Like light on the first day of creation, such experiments might yield no material work at once but reveal the simple natures from which many works would later follow. The distinction corrects a crude picture of Bacon as a collector of profitable tricks. His utility was architectonic. He wanted knowledge capable of generating whole families of effects, not a market stall of disconnected novelties.</w:t>
      </w:r>
      <w:r w:rsidRPr="000A74F2">
        <w:rPr>
          <w:szCs w:val="28"/>
          <w:vertAlign w:val="superscript"/>
        </w:rPr>
        <w:t>6</w:t>
      </w:r>
    </w:p>
    <w:p w14:paraId="7E2F884D" w14:textId="77777777" w:rsidR="000A74F2" w:rsidRPr="000A74F2" w:rsidRDefault="000A74F2" w:rsidP="000A74F2">
      <w:pPr>
        <w:pStyle w:val="BookBody"/>
      </w:pPr>
      <w:r w:rsidRPr="000A74F2">
        <w:rPr>
          <w:szCs w:val="28"/>
        </w:rPr>
        <w:t>The instrumented world of Chapter 14 fits this demand. A controlled experiment was valuable not simply because it displayed a wonder but because it isolated a relation. Change the pressure, temperature, mixture, duration, or position; preserve a record; compare what follows. The investigator learned to treat a phenomenon as something that could be made to vary while other conditions were held as steady as craft allowed. Such a trial made nature available by giving resistance a procedural form. Failure could be assigned to a leak, impurity, mistaken assumption, or real limit. The question moved from what a body meant within a cosmic hierarchy to what it would do under an operation.</w:t>
      </w:r>
    </w:p>
    <w:p w14:paraId="008CDC26" w14:textId="77777777" w:rsidR="000A74F2" w:rsidRPr="000A74F2" w:rsidRDefault="000A74F2" w:rsidP="000A74F2">
      <w:pPr>
        <w:pStyle w:val="BookBody"/>
      </w:pPr>
      <w:r w:rsidRPr="000A74F2">
        <w:rPr>
          <w:szCs w:val="28"/>
        </w:rPr>
        <w:t>The table was as important as the chamber. Bacon’s inquiry into heat, for example, did not begin by naming an essence. It assembled instances in which heat was present, absent, or found in degrees, then asked which other features traveled with it. This format forced unlike bodies into comparison: sunlight, flame, warm blood, fermentation, friction, and enclosed liquids could be placed within one inquiry. The table did not prove that these events were identical. It suspended their inherited classifications long enough to search for a common operation.</w:t>
      </w:r>
    </w:p>
    <w:p w14:paraId="36E6601E" w14:textId="77777777" w:rsidR="000A74F2" w:rsidRPr="000A74F2" w:rsidRDefault="000A74F2" w:rsidP="000A74F2">
      <w:pPr>
        <w:pStyle w:val="BookBody"/>
      </w:pPr>
      <w:r w:rsidRPr="000A74F2">
        <w:rPr>
          <w:szCs w:val="28"/>
        </w:rPr>
        <w:t>Such ordering made negative instances philosophically powerful. A case in which an expected effect failed could exclude a proposed cause. Absence was no longer nothing; it was evidence produced by comparison. The investigator learned to value a cold ray, an unaltered sample, or a trial without the crucial ingredient because it narrowed the field of explanation. Nature became available not only through what art made happen but through carefully arranged nonoccurrence.</w:t>
      </w:r>
    </w:p>
    <w:p w14:paraId="3F022F39" w14:textId="77777777" w:rsidR="000A74F2" w:rsidRPr="000A74F2" w:rsidRDefault="000A74F2" w:rsidP="000A74F2">
      <w:pPr>
        <w:pStyle w:val="BookBody"/>
      </w:pPr>
      <w:r w:rsidRPr="000A74F2">
        <w:rPr>
          <w:szCs w:val="28"/>
        </w:rPr>
        <w:t>The procedure also changed the temporal horizon of knowledge. A spectacular result could impress immediately, but an illuminating experiment might become useful only after years of collection and combination. Bacon’s method asked patrons and investigators to invest in an archive whose final works could not be predicted in advance. Availability therefore depended on patience as well as command: the willingness to build capacities before their applications were known.</w:t>
      </w:r>
    </w:p>
    <w:p w14:paraId="51DA7838" w14:textId="77777777" w:rsidR="000A74F2" w:rsidRPr="000A74F2" w:rsidRDefault="000A74F2" w:rsidP="000A74F2">
      <w:pPr>
        <w:pStyle w:val="SectionHeading"/>
      </w:pPr>
      <w:r w:rsidRPr="000A74F2">
        <w:rPr>
          <w:rFonts w:cstheme="majorBidi"/>
          <w:bCs/>
          <w:color w:val="2E74B5"/>
          <w:szCs w:val="28"/>
        </w:rPr>
        <w:t>The Bonds of Art</w:t>
      </w:r>
    </w:p>
    <w:p w14:paraId="4542E65E" w14:textId="77777777" w:rsidR="000A74F2" w:rsidRPr="000A74F2" w:rsidRDefault="000A74F2" w:rsidP="000A74F2">
      <w:pPr>
        <w:pStyle w:val="BookBody"/>
      </w:pPr>
      <w:r w:rsidRPr="000A74F2">
        <w:rPr>
          <w:szCs w:val="28"/>
        </w:rPr>
        <w:t>Bacon’s account of natural history gave experiment an ontological edge. Nature should be studied not only when “free and unconstrained,” but when confined, harassed, pressured, and molded by art. In his later outline, he divided natural history among nature’s ordinary course, its deviations, and its condition under human bonds. Artificial things were not outside nature. They were nature assuming a new configuration through human agency.</w:t>
      </w:r>
      <w:r w:rsidRPr="000A74F2">
        <w:rPr>
          <w:szCs w:val="28"/>
          <w:vertAlign w:val="superscript"/>
        </w:rPr>
        <w:t>7</w:t>
      </w:r>
    </w:p>
    <w:p w14:paraId="328C7ED0" w14:textId="77777777" w:rsidR="000A74F2" w:rsidRPr="000A74F2" w:rsidRDefault="000A74F2" w:rsidP="000A74F2">
      <w:pPr>
        <w:pStyle w:val="BookBody"/>
      </w:pPr>
      <w:r w:rsidRPr="000A74F2">
        <w:rPr>
          <w:szCs w:val="28"/>
        </w:rPr>
        <w:t>This claim dissolved a durable boundary. In Aristotelian traditions, art could assist, imitate, or complete nature, but an artifact and a natural body remained different in origin and principle. Bacon instead emphasized continuity at the level of operation. Fire burns whether kindled by lightning or a furnace. A metal shaped by the smith remains within nature. If art can force bodies into unfamiliar states, those states may reveal powers hidden by ordinary circumstances. The artificial is not a counterfeit realm. It is nature experimentally displaced.</w:t>
      </w:r>
    </w:p>
    <w:p w14:paraId="52E9C329" w14:textId="77777777" w:rsidR="000A74F2" w:rsidRPr="000A74F2" w:rsidRDefault="000A74F2" w:rsidP="000A74F2">
      <w:pPr>
        <w:pStyle w:val="BookBody"/>
      </w:pPr>
      <w:r w:rsidRPr="000A74F2">
        <w:rPr>
          <w:szCs w:val="28"/>
        </w:rPr>
        <w:t>That displacement made the controlled trial a material witness to a new relation. Consider a sealed vessel heated until its contents expand, a metal dissolved and recovered, a plant exposed to an altered soil, or air compressed until it supports a weight. None of these events is simply observed in the world as found. A bounded scene is built, an intervention is introduced, and the response is recorded. The witness is simultaneously epistemic and practical: it shows what the body is capable of and what an operator can make it do.</w:t>
      </w:r>
    </w:p>
    <w:p w14:paraId="6CF0CE50" w14:textId="77777777" w:rsidR="000A74F2" w:rsidRPr="000A74F2" w:rsidRDefault="000A74F2" w:rsidP="000A74F2">
      <w:pPr>
        <w:pStyle w:val="BookBody"/>
      </w:pPr>
      <w:r w:rsidRPr="000A74F2">
        <w:rPr>
          <w:szCs w:val="28"/>
        </w:rPr>
        <w:t>The language Bacon used for this relation is morally charged. Nature accepts the “yoke” of human empire; art binds and constrains; secrets are sought under pressure. Carolyn Merchant made these passages central to her history of the transition from an organic to a mechanical world. The point cannot responsibly be reduced to the familiar claim that Bacon ordered nature put “on the rack,” a formulation he did not use in that simple English form. The stronger historical claim is that Bacon repeatedly connected knowledge with invasive trial and drew upon a gendered vocabulary in which a feminized nature could be exposed, restrained, and made serviceable.</w:t>
      </w:r>
      <w:r w:rsidRPr="000A74F2">
        <w:rPr>
          <w:szCs w:val="28"/>
          <w:vertAlign w:val="superscript"/>
        </w:rPr>
        <w:t>8</w:t>
      </w:r>
    </w:p>
    <w:p w14:paraId="6D27CBC5" w14:textId="77777777" w:rsidR="000A74F2" w:rsidRPr="000A74F2" w:rsidRDefault="000A74F2" w:rsidP="000A74F2">
      <w:pPr>
        <w:pStyle w:val="BookBody"/>
      </w:pPr>
      <w:r w:rsidRPr="000A74F2">
        <w:rPr>
          <w:szCs w:val="28"/>
        </w:rPr>
        <w:t>Yet the moral charge does not exhaust the epistemology. Experiment is invasive because ordinary appearances may underdetermine causes. Heat that alters a substance, pressure that changes a volume, and dissection that exposes a structure can disclose relations unavailable to passive inspection. The intervention may damage the particular body and still reveal a truth about bodies of its kind. Modern medicine, chemistry, and engineering would become unthinkable without this permission to disturb.</w:t>
      </w:r>
    </w:p>
    <w:p w14:paraId="2AC13662" w14:textId="77777777" w:rsidR="000A74F2" w:rsidRPr="000A74F2" w:rsidRDefault="000A74F2" w:rsidP="000A74F2">
      <w:pPr>
        <w:pStyle w:val="BookBody"/>
      </w:pPr>
      <w:r w:rsidRPr="000A74F2">
        <w:rPr>
          <w:szCs w:val="28"/>
        </w:rPr>
        <w:t>The question is therefore not whether intervention is knowledge or violence. It can be both, and the proportions depend on object, purpose, consent, scale, and consequence. A controlled burn in a vessel and the forced labor of miners are not morally equivalent because both alter matter. Nor is an experiment on an insensible material equivalent to one on an animal or person. Bacon’s broad rhetoric of human empire obscured these differences even as his method created means for specifying them. The operational view sharpened causal discrimination without supplying an adequate ethics of operation.</w:t>
      </w:r>
    </w:p>
    <w:p w14:paraId="51502425" w14:textId="77777777" w:rsidR="000A74F2" w:rsidRPr="000A74F2" w:rsidRDefault="000A74F2" w:rsidP="000A74F2">
      <w:pPr>
        <w:pStyle w:val="BookBody"/>
      </w:pPr>
      <w:r w:rsidRPr="000A74F2">
        <w:rPr>
          <w:szCs w:val="28"/>
        </w:rPr>
        <w:t>Its enduring power lay in converting limitation into a research program. If nature does not display a property freely, change the conditions. If the senses cannot resolve an effect, construct an instrument. If language misleads, build a table. If memory fails, keep a history. If an artisan’s result cannot travel, describe the operation. Each response treats opacity as something to be worked upon. The world is no longer closed by the limits of ordinary encounter.</w:t>
      </w:r>
    </w:p>
    <w:p w14:paraId="0A87716B" w14:textId="77777777" w:rsidR="000A74F2" w:rsidRPr="000A74F2" w:rsidRDefault="000A74F2" w:rsidP="000A74F2">
      <w:pPr>
        <w:pStyle w:val="SectionHeading"/>
      </w:pPr>
      <w:r w:rsidRPr="000A74F2">
        <w:rPr>
          <w:rFonts w:cstheme="majorBidi"/>
          <w:bCs/>
          <w:color w:val="2E74B5"/>
          <w:szCs w:val="28"/>
        </w:rPr>
        <w:t>Repairing the Fall</w:t>
      </w:r>
    </w:p>
    <w:p w14:paraId="0916BE69" w14:textId="77777777" w:rsidR="000A74F2" w:rsidRPr="000A74F2" w:rsidRDefault="000A74F2" w:rsidP="000A74F2">
      <w:pPr>
        <w:pStyle w:val="BookBody"/>
      </w:pPr>
      <w:r w:rsidRPr="000A74F2">
        <w:rPr>
          <w:szCs w:val="28"/>
        </w:rPr>
        <w:t>Bacon did not present this enlargement of power as a revolt against Christianity. He placed it within a Christian history of damage and repair. Adam’s fall had disordered both moral will and natural knowledge. Yet Bacon distinguished the forbidden ambition to legislate good and evil apart from God from the legitimate inquiry into created things. Adam’s naming of the creatures represented an uncorrupted knowledge of their properties. Natural philosophy, pursued humbly and charitably, could recover part of what sin had lost.</w:t>
      </w:r>
      <w:r w:rsidRPr="000A74F2">
        <w:rPr>
          <w:szCs w:val="28"/>
          <w:vertAlign w:val="superscript"/>
        </w:rPr>
        <w:t>9</w:t>
      </w:r>
    </w:p>
    <w:p w14:paraId="48937FE3" w14:textId="77777777" w:rsidR="000A74F2" w:rsidRPr="000A74F2" w:rsidRDefault="000A74F2" w:rsidP="000A74F2">
      <w:pPr>
        <w:pStyle w:val="BookBody"/>
      </w:pPr>
      <w:r w:rsidRPr="000A74F2">
        <w:rPr>
          <w:szCs w:val="28"/>
        </w:rPr>
        <w:t>Peter Harrison has shown how widely early modern arguments about method drew upon accounts of fallen cognition. Error was not a neutral technical inconvenience. It was a mark of the human condition. The weakness of sense, the pride of reason, attachment to systems, and the corruptions of language could all be read through the theology of the Fall. Bacon’s idols supplied a philosophical anatomy of that damage, while organized observation, instruments, and collaboration offered prostheses for a wounded intellect.</w:t>
      </w:r>
      <w:r w:rsidRPr="000A74F2">
        <w:rPr>
          <w:szCs w:val="28"/>
          <w:vertAlign w:val="superscript"/>
        </w:rPr>
        <w:t>10</w:t>
      </w:r>
    </w:p>
    <w:p w14:paraId="5D9DF4B7" w14:textId="77777777" w:rsidR="000A74F2" w:rsidRPr="000A74F2" w:rsidRDefault="000A74F2" w:rsidP="000A74F2">
      <w:pPr>
        <w:pStyle w:val="BookBody"/>
      </w:pPr>
      <w:r w:rsidRPr="000A74F2">
        <w:rPr>
          <w:szCs w:val="28"/>
        </w:rPr>
        <w:t>This theology changed the meaning of mastery. Dominion was not necessarily imagined as the license of an autonomous human subject. It could be described as restoration to a delegated office under God. Knowledge was justified by charity: relief of suffering, improvement of food and medicine, and enlargement of the useful arts. The investigator’s authority remained derivative. Nature belonged to its Creator, and human power was legitimate only when exercised within a providential order.</w:t>
      </w:r>
    </w:p>
    <w:p w14:paraId="0FC1F4BD" w14:textId="77777777" w:rsidR="000A74F2" w:rsidRPr="000A74F2" w:rsidRDefault="000A74F2" w:rsidP="000A74F2">
      <w:pPr>
        <w:pStyle w:val="BookBody"/>
      </w:pPr>
      <w:r w:rsidRPr="000A74F2">
        <w:rPr>
          <w:szCs w:val="28"/>
        </w:rPr>
        <w:t>The qualification was real, but unstable. A delegated dominion can restrain action if the delegate recognizes duties to the owner, the creature, and the community. It can also intensify action by giving it sacred authorization. To recover Adamic command is a more ambitious goal than to solve a local problem. The language of repair can make expansion appear not merely permitted but redemptive.</w:t>
      </w:r>
    </w:p>
    <w:p w14:paraId="1ED6AB7D" w14:textId="77777777" w:rsidR="000A74F2" w:rsidRPr="000A74F2" w:rsidRDefault="000A74F2" w:rsidP="000A74F2">
      <w:pPr>
        <w:pStyle w:val="BookBody"/>
      </w:pPr>
      <w:r w:rsidRPr="000A74F2">
        <w:rPr>
          <w:szCs w:val="28"/>
        </w:rPr>
        <w:t>The frontispiece’s ships capture this ambiguity. Passage beyond the pillars can signify release from sterile obedience to antiquity. It can also align truth with the expanding reach of European navigation and empire. Bacon did not write a blueprint for later colonial science, but his imagery made the enlarging horizon of inquiry and the enlarging horizon of power mutually intelligible. Lands and seas could be entered, described, collected, and returned as knowledge. The same movement could enrich natural history and subordinate persons whose knowledge was extracted without equal credit or authority.</w:t>
      </w:r>
      <w:r w:rsidRPr="000A74F2">
        <w:rPr>
          <w:szCs w:val="28"/>
          <w:vertAlign w:val="superscript"/>
        </w:rPr>
        <w:t>11</w:t>
      </w:r>
    </w:p>
    <w:p w14:paraId="2C7D900F" w14:textId="77777777" w:rsidR="000A74F2" w:rsidRPr="000A74F2" w:rsidRDefault="000A74F2" w:rsidP="000A74F2">
      <w:pPr>
        <w:pStyle w:val="BookBody"/>
      </w:pPr>
      <w:r w:rsidRPr="000A74F2">
        <w:rPr>
          <w:szCs w:val="28"/>
        </w:rPr>
        <w:t xml:space="preserve">This is why the chapter’s governing term is </w:t>
      </w:r>
      <w:r w:rsidRPr="000A74F2">
        <w:rPr>
          <w:i/>
          <w:szCs w:val="28"/>
        </w:rPr>
        <w:t>availability</w:t>
      </w:r>
      <w:r w:rsidRPr="000A74F2">
        <w:rPr>
          <w:szCs w:val="28"/>
        </w:rPr>
        <w:t>, not simply domination. Baconian inquiry did not guarantee domination, and domination existed long before experimental philosophy. What changed was the intellectual dignity granted to operations that rendered distant, hidden, irregular, or resistant things usable. Availability could serve care as well as conquest. A plant’s medicinal property, a safer pump, an improved crop, or a more accurate chart belonged to the same broad promise as greater extraction. Method enlarged the repertoire of possible action before ethics determined which actions should count as improvement.</w:t>
      </w:r>
    </w:p>
    <w:p w14:paraId="680C6B62" w14:textId="77777777" w:rsidR="000A74F2" w:rsidRPr="000A74F2" w:rsidRDefault="000A74F2" w:rsidP="000A74F2">
      <w:pPr>
        <w:pStyle w:val="SectionHeading"/>
      </w:pPr>
      <w:r w:rsidRPr="000A74F2">
        <w:rPr>
          <w:rFonts w:cstheme="majorBidi"/>
          <w:bCs/>
          <w:color w:val="2E74B5"/>
          <w:szCs w:val="28"/>
        </w:rPr>
        <w:t>A Commonwealth of Operations</w:t>
      </w:r>
    </w:p>
    <w:p w14:paraId="3F8089EF" w14:textId="77777777" w:rsidR="000A74F2" w:rsidRPr="000A74F2" w:rsidRDefault="000A74F2" w:rsidP="000A74F2">
      <w:pPr>
        <w:pStyle w:val="BookBody"/>
      </w:pPr>
      <w:r w:rsidRPr="000A74F2">
        <w:rPr>
          <w:szCs w:val="28"/>
        </w:rPr>
        <w:t xml:space="preserve">The </w:t>
      </w:r>
      <w:r w:rsidRPr="000A74F2">
        <w:rPr>
          <w:i/>
          <w:szCs w:val="28"/>
        </w:rPr>
        <w:t>New Atlantis</w:t>
      </w:r>
      <w:r w:rsidRPr="000A74F2">
        <w:rPr>
          <w:szCs w:val="28"/>
        </w:rPr>
        <w:t xml:space="preserve"> translated Bacon’s program into an institution. Salomon’s House seeks knowledge of causes and secret motions and the enlargement of the bounds of human empire “to the effecting of all things possible.” Its fellows maintain caves, towers, furnaces, gardens, pools, workshops, sound houses, perspective houses, and chambers for health. They breed animals, imitate weather, preserve bodies, compound medicines, magnify small things, and communicate across distance. The inventory is fantastical, but its organizing principle is precise: nature becomes knowable through a coordinated ecology of sites and operations.</w:t>
      </w:r>
      <w:r w:rsidRPr="000A74F2">
        <w:rPr>
          <w:szCs w:val="28"/>
          <w:vertAlign w:val="superscript"/>
        </w:rPr>
        <w:t>12</w:t>
      </w:r>
    </w:p>
    <w:p w14:paraId="41386EEA" w14:textId="77777777" w:rsidR="000A74F2" w:rsidRPr="000A74F2" w:rsidRDefault="000A74F2" w:rsidP="000A74F2">
      <w:pPr>
        <w:pStyle w:val="BookBody"/>
      </w:pPr>
      <w:r w:rsidRPr="000A74F2">
        <w:rPr>
          <w:szCs w:val="28"/>
        </w:rPr>
        <w:t>No single experiment carries the whole burden. Some fellows travel and collect; some compile; some repeat; some draw conclusions; some devise applications. Salomon’s House is a machine for converting dispersed encounters into directed knowledge. Its power comes from sequence. Collection feeds comparison, comparison feeds experiment, and experiment feeds works.</w:t>
      </w:r>
    </w:p>
    <w:p w14:paraId="2D03DFB9" w14:textId="77777777" w:rsidR="000A74F2" w:rsidRPr="000A74F2" w:rsidRDefault="000A74F2" w:rsidP="000A74F2">
      <w:pPr>
        <w:pStyle w:val="BookBody"/>
      </w:pPr>
      <w:r w:rsidRPr="000A74F2">
        <w:rPr>
          <w:szCs w:val="28"/>
        </w:rPr>
        <w:t>The institution also controls disclosure. Its members decide which inventions to reveal to the state and which to keep secret. Bacon’s utopia therefore does not equate the advance of knowledge with unlimited transparency. Secrecy can protect an inquiry, prevent misuse, or preserve political authority. The same structure that gathers knowledge for common benefit judges the common good from above.</w:t>
      </w:r>
    </w:p>
    <w:p w14:paraId="08AA9873" w14:textId="77777777" w:rsidR="000A74F2" w:rsidRPr="000A74F2" w:rsidRDefault="000A74F2" w:rsidP="000A74F2">
      <w:pPr>
        <w:pStyle w:val="BookBody"/>
      </w:pPr>
      <w:r w:rsidRPr="000A74F2">
        <w:rPr>
          <w:szCs w:val="28"/>
        </w:rPr>
        <w:t>The inhabitants of Bensalem receive the products of this order as gifts whose making they do not govern. Salomon’s House can improve health, food, communication, and material abundance, but its authority is paternal. This matters because a technological benefit is never only an object. It rearranges dependence. The institution that alone understands a process can define failure, risk, and proper use for those who depend on its products.</w:t>
      </w:r>
    </w:p>
    <w:p w14:paraId="13A717E5" w14:textId="77777777" w:rsidR="000A74F2" w:rsidRPr="000A74F2" w:rsidRDefault="000A74F2" w:rsidP="000A74F2">
      <w:pPr>
        <w:pStyle w:val="BookBody"/>
      </w:pPr>
      <w:r w:rsidRPr="000A74F2">
        <w:rPr>
          <w:szCs w:val="28"/>
        </w:rPr>
        <w:t>Bacon’s utopia thus anticipates an enduring political question of expertise. If a process is complex enough to require specialized communities, how can its consequences remain answerable to people outside them? The Great Instauration supplies a powerful model for producing reliable capacities. It gives far less attention to institutions through which affected communities might contest the ends toward which those capacities are directed.</w:t>
      </w:r>
    </w:p>
    <w:p w14:paraId="0C4C74CD" w14:textId="77777777" w:rsidR="000A74F2" w:rsidRPr="000A74F2" w:rsidRDefault="000A74F2" w:rsidP="000A74F2">
      <w:pPr>
        <w:pStyle w:val="BookBody"/>
      </w:pPr>
      <w:r w:rsidRPr="000A74F2">
        <w:rPr>
          <w:szCs w:val="28"/>
        </w:rPr>
        <w:t>This controlled circulation anticipated a central problem of experimental culture. A procedure must be public enough to earn assent but often depends on scarce instruments, tacit skill, costly materials, and restricted spaces. Bacon’s solution was not universal access to every chamber. It was an institution whose internal order could guarantee the credibility of its operations. Later societies and laboratories would distribute trust differently, but they inherited the problem.</w:t>
      </w:r>
    </w:p>
    <w:p w14:paraId="6C299052" w14:textId="77777777" w:rsidR="000A74F2" w:rsidRPr="000A74F2" w:rsidRDefault="000A74F2" w:rsidP="000A74F2">
      <w:pPr>
        <w:pStyle w:val="BookBody"/>
      </w:pPr>
      <w:r w:rsidRPr="000A74F2">
        <w:rPr>
          <w:szCs w:val="28"/>
        </w:rPr>
        <w:t>The new power of method thus belonged neither to an isolated subject nor to matter alone. It arose within organized relations among texts, bodies, tools, sites, patrons, and goals. Bacon’s “human empire” was infrastructural. It required archives, workshops, transport, standards, and trained persons. Nature became available where those supports could make an intervention repeatable or its report credible.</w:t>
      </w:r>
    </w:p>
    <w:p w14:paraId="11928E4E" w14:textId="77777777" w:rsidR="000A74F2" w:rsidRPr="000A74F2" w:rsidRDefault="000A74F2" w:rsidP="000A74F2">
      <w:pPr>
        <w:pStyle w:val="BookBody"/>
      </w:pPr>
      <w:r w:rsidRPr="000A74F2">
        <w:rPr>
          <w:szCs w:val="28"/>
        </w:rPr>
        <w:t>There is a loss in calling this merely the birth of “the scientific method.” Bacon offered no universal recipe that later science simply followed. His tables did not become the daily procedure of every successful investigator, and seventeenth-century experimentalists often proceeded in ways he had not prescribed. His deeper contribution was to make method a moral and political technology: a way of forming investigators, ordering labor, checking premature assent, and directing knowledge toward works.</w:t>
      </w:r>
      <w:r w:rsidRPr="000A74F2">
        <w:rPr>
          <w:szCs w:val="28"/>
          <w:vertAlign w:val="superscript"/>
        </w:rPr>
        <w:t>13</w:t>
      </w:r>
    </w:p>
    <w:p w14:paraId="3E6A0B32" w14:textId="77777777" w:rsidR="000A74F2" w:rsidRPr="000A74F2" w:rsidRDefault="000A74F2" w:rsidP="000A74F2">
      <w:pPr>
        <w:pStyle w:val="BookBody"/>
      </w:pPr>
      <w:r w:rsidRPr="000A74F2">
        <w:rPr>
          <w:szCs w:val="28"/>
        </w:rPr>
        <w:t>That technology could produce truth because the world was not infinitely pliable. Bodies refused some combinations, instruments failed in recurrent ways, and effects persisted across changes of observer. Baconian obedience acknowledged that action reaches its goal only through real causal structure. Availability did not abolish nature’s otherness. It built a disciplined route through it.</w:t>
      </w:r>
    </w:p>
    <w:p w14:paraId="053C543C" w14:textId="77777777" w:rsidR="000A74F2" w:rsidRPr="000A74F2" w:rsidRDefault="000A74F2" w:rsidP="000A74F2">
      <w:pPr>
        <w:pStyle w:val="SectionHeading"/>
      </w:pPr>
      <w:r w:rsidRPr="000A74F2">
        <w:rPr>
          <w:rFonts w:cstheme="majorBidi"/>
          <w:bCs/>
          <w:color w:val="2E74B5"/>
          <w:szCs w:val="28"/>
        </w:rPr>
        <w:t>Extension Alone</w:t>
      </w:r>
    </w:p>
    <w:p w14:paraId="767837D1" w14:textId="77777777" w:rsidR="000A74F2" w:rsidRPr="000A74F2" w:rsidRDefault="000A74F2" w:rsidP="000A74F2">
      <w:pPr>
        <w:pStyle w:val="BookBody"/>
      </w:pPr>
      <w:r w:rsidRPr="000A74F2">
        <w:rPr>
          <w:szCs w:val="28"/>
        </w:rPr>
        <w:t xml:space="preserve">Descartes approached the availability of nature from another direction. Where Bacon suspended comprehensive theory until a reformed history could be built, Descartes sought principles clear enough to ground a complete physics. His decisive move was not a new instrument but a redefinition of body. In Part II of the </w:t>
      </w:r>
      <w:r w:rsidRPr="000A74F2">
        <w:rPr>
          <w:i/>
          <w:szCs w:val="28"/>
        </w:rPr>
        <w:t>Principles of Philosophy</w:t>
      </w:r>
      <w:r w:rsidRPr="000A74F2">
        <w:rPr>
          <w:szCs w:val="28"/>
        </w:rPr>
        <w:t>, he argued that the nature of body does not consist in hardness, weight, color, or any other sensory property. Remove those qualities in thought and the body remains. What cannot be removed is extension in length, breadth, and depth.</w:t>
      </w:r>
      <w:r w:rsidRPr="000A74F2">
        <w:rPr>
          <w:szCs w:val="28"/>
          <w:vertAlign w:val="superscript"/>
        </w:rPr>
        <w:t>14</w:t>
      </w:r>
    </w:p>
    <w:p w14:paraId="7D024BB3" w14:textId="77777777" w:rsidR="000A74F2" w:rsidRPr="000A74F2" w:rsidRDefault="000A74F2" w:rsidP="000A74F2">
      <w:pPr>
        <w:pStyle w:val="BookBody"/>
      </w:pPr>
      <w:r w:rsidRPr="000A74F2">
        <w:rPr>
          <w:szCs w:val="28"/>
        </w:rPr>
        <w:t>The argument thinned matter without making it unreal. Hardness is an encounter between bodies resisting relative motion; color is a way a body affects a perceiver; heat, taste, and odor depend on arrangements and motions. None is a substantial form lodged inside matter. The material world consists of extended substance modified by size, shape, position, and motion. Qualitative diversity must be explained through quantitative and geometrical difference.</w:t>
      </w:r>
    </w:p>
    <w:p w14:paraId="5C1F1F1E" w14:textId="77777777" w:rsidR="000A74F2" w:rsidRPr="000A74F2" w:rsidRDefault="000A74F2" w:rsidP="000A74F2">
      <w:pPr>
        <w:pStyle w:val="BookBody"/>
      </w:pPr>
      <w:r w:rsidRPr="000A74F2">
        <w:rPr>
          <w:szCs w:val="28"/>
        </w:rPr>
        <w:t>This ontology made decomposition intelligible in principle. If bodies differ through the configuration and motion of parts, explanation can proceed by analysis. A complex effect may be traced to the arrangement of simpler extended components; a new effect may be produced by rearranging them. The world becomes representable as mechanism because its material essence is already spatial and divisible.</w:t>
      </w:r>
    </w:p>
    <w:p w14:paraId="30F99CF0" w14:textId="77777777" w:rsidR="000A74F2" w:rsidRPr="000A74F2" w:rsidRDefault="000A74F2" w:rsidP="000A74F2">
      <w:pPr>
        <w:pStyle w:val="BookBody"/>
      </w:pPr>
      <w:r w:rsidRPr="000A74F2">
        <w:rPr>
          <w:szCs w:val="28"/>
        </w:rPr>
        <w:t>Geometry did not simply describe this matter from outside. It articulated what body was. The length of a lever, curvature of a surface, diameter of a tube, and trajectory of a particle were not abstractions from a richer substantial reality; they belonged to the reality capable of entering a physical explanation. Mathematics gained ontological privilege because extension made spatial relation intrinsic to material being.</w:t>
      </w:r>
    </w:p>
    <w:p w14:paraId="73067143" w14:textId="77777777" w:rsidR="000A74F2" w:rsidRPr="000A74F2" w:rsidRDefault="000A74F2" w:rsidP="000A74F2">
      <w:pPr>
        <w:pStyle w:val="BookBody"/>
      </w:pPr>
      <w:r w:rsidRPr="000A74F2">
        <w:rPr>
          <w:szCs w:val="28"/>
        </w:rPr>
        <w:t>Sensory qualities were not therefore dismissed as arbitrary fantasies. They remained effects requiring explanation, and Descartes depended upon them as signs within the union of mind and body. But their explanatory rank changed. Redness could warn, heat could injure, and hardness could resist, while the physical account referred to motions, shapes, and contacts that produced those experiences. Experience retained practical authority without defining matter’s essence.</w:t>
      </w:r>
    </w:p>
    <w:p w14:paraId="5933FB85" w14:textId="77777777" w:rsidR="000A74F2" w:rsidRPr="000A74F2" w:rsidRDefault="000A74F2" w:rsidP="000A74F2">
      <w:pPr>
        <w:pStyle w:val="BookBody"/>
      </w:pPr>
      <w:r w:rsidRPr="000A74F2">
        <w:rPr>
          <w:szCs w:val="28"/>
        </w:rPr>
        <w:t>This division gave representation unusual mobility. A geometrical relation can be drawn at different scales, embodied in wood or metal, and transferred from one problem to another. Once a natural process is captured as relation among extended parts, a model may reproduce the relation without reproducing the substance. The diagram and machine become bridges between understanding and construction.</w:t>
      </w:r>
    </w:p>
    <w:p w14:paraId="3A44F19D" w14:textId="77777777" w:rsidR="000A74F2" w:rsidRPr="000A74F2" w:rsidRDefault="000A74F2" w:rsidP="000A74F2">
      <w:pPr>
        <w:pStyle w:val="BookBody"/>
      </w:pPr>
      <w:r w:rsidRPr="000A74F2">
        <w:rPr>
          <w:szCs w:val="28"/>
        </w:rPr>
        <w:t>Space itself does not stand apart from body. The extension constituting a place is the extension of the body that occupies it. An absolute vacuum is therefore contradictory for Descartes: empty extension would be extended nothing. The universe is a plenum, filled everywhere with matter. Motion in one region requires displacement elsewhere, so the simplest intelligible large-scale motions curve through circuits and vortices.</w:t>
      </w:r>
      <w:r w:rsidRPr="000A74F2">
        <w:rPr>
          <w:szCs w:val="28"/>
          <w:vertAlign w:val="superscript"/>
        </w:rPr>
        <w:t>15</w:t>
      </w:r>
    </w:p>
    <w:p w14:paraId="01F5D4C7" w14:textId="77777777" w:rsidR="000A74F2" w:rsidRPr="000A74F2" w:rsidRDefault="000A74F2" w:rsidP="000A74F2">
      <w:pPr>
        <w:pStyle w:val="BookBody"/>
      </w:pPr>
      <w:r w:rsidRPr="000A74F2">
        <w:rPr>
          <w:szCs w:val="28"/>
        </w:rPr>
        <w:t>This denial of void distinguishes Cartesian mechanism from atomism. Descartes did not imagine hard indivisible particles flying across emptiness. Matter was indefinitely divisible, and its parts were distinguished by motion rather than by ultimate atomic boundaries. Daniel Garber has emphasized how Descartes’s physics arose from a metaphysical campaign against both scholastic hylomorphism and atomist alternatives. Extension removed substantial forms; indefinite divisibility and plenum prevented matter from becoming a collection of self-sufficient atoms.</w:t>
      </w:r>
      <w:r w:rsidRPr="000A74F2">
        <w:rPr>
          <w:szCs w:val="28"/>
          <w:vertAlign w:val="superscript"/>
        </w:rPr>
        <w:t>16</w:t>
      </w:r>
    </w:p>
    <w:p w14:paraId="4EF0875F" w14:textId="77777777" w:rsidR="000A74F2" w:rsidRPr="000A74F2" w:rsidRDefault="000A74F2" w:rsidP="000A74F2">
      <w:pPr>
        <w:pStyle w:val="BookBody"/>
      </w:pPr>
      <w:r w:rsidRPr="000A74F2">
        <w:rPr>
          <w:szCs w:val="28"/>
        </w:rPr>
        <w:t>The result was a peculiar combination of austerity and abundance. Matter has only a small vocabulary of basic modifications, yet a plenum permits unending complexity of arrangement. A flame, stone, cloud, planet, nerve, and animal body are not different grades of being. They are different organizations within one created extension. The hierarchy of elements and forms gives way to a field of possible configurations.</w:t>
      </w:r>
    </w:p>
    <w:p w14:paraId="7C862060" w14:textId="77777777" w:rsidR="000A74F2" w:rsidRPr="000A74F2" w:rsidRDefault="000A74F2" w:rsidP="000A74F2">
      <w:pPr>
        <w:pStyle w:val="BookBody"/>
      </w:pPr>
      <w:r w:rsidRPr="000A74F2">
        <w:rPr>
          <w:szCs w:val="28"/>
        </w:rPr>
        <w:t>That field is available because no natural body possesses an occult sovereignty that exempts it from analysis. A magnet may display remarkable effects, but its power must be traced to matter and motion. A living body may organize astonishing behavior, but its corporeal functions remain arrangements of parts. A planet may circle the sun, but it does not seek its natural place. Explanation no longer asks what form a body strives to actualize. It asks how motions are transmitted through a material order.</w:t>
      </w:r>
    </w:p>
    <w:p w14:paraId="4095040D" w14:textId="77777777" w:rsidR="000A74F2" w:rsidRPr="000A74F2" w:rsidRDefault="000A74F2" w:rsidP="000A74F2">
      <w:pPr>
        <w:pStyle w:val="BookBody"/>
      </w:pPr>
      <w:r w:rsidRPr="000A74F2">
        <w:rPr>
          <w:szCs w:val="28"/>
        </w:rPr>
        <w:t>This does not mean Descartes denied all substance except matter. Mind and body were distinct created substances, and the human being could not be reduced without remainder to extension. But the hinge relevant here is narrower than a general history of Cartesian subjectivity. Whatever belongs to body as body is available to mechanical explanation. Thought marks a boundary around the corporeal field; it does not restore immanent purposes to the bodies within it.</w:t>
      </w:r>
    </w:p>
    <w:p w14:paraId="2FC94642" w14:textId="77777777" w:rsidR="000A74F2" w:rsidRPr="000A74F2" w:rsidRDefault="000A74F2" w:rsidP="000A74F2">
      <w:pPr>
        <w:pStyle w:val="SectionHeading"/>
      </w:pPr>
      <w:r w:rsidRPr="000A74F2">
        <w:rPr>
          <w:rFonts w:cstheme="majorBidi"/>
          <w:bCs/>
          <w:color w:val="2E74B5"/>
          <w:szCs w:val="28"/>
        </w:rPr>
        <w:t>A World Built from Motion</w:t>
      </w:r>
    </w:p>
    <w:p w14:paraId="57991C28" w14:textId="77777777" w:rsidR="000A74F2" w:rsidRPr="000A74F2" w:rsidRDefault="000A74F2" w:rsidP="000A74F2">
      <w:pPr>
        <w:pStyle w:val="BookBody"/>
      </w:pPr>
      <w:r w:rsidRPr="000A74F2">
        <w:rPr>
          <w:szCs w:val="28"/>
        </w:rPr>
        <w:t xml:space="preserve">Descartes’s </w:t>
      </w:r>
      <w:r w:rsidRPr="000A74F2">
        <w:rPr>
          <w:i/>
          <w:szCs w:val="28"/>
        </w:rPr>
        <w:t>World</w:t>
      </w:r>
      <w:r w:rsidRPr="000A74F2">
        <w:rPr>
          <w:szCs w:val="28"/>
        </w:rPr>
        <w:t xml:space="preserve"> asks the reader to imagine a new creation: God makes matter and sets its parts into motion, after which the laws of nature are sufficient to produce an ordered cosmos from chaos. The thought experiment separates the intelligibility of a world from inherited sensory pictures of this one. Matter need not begin as earth, water, air, and fire endowed with traditional qualities. It can begin as extension in confused motion and acquire structure through law.</w:t>
      </w:r>
      <w:r w:rsidRPr="000A74F2">
        <w:rPr>
          <w:szCs w:val="28"/>
          <w:vertAlign w:val="superscript"/>
        </w:rPr>
        <w:t>17</w:t>
      </w:r>
    </w:p>
    <w:p w14:paraId="27D9FDA1" w14:textId="77777777" w:rsidR="000A74F2" w:rsidRPr="000A74F2" w:rsidRDefault="000A74F2" w:rsidP="000A74F2">
      <w:pPr>
        <w:pStyle w:val="BookBody"/>
      </w:pPr>
      <w:r w:rsidRPr="000A74F2">
        <w:rPr>
          <w:szCs w:val="28"/>
        </w:rPr>
        <w:t xml:space="preserve">The laws are not autonomous necessities standing above God. In the </w:t>
      </w:r>
      <w:r w:rsidRPr="000A74F2">
        <w:rPr>
          <w:i/>
          <w:szCs w:val="28"/>
        </w:rPr>
        <w:t>Principles</w:t>
      </w:r>
      <w:r w:rsidRPr="000A74F2">
        <w:rPr>
          <w:szCs w:val="28"/>
        </w:rPr>
        <w:t>, Descartes grounds them in divine immutability. God preserves the world by the same action with which he created it; from this constancy follow persistence in state, rectilinear tendency, and rules governing collisions. Natural law thus joins the radical contingency of creation to the reliability of created order. The world could have depended on God; it need not therefore behave capriciously.</w:t>
      </w:r>
      <w:r w:rsidRPr="000A74F2">
        <w:rPr>
          <w:szCs w:val="28"/>
          <w:vertAlign w:val="superscript"/>
        </w:rPr>
        <w:t>18</w:t>
      </w:r>
    </w:p>
    <w:p w14:paraId="70E3CDD2" w14:textId="77777777" w:rsidR="000A74F2" w:rsidRPr="000A74F2" w:rsidRDefault="000A74F2" w:rsidP="000A74F2">
      <w:pPr>
        <w:pStyle w:val="BookBody"/>
      </w:pPr>
      <w:r w:rsidRPr="000A74F2">
        <w:rPr>
          <w:szCs w:val="28"/>
        </w:rPr>
        <w:t>This theological grounding matters to the death of the living cosmos. Cartesian mechanism did not expel God in order to liberate matter. It concentrated agency. Matter contributes extension and the modes assigned to it, but it does not originate motion or legislate its own ends. God is first cause and continuous conserver; laws are the stable expression of divine action; bodies are secondary causes whose effects can be calculated through their states and encounters.</w:t>
      </w:r>
    </w:p>
    <w:p w14:paraId="6E5BE44D" w14:textId="77777777" w:rsidR="000A74F2" w:rsidRPr="000A74F2" w:rsidRDefault="000A74F2" w:rsidP="000A74F2">
      <w:pPr>
        <w:pStyle w:val="BookBody"/>
      </w:pPr>
      <w:r w:rsidRPr="000A74F2">
        <w:rPr>
          <w:szCs w:val="28"/>
        </w:rPr>
        <w:t>The vortices make this union of theology, geometry, and mechanism visible. Because the universe is full, matter moving in one place displaces matter elsewhere. Celestial systems form around centers of circulation. Planets are carried within immense streams rather than moving through a void under an occult attraction. The diagram’s densely dotted curves render the heavens as a continuous traffic of matter. Even cosmic order becomes a hydraulics.</w:t>
      </w:r>
    </w:p>
    <w:p w14:paraId="56525748" w14:textId="77777777" w:rsidR="000A74F2" w:rsidRPr="000A74F2" w:rsidRDefault="000A74F2" w:rsidP="000A74F2">
      <w:pPr>
        <w:pStyle w:val="FigureImage"/>
      </w:pPr>
      <w:r w:rsidRPr="000A74F2">
        <w:rPr>
          <w:noProof/>
          <w:szCs w:val="28"/>
        </w:rPr>
        <w:drawing>
          <wp:inline distT="0" distB="0" distL="0" distR="0" wp14:anchorId="75F096BA" wp14:editId="29D345CC">
            <wp:extent cx="2834640" cy="4783455"/>
            <wp:effectExtent l="0" t="0" r="0" b="0"/>
            <wp:docPr id="972527177" name="Picture 972527177" descr="Facsimile of page 114 of Descartes's 1644 Principia philosophiae, filled by a dotted diagram of adjoining celestial vortices around multiple labeled cen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5_3_descartes_vortices.jpg"/>
                    <pic:cNvPicPr/>
                  </pic:nvPicPr>
                  <pic:blipFill>
                    <a:blip r:embed="rId19"/>
                    <a:stretch>
                      <a:fillRect/>
                    </a:stretch>
                  </pic:blipFill>
                  <pic:spPr>
                    <a:xfrm>
                      <a:off x="0" y="0"/>
                      <a:ext cx="2834640" cy="4783455"/>
                    </a:xfrm>
                    <a:prstGeom prst="rect">
                      <a:avLst/>
                    </a:prstGeom>
                  </pic:spPr>
                </pic:pic>
              </a:graphicData>
            </a:graphic>
          </wp:inline>
        </w:drawing>
      </w:r>
    </w:p>
    <w:p w14:paraId="2FEB41FE" w14:textId="77777777" w:rsidR="000A74F2" w:rsidRPr="000A74F2" w:rsidRDefault="000A74F2" w:rsidP="000A74F2">
      <w:pPr>
        <w:pStyle w:val="FigureCaption"/>
      </w:pPr>
      <w:r w:rsidRPr="000A74F2">
        <w:rPr>
          <w:color w:val="555555"/>
          <w:szCs w:val="28"/>
        </w:rPr>
        <w:t>Figure 15.2. Cartesian vortices in René Descartes, Principia philosophiae (Amsterdam, 1644), p. 114. The plenum is represented as adjoining circulations of matter around multiple centers. Working facsimile from the Bibliothèque nationale de France/Gallica scan supplied for drafting; final reproduction terms to be verified.</w:t>
      </w:r>
    </w:p>
    <w:p w14:paraId="6F4F8922" w14:textId="77777777" w:rsidR="000A74F2" w:rsidRPr="000A74F2" w:rsidRDefault="000A74F2" w:rsidP="000A74F2">
      <w:pPr>
        <w:pStyle w:val="BookBody"/>
      </w:pPr>
      <w:r w:rsidRPr="000A74F2">
        <w:rPr>
          <w:szCs w:val="28"/>
        </w:rPr>
        <w:t>The image is mechanistic, but not inert in the everyday sense. Everything flows. The apparent stability of a world is the maintained pattern of ceaseless motion. Descartes’s matter lacks intrinsic soul and purpose, yet the cosmos is not a heap of stationary pieces. It is an articulated current whose regularity emerges from the conservation and transfer of motion.</w:t>
      </w:r>
    </w:p>
    <w:p w14:paraId="594CD1B7" w14:textId="77777777" w:rsidR="000A74F2" w:rsidRPr="000A74F2" w:rsidRDefault="000A74F2" w:rsidP="000A74F2">
      <w:pPr>
        <w:pStyle w:val="BookBody"/>
      </w:pPr>
      <w:r w:rsidRPr="000A74F2">
        <w:rPr>
          <w:szCs w:val="28"/>
        </w:rPr>
        <w:t>This distinction prevents a common mistake. “Dead matter” can mean matter without life, sensation, or immanent purpose; it can also suggest matter that does nothing. Cartesian matter is dead in the first sense and extraordinarily active in the second. Its activity, however, is derivative and relational. A part persists or changes because of motion conserved by God and impacts received from other parts. The body has no inward project expressed by its movement.</w:t>
      </w:r>
    </w:p>
    <w:p w14:paraId="731636C3" w14:textId="77777777" w:rsidR="000A74F2" w:rsidRPr="000A74F2" w:rsidRDefault="000A74F2" w:rsidP="000A74F2">
      <w:pPr>
        <w:pStyle w:val="BookBody"/>
      </w:pPr>
      <w:r w:rsidRPr="000A74F2">
        <w:rPr>
          <w:szCs w:val="28"/>
        </w:rPr>
        <w:t>Once the heavens could be pictured this way, intervention on earth acquired metaphysical support. If a natural process is an arrangement of moving parts, then an artifact need not be ontologically inferior to it. Human makers do not create matter or laws, but they can redirect motions and configurations. The machine works because art and nature share a material grammar. A pump, clock, fountain, and animal body differ in complexity and origin, not because one is mechanical and another escapes mechanism.</w:t>
      </w:r>
    </w:p>
    <w:p w14:paraId="363FDC83" w14:textId="77777777" w:rsidR="000A74F2" w:rsidRPr="000A74F2" w:rsidRDefault="000A74F2" w:rsidP="000A74F2">
      <w:pPr>
        <w:pStyle w:val="BookBody"/>
      </w:pPr>
      <w:r w:rsidRPr="000A74F2">
        <w:rPr>
          <w:szCs w:val="28"/>
        </w:rPr>
        <w:t>The promise is immense. To understand a mechanism is to identify points where an alteration can change its behavior. Prediction and control become two uses of the same model. Yet the same simplification can hide what the model excludes. A vortex diagram suppresses color, labor, contingency of construction, and the limits of measurement. It gains causal legibility by narrowing the form in which the world is allowed to appear.</w:t>
      </w:r>
    </w:p>
    <w:p w14:paraId="4AFB693A" w14:textId="77777777" w:rsidR="000A74F2" w:rsidRPr="000A74F2" w:rsidRDefault="000A74F2" w:rsidP="000A74F2">
      <w:pPr>
        <w:pStyle w:val="SectionHeading"/>
      </w:pPr>
      <w:r w:rsidRPr="000A74F2">
        <w:rPr>
          <w:rFonts w:cstheme="majorBidi"/>
          <w:bCs/>
          <w:color w:val="2E74B5"/>
          <w:szCs w:val="28"/>
        </w:rPr>
        <w:t>The Animal Machine</w:t>
      </w:r>
    </w:p>
    <w:p w14:paraId="2A00B588" w14:textId="77777777" w:rsidR="000A74F2" w:rsidRPr="000A74F2" w:rsidRDefault="000A74F2" w:rsidP="000A74F2">
      <w:pPr>
        <w:pStyle w:val="BookBody"/>
      </w:pPr>
      <w:r w:rsidRPr="000A74F2">
        <w:rPr>
          <w:szCs w:val="28"/>
        </w:rPr>
        <w:t xml:space="preserve">Descartes carried mechanical explanation into the living body. At the opening of the </w:t>
      </w:r>
      <w:r w:rsidRPr="000A74F2">
        <w:rPr>
          <w:i/>
          <w:szCs w:val="28"/>
        </w:rPr>
        <w:t>Treatise on Man</w:t>
      </w:r>
      <w:r w:rsidRPr="000A74F2">
        <w:rPr>
          <w:szCs w:val="28"/>
        </w:rPr>
        <w:t>, he asks the reader to imagine a machine made by God with the external shape and internal organs of a human body. Its walking, breathing, digestion, circulation, waking, sleeping, sensation, and many responses can proceed from the disposition of its parts. Clocks, mills, and artificial fountains already move in varied ways; a divine artifact may display incomparably greater ingenuity.</w:t>
      </w:r>
      <w:r w:rsidRPr="000A74F2">
        <w:rPr>
          <w:szCs w:val="28"/>
          <w:vertAlign w:val="superscript"/>
        </w:rPr>
        <w:t>19</w:t>
      </w:r>
    </w:p>
    <w:p w14:paraId="7840E59D" w14:textId="77777777" w:rsidR="000A74F2" w:rsidRPr="000A74F2" w:rsidRDefault="000A74F2" w:rsidP="000A74F2">
      <w:pPr>
        <w:pStyle w:val="BookBody"/>
      </w:pPr>
      <w:r w:rsidRPr="000A74F2">
        <w:rPr>
          <w:szCs w:val="28"/>
        </w:rPr>
        <w:t>The comparison did not imply that an organism resembled only a clockwork of rigid gears. Descartes repeatedly drew upon hydraulic machines. Heat in the heart agitates blood; the finest particles become animal spirits; these flow through the brain and nerves; pores, fibers, valves, and muscles direct movement. The gardens of Saint-Germain, where pressure opened gates and animated statues, offered a more apt model than the later image of a wound spring. Dennis Des Chene has shown that the Cartesian machine must be understood as organized capacity, not simply as a pile of interchangeable parts.</w:t>
      </w:r>
      <w:r w:rsidRPr="000A74F2">
        <w:rPr>
          <w:szCs w:val="28"/>
          <w:vertAlign w:val="superscript"/>
        </w:rPr>
        <w:t>20</w:t>
      </w:r>
    </w:p>
    <w:p w14:paraId="6CB5B59D" w14:textId="77777777" w:rsidR="000A74F2" w:rsidRPr="000A74F2" w:rsidRDefault="000A74F2" w:rsidP="000A74F2">
      <w:pPr>
        <w:pStyle w:val="BookBody"/>
      </w:pPr>
      <w:r w:rsidRPr="000A74F2">
        <w:rPr>
          <w:szCs w:val="28"/>
        </w:rPr>
        <w:t>The burning-pain diagram condenses the argument. Fire at the foot agitates a nerve pathway. The disturbance opens a passage in the brain, redirects animal spirits, and produces movements that withdraw the limb, turn the head and eyes, alter the organs, and express distress. A purposive-looking response emerges from structure and flow. The body avoids injury without requiring a small rational agent to inspect the damage and issue a command.</w:t>
      </w:r>
      <w:r w:rsidRPr="000A74F2">
        <w:rPr>
          <w:szCs w:val="28"/>
          <w:vertAlign w:val="superscript"/>
        </w:rPr>
        <w:t>21</w:t>
      </w:r>
    </w:p>
    <w:p w14:paraId="1205325D" w14:textId="77777777" w:rsidR="000A74F2" w:rsidRPr="000A74F2" w:rsidRDefault="000A74F2" w:rsidP="000A74F2">
      <w:pPr>
        <w:pStyle w:val="BookBody"/>
      </w:pPr>
      <w:r w:rsidRPr="000A74F2">
        <w:rPr>
          <w:szCs w:val="28"/>
        </w:rPr>
        <w:t>The sequence is revealing because it distributes an apparently unified event across several sites. Injury, transmission, routing, movement, visceral change, and expression can be distinguished while remaining connected. The diagram does not show “pain itself.” It shows the corporeal order through which a damaging stimulus becomes coordinated response. That analytical distinction would become foundational to later physiology even when Descartes’s animal spirits and cerebral architecture were abandoned.</w:t>
      </w:r>
    </w:p>
    <w:p w14:paraId="6C69C3AB" w14:textId="77777777" w:rsidR="000A74F2" w:rsidRPr="000A74F2" w:rsidRDefault="000A74F2" w:rsidP="000A74F2">
      <w:pPr>
        <w:pStyle w:val="FigureImage"/>
      </w:pPr>
      <w:r w:rsidRPr="000A74F2">
        <w:rPr>
          <w:noProof/>
          <w:szCs w:val="28"/>
        </w:rPr>
        <w:drawing>
          <wp:inline distT="0" distB="0" distL="0" distR="0" wp14:anchorId="29297010" wp14:editId="35BCDE32">
            <wp:extent cx="3886200" cy="4285484"/>
            <wp:effectExtent l="0" t="0" r="0" b="0"/>
            <wp:docPr id="549842482" name="Picture 549842482" descr="Descartes's anatomical-mechanical diagram of a person withdrawing a foot from a fire, with the bodily pathway marked from the injury through the spinal nerves to the br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scartes;_The_path_of_burning_pain._Wellcome_M0014440.jpg"/>
                    <pic:cNvPicPr/>
                  </pic:nvPicPr>
                  <pic:blipFill>
                    <a:blip r:embed="rId20"/>
                    <a:stretch>
                      <a:fillRect/>
                    </a:stretch>
                  </pic:blipFill>
                  <pic:spPr>
                    <a:xfrm>
                      <a:off x="0" y="0"/>
                      <a:ext cx="3886200" cy="4285484"/>
                    </a:xfrm>
                    <a:prstGeom prst="rect">
                      <a:avLst/>
                    </a:prstGeom>
                  </pic:spPr>
                </pic:pic>
              </a:graphicData>
            </a:graphic>
          </wp:inline>
        </w:drawing>
      </w:r>
    </w:p>
    <w:p w14:paraId="30846591" w14:textId="77777777" w:rsidR="000A74F2" w:rsidRPr="000A74F2" w:rsidRDefault="000A74F2" w:rsidP="000A74F2">
      <w:pPr>
        <w:pStyle w:val="FigureCaption"/>
      </w:pPr>
      <w:r w:rsidRPr="000A74F2">
        <w:rPr>
          <w:color w:val="555555"/>
          <w:szCs w:val="28"/>
        </w:rPr>
        <w:t>Figure 15.3. The path of burning pain in Descartes’s De homine/L’Homme: stimulation at the foot is transmitted through a nerve pathway and coordinated in the brain with withdrawal and bodily response. Working image: Wellcome Collection, M0014440; final credit line and license terms to be verified.</w:t>
      </w:r>
    </w:p>
    <w:p w14:paraId="62393B9F" w14:textId="77777777" w:rsidR="000A74F2" w:rsidRPr="000A74F2" w:rsidRDefault="000A74F2" w:rsidP="000A74F2">
      <w:pPr>
        <w:pStyle w:val="BookBody"/>
      </w:pPr>
      <w:r w:rsidRPr="000A74F2">
        <w:rPr>
          <w:szCs w:val="28"/>
        </w:rPr>
        <w:t>This mechanization simultaneously demoted and dignified the body. It demoted corporeal life by denying that nutrition, circulation, sensation, and spontaneous motion required a vegetative or sensitive soul in the traditional sense. It dignified bodily organization by making it worthy of exact causal study. A reflex was not a lesser miracle because it could be explained. The machine’s intricacy displayed the art of its maker.</w:t>
      </w:r>
    </w:p>
    <w:p w14:paraId="48B13BB2" w14:textId="77777777" w:rsidR="000A74F2" w:rsidRPr="000A74F2" w:rsidRDefault="000A74F2" w:rsidP="000A74F2">
      <w:pPr>
        <w:pStyle w:val="BookBody"/>
      </w:pPr>
      <w:r w:rsidRPr="000A74F2">
        <w:rPr>
          <w:szCs w:val="28"/>
        </w:rPr>
        <w:t>The diagram also changed the moral imagination of pain. Pain had been a lived quality, a warning, a trial, and sometimes a providential sign. Descartes did not abolish experience, but he made its bodily occasion traceable through a pathway. Once pain has a mechanism, intervention can target transmission, inflammation, muscle response, or the conditions that initiate injury. The same reduction that risks treating sufferers as machines can make suffering technically remediable.</w:t>
      </w:r>
    </w:p>
    <w:p w14:paraId="524BFBF2" w14:textId="77777777" w:rsidR="000A74F2" w:rsidRPr="000A74F2" w:rsidRDefault="000A74F2" w:rsidP="000A74F2">
      <w:pPr>
        <w:pStyle w:val="BookBody"/>
      </w:pPr>
      <w:r w:rsidRPr="000A74F2">
        <w:rPr>
          <w:szCs w:val="28"/>
        </w:rPr>
        <w:t>Animal mechanism raises the sharper ethical problem. If nonhuman animals are machines lacking rational souls, their cries and struggles can be interpreted as corporeal effects rather than evidence of inward experience comparable to ours. Descartes’s precise position and practice have been debated, and seventeenth-century mechanism did not alone create cruelty to animals. Yet the conceptual permission is evident: behavior no longer guarantees a subject with claims. A body can be exquisitely organized and still be treated as available.</w:t>
      </w:r>
    </w:p>
    <w:p w14:paraId="480D5C6A" w14:textId="77777777" w:rsidR="000A74F2" w:rsidRPr="000A74F2" w:rsidRDefault="000A74F2" w:rsidP="000A74F2">
      <w:pPr>
        <w:pStyle w:val="BookBody"/>
      </w:pPr>
      <w:r w:rsidRPr="000A74F2">
        <w:rPr>
          <w:szCs w:val="28"/>
        </w:rPr>
        <w:t>The human case remains more complex. Descartes did not say that a person is only a machine. Hunger, thirst, pain, and passion arise in the union of mind and body, and rational thought cannot be derived from extension. The human organism is therefore both mechanism and lived body. But this boundary did not prevent medicine from treating corporeal functions mechanically. It marked where explanation was supposed to stop, not where intervention had to stop.</w:t>
      </w:r>
    </w:p>
    <w:p w14:paraId="439F1EC2" w14:textId="77777777" w:rsidR="000A74F2" w:rsidRPr="000A74F2" w:rsidRDefault="000A74F2" w:rsidP="000A74F2">
      <w:pPr>
        <w:pStyle w:val="BookBody"/>
      </w:pPr>
      <w:r w:rsidRPr="000A74F2">
        <w:rPr>
          <w:szCs w:val="28"/>
        </w:rPr>
        <w:t>Jessica Riskin’s history of the “restless clock” cautions against reading mechanism as one stable doctrine of lifelessness. Early modern automata could be images of self-motion; mechanisms could be designed to regulate themselves; living organization repeatedly forced mechanists to introduce feedback, tension, irritability, force, or internal economy. The machine metaphor did not settle the problem of agency. It made the problem newly explicit.</w:t>
      </w:r>
      <w:r w:rsidRPr="000A74F2">
        <w:rPr>
          <w:szCs w:val="28"/>
          <w:vertAlign w:val="superscript"/>
        </w:rPr>
        <w:t>22</w:t>
      </w:r>
    </w:p>
    <w:p w14:paraId="4A6BC08F" w14:textId="77777777" w:rsidR="000A74F2" w:rsidRPr="000A74F2" w:rsidRDefault="000A74F2" w:rsidP="000A74F2">
      <w:pPr>
        <w:pStyle w:val="BookBody"/>
      </w:pPr>
      <w:r w:rsidRPr="000A74F2">
        <w:rPr>
          <w:szCs w:val="28"/>
        </w:rPr>
        <w:t>The animal machine therefore belongs at the center of nature’s availability. It broke corporeal functions into pathways and operations that could be represented, imitated, interrupted, and repaired. It also exposed the moral risk of operational knowledge: the better a body can be decomposed into functions, the easier it may become to ignore the unity for whom those functions are lived.</w:t>
      </w:r>
    </w:p>
    <w:p w14:paraId="22C6FDC0" w14:textId="77777777" w:rsidR="000A74F2" w:rsidRPr="000A74F2" w:rsidRDefault="000A74F2" w:rsidP="000A74F2">
      <w:pPr>
        <w:pStyle w:val="SectionHeading"/>
      </w:pPr>
      <w:r w:rsidRPr="000A74F2">
        <w:rPr>
          <w:rFonts w:cstheme="majorBidi"/>
          <w:bCs/>
          <w:color w:val="2E74B5"/>
          <w:szCs w:val="28"/>
        </w:rPr>
        <w:t>Corpuscles and Qualities</w:t>
      </w:r>
    </w:p>
    <w:p w14:paraId="47017362" w14:textId="77777777" w:rsidR="000A74F2" w:rsidRPr="000A74F2" w:rsidRDefault="000A74F2" w:rsidP="000A74F2">
      <w:pPr>
        <w:pStyle w:val="BookBody"/>
      </w:pPr>
      <w:r w:rsidRPr="000A74F2">
        <w:rPr>
          <w:szCs w:val="28"/>
        </w:rPr>
        <w:t>Boyle’s mechanical philosophy developed inside the experimental culture described in Chapter 14. The air pump did not simply illustrate a prior metaphysics. Its leaks, receivers, gauges, animal trials, flames, bladders, and contested vacua generated phenomena whose interpretation remained open. Boyle’s corpuscular philosophy offered a language for connecting such effects without claiming that every hidden mechanism had been directly seen.</w:t>
      </w:r>
      <w:r w:rsidRPr="000A74F2">
        <w:rPr>
          <w:szCs w:val="28"/>
          <w:vertAlign w:val="superscript"/>
        </w:rPr>
        <w:t>23</w:t>
      </w:r>
    </w:p>
    <w:p w14:paraId="1DB45F21" w14:textId="77777777" w:rsidR="000A74F2" w:rsidRPr="000A74F2" w:rsidRDefault="000A74F2" w:rsidP="000A74F2">
      <w:pPr>
        <w:pStyle w:val="BookBody"/>
      </w:pPr>
      <w:r w:rsidRPr="000A74F2">
        <w:rPr>
          <w:szCs w:val="28"/>
        </w:rPr>
        <w:t xml:space="preserve">In </w:t>
      </w:r>
      <w:r w:rsidRPr="000A74F2">
        <w:rPr>
          <w:i/>
          <w:szCs w:val="28"/>
        </w:rPr>
        <w:t>The Origin of Forms and Qualities</w:t>
      </w:r>
      <w:r w:rsidRPr="000A74F2">
        <w:rPr>
          <w:szCs w:val="28"/>
        </w:rPr>
        <w:t>, Boyle rejected the multiplication of substantial forms and real qualities as explanations. Matter has a small set of mechanical affections: extension, impenetrability, size, shape, motion or rest, posture, order, and texture. The familiar qualities of bodies arise from these arrangements and from relations between bodies and perceivers. Color, odor, heat, fluidity, firmness, and medicinal efficacy need not be additional entities implanted in substances.</w:t>
      </w:r>
      <w:r w:rsidRPr="000A74F2">
        <w:rPr>
          <w:szCs w:val="28"/>
          <w:vertAlign w:val="superscript"/>
        </w:rPr>
        <w:t>24</w:t>
      </w:r>
    </w:p>
    <w:p w14:paraId="2BB23760" w14:textId="77777777" w:rsidR="000A74F2" w:rsidRPr="000A74F2" w:rsidRDefault="000A74F2" w:rsidP="000A74F2">
      <w:pPr>
        <w:pStyle w:val="BookBody"/>
      </w:pPr>
      <w:r w:rsidRPr="000A74F2">
        <w:rPr>
          <w:szCs w:val="28"/>
        </w:rPr>
        <w:t>Texture was especially powerful. Boyle used the term broadly for the organized disposition of corpuscles. A key fits a lock because of reciprocal shapes; a clock’s arrangement allows a small input to produce a large sequence; a body affects an eye or tongue because its parts meet the sensory organ in a determinate way. Change the texture and new qualities appear. The same matter can become available for new operations without acquiring a new substantial form.</w:t>
      </w:r>
    </w:p>
    <w:p w14:paraId="6F03352A" w14:textId="77777777" w:rsidR="000A74F2" w:rsidRPr="000A74F2" w:rsidRDefault="000A74F2" w:rsidP="000A74F2">
      <w:pPr>
        <w:pStyle w:val="BookBody"/>
      </w:pPr>
      <w:r w:rsidRPr="000A74F2">
        <w:rPr>
          <w:szCs w:val="28"/>
        </w:rPr>
        <w:t>This theory made qualities manufacturable. Dissolve, precipitate, distill, grind, heat, cool, mix, or compress a body, and its sensible and active properties may change. The experimentalist does not merely catalog what a substance possesses. He rearranges the conditions from which possession is inferred. Qualities become histories of interaction.</w:t>
      </w:r>
    </w:p>
    <w:p w14:paraId="691B7D8C" w14:textId="77777777" w:rsidR="000A74F2" w:rsidRPr="000A74F2" w:rsidRDefault="000A74F2" w:rsidP="000A74F2">
      <w:pPr>
        <w:pStyle w:val="BookBody"/>
      </w:pPr>
      <w:r w:rsidRPr="000A74F2">
        <w:rPr>
          <w:szCs w:val="28"/>
        </w:rPr>
        <w:t>Boyle did not reduce all knowledge to invisible corpuscles. He insisted on experiments because mechanical explanations could be too easily invented. Several hypothetical textures might fit the same effect, and the limits of instruments left much unresolved. A good hypothesis had to be intelligible, consistent with established phenomena, fruitful in new trials, and preferable to rivals. Corpuscularism directed inquiry without licensing certainty about every minute cause.</w:t>
      </w:r>
      <w:r w:rsidRPr="000A74F2">
        <w:rPr>
          <w:szCs w:val="28"/>
          <w:vertAlign w:val="superscript"/>
        </w:rPr>
        <w:t>25</w:t>
      </w:r>
    </w:p>
    <w:p w14:paraId="5EAC5646" w14:textId="77777777" w:rsidR="000A74F2" w:rsidRPr="000A74F2" w:rsidRDefault="000A74F2" w:rsidP="000A74F2">
      <w:pPr>
        <w:pStyle w:val="BookBody"/>
      </w:pPr>
      <w:r w:rsidRPr="000A74F2">
        <w:rPr>
          <w:szCs w:val="28"/>
        </w:rPr>
        <w:t>The air-pump chamber made that restraint concrete. Within the receiver, pressure could be reduced but never known to be absolutely absent; an animal’s distress, a flame’s extinction, or a bladder’s expansion required interpretation. The apparatus did not display corpuscles. It rearranged macroscopic conditions so that rival accounts of air, void, and pressure confronted bounded effects. Mechanical philosophy gained authority through trials that could support it without pretending to make its hidden parts visible.</w:t>
      </w:r>
    </w:p>
    <w:p w14:paraId="1476A349" w14:textId="77777777" w:rsidR="000A74F2" w:rsidRPr="000A74F2" w:rsidRDefault="000A74F2" w:rsidP="000A74F2">
      <w:pPr>
        <w:pStyle w:val="BookBody"/>
      </w:pPr>
      <w:r w:rsidRPr="000A74F2">
        <w:rPr>
          <w:szCs w:val="28"/>
        </w:rPr>
        <w:t>This gap between effect and mechanism was productive. It kept the experiment logically distinct from the explanation and allowed later investigators to preserve a result while replacing its cause. Boyle’s laboratory made nature available in a form more durable than any one ontology: a reported operation, a material arrangement, and an outcome that a successor could reinterpret.</w:t>
      </w:r>
    </w:p>
    <w:p w14:paraId="2662D18E" w14:textId="77777777" w:rsidR="000A74F2" w:rsidRPr="000A74F2" w:rsidRDefault="000A74F2" w:rsidP="000A74F2">
      <w:pPr>
        <w:pStyle w:val="BookBody"/>
      </w:pPr>
      <w:r w:rsidRPr="000A74F2">
        <w:rPr>
          <w:szCs w:val="28"/>
        </w:rPr>
        <w:t>The durability also depended on disciplined prose. Dimensions, sequences, failed seals, degrees of evacuation, and qualifications had to enter the report. A bare claim that “nature abhors a vacuum” or that “air has a spring” could not carry the local conditions of the trial. The experimental narrative turned circumstance into part of the fact. It made availability portable by telling a reader how the phenomenon had been made.</w:t>
      </w:r>
    </w:p>
    <w:p w14:paraId="380E0A9B" w14:textId="77777777" w:rsidR="000A74F2" w:rsidRPr="000A74F2" w:rsidRDefault="000A74F2" w:rsidP="000A74F2">
      <w:pPr>
        <w:pStyle w:val="BookBody"/>
      </w:pPr>
      <w:r w:rsidRPr="000A74F2">
        <w:rPr>
          <w:szCs w:val="28"/>
        </w:rPr>
        <w:t>This modesty distinguished Boyle’s mechanical philosophy from a closed Cartesian system. Boyle accepted corpuscles but resisted Descartes’s identification of matter with extension alone, accepted experiments suggesting vacua, and remained cautious about universal collision rules. The mechanical philosophy was not one doctrine. It was a family of strategies for explaining effects through matter and motion while contesting what matter, space, and law required.</w:t>
      </w:r>
    </w:p>
    <w:p w14:paraId="0DB9A3DE" w14:textId="77777777" w:rsidR="000A74F2" w:rsidRPr="000A74F2" w:rsidRDefault="000A74F2" w:rsidP="000A74F2">
      <w:pPr>
        <w:pStyle w:val="BookBody"/>
      </w:pPr>
      <w:r w:rsidRPr="000A74F2">
        <w:rPr>
          <w:szCs w:val="28"/>
        </w:rPr>
        <w:t>Peter Anstey has shown that Boyle’s theory of qualities cannot be detached from his account of motion, law, and causal interaction. Sensible qualities are neither simply illusions nor freestanding powers. They are grounded in mechanical affections and realized through encounters. This relationality gives the world a kind of distributed efficacy: bodies genuinely act upon one another, but they do so through configurations rather than occult forms.</w:t>
      </w:r>
      <w:r w:rsidRPr="000A74F2">
        <w:rPr>
          <w:szCs w:val="28"/>
          <w:vertAlign w:val="superscript"/>
        </w:rPr>
        <w:t>26</w:t>
      </w:r>
    </w:p>
    <w:p w14:paraId="25D04109" w14:textId="77777777" w:rsidR="000A74F2" w:rsidRPr="000A74F2" w:rsidRDefault="000A74F2" w:rsidP="000A74F2">
      <w:pPr>
        <w:pStyle w:val="BookBody"/>
      </w:pPr>
      <w:r w:rsidRPr="000A74F2">
        <w:rPr>
          <w:szCs w:val="28"/>
        </w:rPr>
        <w:t>The body thereby becomes both thinner and more transformable. Thinner, because its identity as a natural kind no longer depends on an intrinsic substantial form accessible to scholastic definition. More transformable, because changes of arrangement can generate strikingly different effects. Corpuscular philosophy imagines an enormous practical repertoire from a restricted ontology.</w:t>
      </w:r>
    </w:p>
    <w:p w14:paraId="415BB163" w14:textId="77777777" w:rsidR="000A74F2" w:rsidRPr="000A74F2" w:rsidRDefault="000A74F2" w:rsidP="000A74F2">
      <w:pPr>
        <w:pStyle w:val="BookBody"/>
      </w:pPr>
      <w:r w:rsidRPr="000A74F2">
        <w:rPr>
          <w:szCs w:val="28"/>
        </w:rPr>
        <w:t>Alchemy had already treated bodies as transformable, and artisans had long manipulated qualities. Boyle’s novelty was not the discovery that mixtures change. It was the attempt to place experimental transformations within a general philosophy that could distinguish mechanical affections from the qualities they produce. Chymical practice and mechanical analysis were not simply enemies. The laboratory helped make the corpuscular world credible.</w:t>
      </w:r>
      <w:r w:rsidRPr="000A74F2">
        <w:rPr>
          <w:szCs w:val="28"/>
          <w:vertAlign w:val="superscript"/>
        </w:rPr>
        <w:t>27</w:t>
      </w:r>
    </w:p>
    <w:p w14:paraId="75B108DD" w14:textId="77777777" w:rsidR="000A74F2" w:rsidRPr="000A74F2" w:rsidRDefault="000A74F2" w:rsidP="000A74F2">
      <w:pPr>
        <w:pStyle w:val="SectionHeading"/>
      </w:pPr>
      <w:r w:rsidRPr="000A74F2">
        <w:rPr>
          <w:rFonts w:cstheme="majorBidi"/>
          <w:bCs/>
          <w:color w:val="2E74B5"/>
          <w:szCs w:val="28"/>
        </w:rPr>
        <w:t>Matter Under God</w:t>
      </w:r>
    </w:p>
    <w:p w14:paraId="23AE07B0" w14:textId="77777777" w:rsidR="000A74F2" w:rsidRPr="000A74F2" w:rsidRDefault="000A74F2" w:rsidP="000A74F2">
      <w:pPr>
        <w:pStyle w:val="BookBody"/>
      </w:pPr>
      <w:r w:rsidRPr="000A74F2">
        <w:rPr>
          <w:szCs w:val="28"/>
        </w:rPr>
        <w:t>Boyle’s matter was not self-sufficient. In his account of forms and qualities, motion does not belong to matter by essence. An “Author of the universe” originates it, and divine wisdom orders the motions by which matter is divided and arranged into a world. Ancient atomism could seem to grant matter an eternal independence; Boyle’s corpuscularism separated the explanatory resources of particles from Epicurean theology.</w:t>
      </w:r>
      <w:r w:rsidRPr="000A74F2">
        <w:rPr>
          <w:szCs w:val="28"/>
          <w:vertAlign w:val="superscript"/>
        </w:rPr>
        <w:t>28</w:t>
      </w:r>
    </w:p>
    <w:p w14:paraId="6669B916" w14:textId="77777777" w:rsidR="000A74F2" w:rsidRPr="000A74F2" w:rsidRDefault="000A74F2" w:rsidP="000A74F2">
      <w:pPr>
        <w:pStyle w:val="BookBody"/>
      </w:pPr>
      <w:r w:rsidRPr="000A74F2">
        <w:rPr>
          <w:szCs w:val="28"/>
        </w:rPr>
        <w:t>This is why the mechanical philosophy could appear Christian rather than secularizing. By removing immanent souls, plastic powers, and semi-divine agencies from matter, it protected the distinction between Creator and creation. Nature did not govern itself as a goddess, world soul, or independent lawgiver. Its order depended on God’s institution and conservation.</w:t>
      </w:r>
    </w:p>
    <w:p w14:paraId="00EE6C25" w14:textId="77777777" w:rsidR="000A74F2" w:rsidRPr="000A74F2" w:rsidRDefault="000A74F2" w:rsidP="000A74F2">
      <w:pPr>
        <w:pStyle w:val="BookBody"/>
      </w:pPr>
      <w:r w:rsidRPr="000A74F2">
        <w:rPr>
          <w:szCs w:val="28"/>
        </w:rPr>
        <w:t xml:space="preserve">Boyle’s </w:t>
      </w:r>
      <w:r w:rsidRPr="000A74F2">
        <w:rPr>
          <w:i/>
          <w:szCs w:val="28"/>
        </w:rPr>
        <w:t>Free Enquiry into the Vulgarly Received Notion of Nature</w:t>
      </w:r>
      <w:r w:rsidRPr="000A74F2">
        <w:rPr>
          <w:szCs w:val="28"/>
        </w:rPr>
        <w:t xml:space="preserve"> pressed the point. The word </w:t>
      </w:r>
      <w:r w:rsidRPr="000A74F2">
        <w:rPr>
          <w:i/>
          <w:szCs w:val="28"/>
        </w:rPr>
        <w:t>nature</w:t>
      </w:r>
      <w:r w:rsidRPr="000A74F2">
        <w:rPr>
          <w:szCs w:val="28"/>
        </w:rPr>
        <w:t xml:space="preserve"> could conceal several meanings: the created world, the established course of things, a body’s constitution, or a personified agent. Used carelessly, it made nature sound like a subordinate deity issuing commands, designing organs, and enforcing laws. Boyle wanted explanations to specify God, matter, motion, and particular structures rather than attribute action to a vague mistress called Nature.</w:t>
      </w:r>
      <w:r w:rsidRPr="000A74F2">
        <w:rPr>
          <w:szCs w:val="28"/>
          <w:vertAlign w:val="superscript"/>
        </w:rPr>
        <w:t>29</w:t>
      </w:r>
    </w:p>
    <w:p w14:paraId="55B7712D" w14:textId="77777777" w:rsidR="000A74F2" w:rsidRPr="000A74F2" w:rsidRDefault="000A74F2" w:rsidP="000A74F2">
      <w:pPr>
        <w:pStyle w:val="BookBody"/>
      </w:pPr>
      <w:r w:rsidRPr="000A74F2">
        <w:rPr>
          <w:szCs w:val="28"/>
        </w:rPr>
        <w:t>The critique killed one kind of living cosmos by theological argument. If a form or plastic nature directs matter toward ends, does it share governance with God? If laws of nature command bodies, who gave the laws their authority? Boyle’s answer placed sovereignty outside matter. Created bodies possess powers grounded in their textures and situations, but the world’s fundamental order expresses divine choice.</w:t>
      </w:r>
    </w:p>
    <w:p w14:paraId="797DABDA" w14:textId="77777777" w:rsidR="000A74F2" w:rsidRPr="000A74F2" w:rsidRDefault="000A74F2" w:rsidP="000A74F2">
      <w:pPr>
        <w:pStyle w:val="BookBody"/>
      </w:pPr>
      <w:r w:rsidRPr="000A74F2">
        <w:rPr>
          <w:szCs w:val="28"/>
        </w:rPr>
        <w:t>Descartes and Boyle reached this concentration of sovereignty through different confessional and philosophical routes. Descartes grounded the general laws of motion in immutable conservation and sought demonstrative order. Boyle emphasized the freedom of divine institution and the modest reach of finite reason. Both refused to make matter divine, but Descartes’s system risked appearing too necessitarian to Boyle’s voluntarist sensibility, while Boyle’s experimental caution left open questions Cartesian deduction claimed to settle.</w:t>
      </w:r>
    </w:p>
    <w:p w14:paraId="6536D410" w14:textId="77777777" w:rsidR="000A74F2" w:rsidRPr="000A74F2" w:rsidRDefault="000A74F2" w:rsidP="000A74F2">
      <w:pPr>
        <w:pStyle w:val="BookBody"/>
      </w:pPr>
      <w:r w:rsidRPr="000A74F2">
        <w:rPr>
          <w:szCs w:val="28"/>
        </w:rPr>
        <w:t>Their difference shows why “Christian mechanism” cannot name a single compromise. Theology did not merely decorate a mechanical core. It helped determine what a law was, whether a void could exist, how much causal power bodies possessed, and what degree of certainty a philosopher could claim. The denial of living matter was intertwined with competing accounts of a living God.</w:t>
      </w:r>
    </w:p>
    <w:p w14:paraId="03724C0C" w14:textId="77777777" w:rsidR="000A74F2" w:rsidRPr="000A74F2" w:rsidRDefault="000A74F2" w:rsidP="000A74F2">
      <w:pPr>
        <w:pStyle w:val="BookBody"/>
      </w:pPr>
      <w:r w:rsidRPr="000A74F2">
        <w:rPr>
          <w:szCs w:val="28"/>
        </w:rPr>
        <w:t>Jan Wojcik situates this view within Boyle’s voluntarism and his sense of reason’s limits. God could have ordered creation otherwise; human intellect cannot infer every divine reason from necessity. Natural philosophy seeks regularities and intelligible mechanisms while acknowledging that their ultimate institution depends on will exceeding human comprehension. The same theology that authorizes mechanical inquiry limits metaphysical confidence.</w:t>
      </w:r>
      <w:r w:rsidRPr="000A74F2">
        <w:rPr>
          <w:szCs w:val="28"/>
          <w:vertAlign w:val="superscript"/>
        </w:rPr>
        <w:t>30</w:t>
      </w:r>
    </w:p>
    <w:p w14:paraId="52DC20DB" w14:textId="77777777" w:rsidR="000A74F2" w:rsidRPr="000A74F2" w:rsidRDefault="000A74F2" w:rsidP="000A74F2">
      <w:pPr>
        <w:pStyle w:val="BookBody"/>
      </w:pPr>
      <w:r w:rsidRPr="000A74F2">
        <w:rPr>
          <w:szCs w:val="28"/>
        </w:rPr>
        <w:t>This limit prevented the experimentalist from turning a successful hypothesis into a rival theology. Corpuscular explanation may be the best available, but finite minds should not claim exhaustive access to God’s design. The proper virtuoso combines industry with humility. Experimental success displays created order without collapsing creation into the investigator’s model.</w:t>
      </w:r>
    </w:p>
    <w:p w14:paraId="61E549BF" w14:textId="77777777" w:rsidR="000A74F2" w:rsidRPr="000A74F2" w:rsidRDefault="000A74F2" w:rsidP="000A74F2">
      <w:pPr>
        <w:pStyle w:val="BookBody"/>
      </w:pPr>
      <w:r w:rsidRPr="000A74F2">
        <w:rPr>
          <w:szCs w:val="28"/>
        </w:rPr>
        <w:t>Boyle’s voluntarism also complicates the idea of autonomous natural law. Laws are stable enough to support prediction because God is faithful, but they are not necessities generated by matter. Their authority is juridical and theological. Matter obeys because its motions occur within an instituted order, not because it legislates for itself.</w:t>
      </w:r>
    </w:p>
    <w:p w14:paraId="344B1C93" w14:textId="77777777" w:rsidR="000A74F2" w:rsidRPr="000A74F2" w:rsidRDefault="000A74F2" w:rsidP="000A74F2">
      <w:pPr>
        <w:pStyle w:val="BookBody"/>
      </w:pPr>
      <w:r w:rsidRPr="000A74F2">
        <w:rPr>
          <w:szCs w:val="28"/>
        </w:rPr>
        <w:t>The practical result resembles Descartes’s even where the metaphysics differs. Bodies can be treated as lawfully configured matter; occult sovereignty is denied; art can rearrange parts; experiment can disclose regular effects. Christian mechanism does not leave nature inviolable. By reserving full agency and divinity to God, it can make created matter more available to human use.</w:t>
      </w:r>
    </w:p>
    <w:p w14:paraId="4093F45E" w14:textId="77777777" w:rsidR="000A74F2" w:rsidRPr="000A74F2" w:rsidRDefault="000A74F2" w:rsidP="000A74F2">
      <w:pPr>
        <w:pStyle w:val="BookBody"/>
      </w:pPr>
      <w:r w:rsidRPr="000A74F2">
        <w:rPr>
          <w:szCs w:val="28"/>
        </w:rPr>
        <w:t>But divine ownership could also impose restraints. Boyle’s natural theology cultivated wonder, gratitude, and recognition of human limitation. Created things were not worthless because they lacked immanent souls. Their order testified to wisdom, and their study could be a form of devotion. The reduction of matter’s independent claims did not logically require contempt for creation. It created an ethical vacancy that different theologies and economies could fill differently.</w:t>
      </w:r>
    </w:p>
    <w:p w14:paraId="07128023" w14:textId="77777777" w:rsidR="000A74F2" w:rsidRPr="000A74F2" w:rsidRDefault="000A74F2" w:rsidP="000A74F2">
      <w:pPr>
        <w:pStyle w:val="SectionHeading"/>
      </w:pPr>
      <w:r w:rsidRPr="000A74F2">
        <w:rPr>
          <w:rFonts w:cstheme="majorBidi"/>
          <w:bCs/>
          <w:color w:val="2E74B5"/>
          <w:szCs w:val="28"/>
        </w:rPr>
        <w:t>Mastery and Its Costs</w:t>
      </w:r>
    </w:p>
    <w:p w14:paraId="6BCA64DA" w14:textId="77777777" w:rsidR="000A74F2" w:rsidRPr="000A74F2" w:rsidRDefault="000A74F2" w:rsidP="000A74F2">
      <w:pPr>
        <w:pStyle w:val="BookBody"/>
      </w:pPr>
      <w:r w:rsidRPr="000A74F2">
        <w:rPr>
          <w:szCs w:val="28"/>
        </w:rPr>
        <w:t xml:space="preserve">Bacon, Descartes, and Boyle did not speak with one voice about mastery. Bacon made utility and human empire explicit. Descartes promised in the </w:t>
      </w:r>
      <w:r w:rsidRPr="000A74F2">
        <w:rPr>
          <w:i/>
          <w:szCs w:val="28"/>
        </w:rPr>
        <w:t>Discourse on Method</w:t>
      </w:r>
      <w:r w:rsidRPr="000A74F2">
        <w:rPr>
          <w:szCs w:val="28"/>
        </w:rPr>
        <w:t xml:space="preserve"> that knowledge of natural powers might render human beings “masters and possessors of nature,” especially through medicine. Boyle more often emphasized experimental service, piety, and the limits of reason. Yet all three helped relocate value from nature’s intrinsic purposes to the ends served by truthful representation and controlled operation.</w:t>
      </w:r>
      <w:r w:rsidRPr="000A74F2">
        <w:rPr>
          <w:szCs w:val="28"/>
          <w:vertAlign w:val="superscript"/>
        </w:rPr>
        <w:t>31</w:t>
      </w:r>
    </w:p>
    <w:p w14:paraId="4E8BEA7E" w14:textId="77777777" w:rsidR="000A74F2" w:rsidRPr="000A74F2" w:rsidRDefault="000A74F2" w:rsidP="000A74F2">
      <w:pPr>
        <w:pStyle w:val="BookBody"/>
      </w:pPr>
      <w:r w:rsidRPr="000A74F2">
        <w:rPr>
          <w:szCs w:val="28"/>
        </w:rPr>
        <w:t>Merchant’s critique remains indispensable because this relocation had a gendered history. European languages and images often personified nature as female: mother, nurse, bride, disorderly woman, secret keeper. An investigative rhetoric of penetrating, exposing, binding, and commanding did not fall upon a neutral symbolic field. It could turn the domination of a feminized nature into a sign of masculine rational discipline.</w:t>
      </w:r>
      <w:r w:rsidRPr="000A74F2">
        <w:rPr>
          <w:szCs w:val="28"/>
          <w:vertAlign w:val="superscript"/>
        </w:rPr>
        <w:t>32</w:t>
      </w:r>
    </w:p>
    <w:p w14:paraId="68AFC1CE" w14:textId="77777777" w:rsidR="000A74F2" w:rsidRPr="000A74F2" w:rsidRDefault="000A74F2" w:rsidP="000A74F2">
      <w:pPr>
        <w:pStyle w:val="BookBody"/>
      </w:pPr>
      <w:r w:rsidRPr="000A74F2">
        <w:rPr>
          <w:szCs w:val="28"/>
        </w:rPr>
        <w:t>The pattern should neither be denied nor made total. Nature could also be male, divine art, machine, book, garden, commonwealth, or impersonal matter. Women participated in natural knowledge, and men defended organic or vital nature. Gendered metaphors did not mechanically cause mines, plantations, vivisection, or colonial conquest. Material interests, states, markets, warfare, and existing hierarchies mattered. Metaphor operated by making some actions easier to celebrate and some injuries harder to see.</w:t>
      </w:r>
    </w:p>
    <w:p w14:paraId="39AAFA77" w14:textId="77777777" w:rsidR="000A74F2" w:rsidRPr="000A74F2" w:rsidRDefault="000A74F2" w:rsidP="000A74F2">
      <w:pPr>
        <w:pStyle w:val="BookBody"/>
      </w:pPr>
      <w:r w:rsidRPr="000A74F2">
        <w:rPr>
          <w:szCs w:val="28"/>
        </w:rPr>
        <w:t>Imperial availability worked similarly. Bacon’s ship crossed the pillars within a Europe already transformed by Atlantic and Indian Ocean voyages. Descartes’s universal matter abstracted from local difference. Boyle’s histories depended on objects and reports moving through commercial and colonial networks. None of this makes a geometrical proof secretly imperial. It means that the expanding capacity to collect, compare, and manipulate nature was materially joined to unequal systems of movement and possession.</w:t>
      </w:r>
      <w:r w:rsidRPr="000A74F2">
        <w:rPr>
          <w:szCs w:val="28"/>
          <w:vertAlign w:val="superscript"/>
        </w:rPr>
        <w:t>33</w:t>
      </w:r>
    </w:p>
    <w:p w14:paraId="6F578005" w14:textId="77777777" w:rsidR="000A74F2" w:rsidRPr="000A74F2" w:rsidRDefault="000A74F2" w:rsidP="000A74F2">
      <w:pPr>
        <w:pStyle w:val="BookBody"/>
      </w:pPr>
      <w:r w:rsidRPr="000A74F2">
        <w:rPr>
          <w:szCs w:val="28"/>
        </w:rPr>
        <w:t>Availability also redistributed labor. The philosopher’s method incorporated the skills of sailors, miners, glassmakers, gardeners, apothecaries, engravers, instrument makers, servants, and colonial informants. Recording and institutional order could preserve their operations while effacing their names. A result became public knowledge after the local knower had been converted into a source.</w:t>
      </w:r>
    </w:p>
    <w:p w14:paraId="0AD72306" w14:textId="77777777" w:rsidR="000A74F2" w:rsidRPr="000A74F2" w:rsidRDefault="000A74F2" w:rsidP="000A74F2">
      <w:pPr>
        <w:pStyle w:val="BookBody"/>
      </w:pPr>
      <w:r w:rsidRPr="000A74F2">
        <w:rPr>
          <w:szCs w:val="28"/>
        </w:rPr>
        <w:t>This asymmetry belongs inside, not outside, the epistemic history. Standardization makes comparisons possible by suppressing some differences. A laboratory object becomes tractable after removal from habitat or community. A corpuscular explanation becomes portable because it ignores meanings specific to a place. These abstractions can disclose real relations, but their authority can be extended beyond the conditions that made them reliable.</w:t>
      </w:r>
    </w:p>
    <w:p w14:paraId="7A676389" w14:textId="77777777" w:rsidR="000A74F2" w:rsidRPr="000A74F2" w:rsidRDefault="000A74F2" w:rsidP="000A74F2">
      <w:pPr>
        <w:pStyle w:val="BookBody"/>
      </w:pPr>
      <w:r w:rsidRPr="000A74F2">
        <w:rPr>
          <w:szCs w:val="28"/>
        </w:rPr>
        <w:t>The same problem appears within the body. Descartes’s pain pathway isolates a mechanism shared across persons. That abstraction can guide treatment because nerves and injuries have material regularities. It can also tempt an institution to trust a diagram over a sufferer’s report. Mechanical availability improves care when it expands ways to relieve pain; it degrades care when measurable function becomes the only recognized reality.</w:t>
      </w:r>
    </w:p>
    <w:p w14:paraId="6B626E1C" w14:textId="77777777" w:rsidR="000A74F2" w:rsidRPr="000A74F2" w:rsidRDefault="000A74F2" w:rsidP="000A74F2">
      <w:pPr>
        <w:pStyle w:val="BookBody"/>
      </w:pPr>
      <w:r w:rsidRPr="000A74F2">
        <w:rPr>
          <w:szCs w:val="28"/>
        </w:rPr>
        <w:t>Property gives the problem another form. To render a forest, mine, or animal population calculable is not yet to decide who may use it. But calculation can make exclusive claims easier to enforce by turning complex relations into inventories, yields, and boundaries. The mechanical and quantitative description does not create ownership by itself. It furnishes a language in which possession can appear precise while obligations that resist measurement recede.</w:t>
      </w:r>
    </w:p>
    <w:p w14:paraId="3A272561" w14:textId="77777777" w:rsidR="000A74F2" w:rsidRPr="000A74F2" w:rsidRDefault="000A74F2" w:rsidP="000A74F2">
      <w:pPr>
        <w:pStyle w:val="BookBody"/>
      </w:pPr>
      <w:r w:rsidRPr="000A74F2">
        <w:rPr>
          <w:szCs w:val="28"/>
        </w:rPr>
        <w:t xml:space="preserve">Availability is therefore always availability </w:t>
      </w:r>
      <w:r w:rsidRPr="000A74F2">
        <w:rPr>
          <w:i/>
          <w:szCs w:val="28"/>
        </w:rPr>
        <w:t>to</w:t>
      </w:r>
      <w:r w:rsidRPr="000A74F2">
        <w:rPr>
          <w:szCs w:val="28"/>
        </w:rPr>
        <w:t xml:space="preserve"> someone. Bacon’s human empire speaks in the name of humanity, but real operations are conducted by institutions with uneven access to capital, law, and force. Descartes’s universal extension belongs equally everywhere in metaphysics, yet the power to rearrange it is radically unequal in history. Boyle’s modest witness can discipline assertion within a learned community while leaving servants, technicians, experimental animals, and distant suppliers outside the circle of recognized assent.</w:t>
      </w:r>
    </w:p>
    <w:p w14:paraId="0AD1C1CC" w14:textId="77777777" w:rsidR="000A74F2" w:rsidRPr="000A74F2" w:rsidRDefault="000A74F2" w:rsidP="000A74F2">
      <w:pPr>
        <w:pStyle w:val="BookBody"/>
      </w:pPr>
      <w:r w:rsidRPr="000A74F2">
        <w:rPr>
          <w:szCs w:val="28"/>
        </w:rPr>
        <w:t>The corrective is not to demand that every inquiry solve political inequality before producing a fact. It is to keep the path from fact to entitlement visible. An explanation can be true without making every application just. A technology can be beneficial without distributing its benefits fairly. A resource can be measurable without becoming morally ownerless.</w:t>
      </w:r>
    </w:p>
    <w:p w14:paraId="2C04747F" w14:textId="77777777" w:rsidR="000A74F2" w:rsidRPr="000A74F2" w:rsidRDefault="000A74F2" w:rsidP="000A74F2">
      <w:pPr>
        <w:pStyle w:val="BookBody"/>
      </w:pPr>
      <w:r w:rsidRPr="000A74F2">
        <w:rPr>
          <w:szCs w:val="28"/>
        </w:rPr>
        <w:t>The moral question is not whether to return to a cosmos in which every disease, storm, or hierarchy carries providential purpose. Such a world could sanctify suffering and inherited power. Nor is the answer to reject abstraction, experiment, or mechanism. It is to refuse the inference that what can be operationalized has no claims beyond the operation. A forest is timber and habitat; an animal is mechanism and subject; a river is hydraulic system and lived place. Truth in one register does not authorize sovereignty over all registers.</w:t>
      </w:r>
    </w:p>
    <w:p w14:paraId="41F5E741" w14:textId="77777777" w:rsidR="000A74F2" w:rsidRPr="000A74F2" w:rsidRDefault="000A74F2" w:rsidP="000A74F2">
      <w:pPr>
        <w:pStyle w:val="SectionHeading"/>
      </w:pPr>
      <w:r w:rsidRPr="000A74F2">
        <w:rPr>
          <w:rFonts w:cstheme="majorBidi"/>
          <w:bCs/>
          <w:color w:val="2E74B5"/>
          <w:szCs w:val="28"/>
        </w:rPr>
        <w:t>The Productive Severity of Mechanism</w:t>
      </w:r>
    </w:p>
    <w:p w14:paraId="11B58E85" w14:textId="77777777" w:rsidR="000A74F2" w:rsidRPr="000A74F2" w:rsidRDefault="000A74F2" w:rsidP="000A74F2">
      <w:pPr>
        <w:pStyle w:val="BookBody"/>
      </w:pPr>
      <w:r w:rsidRPr="000A74F2">
        <w:rPr>
          <w:szCs w:val="28"/>
        </w:rPr>
        <w:t>The mechanical philosophies were severe. They demanded that explanations stop multiplying hidden faculties where size, shape, motion, pressure, and arrangement would suffice. They demoted familiar qualities from the basic furniture of the world. They treated organized bodies as structures whose operations could be decomposed. This severity could feel like loss because it removed meanings once secured by the nature of things.</w:t>
      </w:r>
    </w:p>
    <w:p w14:paraId="7D2938FD" w14:textId="77777777" w:rsidR="000A74F2" w:rsidRPr="000A74F2" w:rsidRDefault="000A74F2" w:rsidP="000A74F2">
      <w:pPr>
        <w:pStyle w:val="BookBody"/>
      </w:pPr>
      <w:r w:rsidRPr="000A74F2">
        <w:rPr>
          <w:szCs w:val="28"/>
        </w:rPr>
        <w:t>It was also enormously productive. Mechanical explanation required explicit pathways. If a body moves, through what contact or medium? If heat changes a substance, what arrangement changes with it? If a limb withdraws, what connects stimulus to muscle? If air supports a column of mercury, how does pressure vary? Questions framed this way generated instruments, measurements, diagrams, and experiments capable of correcting theory.</w:t>
      </w:r>
    </w:p>
    <w:p w14:paraId="317C365A" w14:textId="77777777" w:rsidR="000A74F2" w:rsidRPr="000A74F2" w:rsidRDefault="000A74F2" w:rsidP="000A74F2">
      <w:pPr>
        <w:pStyle w:val="BookBody"/>
      </w:pPr>
      <w:r w:rsidRPr="000A74F2">
        <w:rPr>
          <w:szCs w:val="28"/>
        </w:rPr>
        <w:t>The discipline reduced suffering as well as mystery. Bacon’s charitable rhetoric was not empty simply because benefits were uneven. Improvements in navigation, drainage, materials, agriculture, and medicine could preserve lives. Cartesian physiology made bodily processes objects of research rather than inscrutable expressions of soul. Boyle’s analysis of qualities supported chemistry and pharmacology by encouraging investigators to ask how preparation altered effects. A nature available to intervention became a nature in which some necessities could be challenged.</w:t>
      </w:r>
      <w:r w:rsidRPr="000A74F2">
        <w:rPr>
          <w:szCs w:val="28"/>
          <w:vertAlign w:val="superscript"/>
        </w:rPr>
        <w:t>34</w:t>
      </w:r>
    </w:p>
    <w:p w14:paraId="053DD8AA" w14:textId="77777777" w:rsidR="000A74F2" w:rsidRPr="000A74F2" w:rsidRDefault="000A74F2" w:rsidP="000A74F2">
      <w:pPr>
        <w:pStyle w:val="BookBody"/>
      </w:pPr>
      <w:r w:rsidRPr="000A74F2">
        <w:rPr>
          <w:szCs w:val="28"/>
        </w:rPr>
        <w:t>That achievement is ethically central. Reverence for a living cosmos does not by itself cure infection, prevent famine, or make labor safe. A refusal to disturb nature can protect an ecosystem; it can also leave a preventable pathology untouched. Mechanism’s truth-producing and suffering-reducing powers must be preserved in any adequate history of its costs.</w:t>
      </w:r>
    </w:p>
    <w:p w14:paraId="30ADAD8D" w14:textId="77777777" w:rsidR="000A74F2" w:rsidRPr="000A74F2" w:rsidRDefault="000A74F2" w:rsidP="000A74F2">
      <w:pPr>
        <w:pStyle w:val="BookBody"/>
      </w:pPr>
      <w:r w:rsidRPr="000A74F2">
        <w:rPr>
          <w:szCs w:val="28"/>
        </w:rPr>
        <w:t>Steven Shapin has warned against treating the Scientific Revolution as the sudden victory of one method or worldview. Seventeenth-century practitioners disagreed profoundly, and older forms of knowledge persisted. The mechanical philosophy succeeded in domains and institutions, not by erasing every rival at once. Its historical importance lies partly in the durable alignment it forged among intelligibility, operation, and usefulness.</w:t>
      </w:r>
      <w:r w:rsidRPr="000A74F2">
        <w:rPr>
          <w:szCs w:val="28"/>
          <w:vertAlign w:val="superscript"/>
        </w:rPr>
        <w:t>35</w:t>
      </w:r>
    </w:p>
    <w:p w14:paraId="11E7D21E" w14:textId="77777777" w:rsidR="000A74F2" w:rsidRPr="000A74F2" w:rsidRDefault="000A74F2" w:rsidP="000A74F2">
      <w:pPr>
        <w:pStyle w:val="BookBody"/>
      </w:pPr>
      <w:r w:rsidRPr="000A74F2">
        <w:rPr>
          <w:szCs w:val="28"/>
        </w:rPr>
        <w:t>The alignment changed standards of reality. A cause that could be represented through a model, varied in a trial, and used to make a prediction acquired authority. Qualities not capturable in those operations did not vanish, but they became easier to classify as subjective, secondary, confused, or irrelevant. The world of experience was divided between what entered the mechanism and what remained outside the explanatory machine.</w:t>
      </w:r>
    </w:p>
    <w:p w14:paraId="05747EDA" w14:textId="77777777" w:rsidR="000A74F2" w:rsidRPr="000A74F2" w:rsidRDefault="000A74F2" w:rsidP="000A74F2">
      <w:pPr>
        <w:pStyle w:val="BookBody"/>
      </w:pPr>
      <w:r w:rsidRPr="000A74F2">
        <w:rPr>
          <w:szCs w:val="28"/>
        </w:rPr>
        <w:t>This division was never final. Boyle’s experiments depended on sensible signs; Descartes’s physiology addressed pain and passion; Bacon’s histories gathered qualitative craft knowledge. Mechanism could not operate without the very appearances it demoted. The investigator still judged color changes, textures, sounds, vigor, discomfort, and failure. Availability rested on translations between lived qualities and formal relations.</w:t>
      </w:r>
    </w:p>
    <w:p w14:paraId="61331C47" w14:textId="77777777" w:rsidR="000A74F2" w:rsidRPr="000A74F2" w:rsidRDefault="000A74F2" w:rsidP="000A74F2">
      <w:pPr>
        <w:pStyle w:val="BookBody"/>
      </w:pPr>
      <w:r w:rsidRPr="000A74F2">
        <w:rPr>
          <w:szCs w:val="28"/>
        </w:rPr>
        <w:t>Its deepest gain was therefore not the replacement of quality by quantity but the construction of reversible routes between them. A felt pressure could be connected to a measured column; a color to a preparation; a pain to a pathway; a celestial appearance to a vortex model. The routes were imperfect, but they made criticism local. One could contest the measurement, mechanism, or inference without abandoning inquiry.</w:t>
      </w:r>
    </w:p>
    <w:p w14:paraId="00D0BAA5" w14:textId="77777777" w:rsidR="000A74F2" w:rsidRPr="000A74F2" w:rsidRDefault="000A74F2" w:rsidP="000A74F2">
      <w:pPr>
        <w:pStyle w:val="BookBody"/>
      </w:pPr>
      <w:r w:rsidRPr="000A74F2">
        <w:rPr>
          <w:szCs w:val="28"/>
        </w:rPr>
        <w:t>Its deepest danger was to mistake the route for the whole terrain. When a model predicts, it tempts the investigator to declare everything omitted unreal. When an intervention works, it tempts the institution to treat efficacy as permission. When matter yields, it tempts power to forget the conditions of obedience that made yielding possible.</w:t>
      </w:r>
    </w:p>
    <w:p w14:paraId="6295002A" w14:textId="77777777" w:rsidR="000A74F2" w:rsidRPr="000A74F2" w:rsidRDefault="000A74F2" w:rsidP="000A74F2">
      <w:pPr>
        <w:pStyle w:val="SectionHeading"/>
      </w:pPr>
      <w:r w:rsidRPr="000A74F2">
        <w:rPr>
          <w:rFonts w:cstheme="majorBidi"/>
          <w:bCs/>
          <w:color w:val="2E74B5"/>
          <w:szCs w:val="28"/>
        </w:rPr>
        <w:t>The Matter That Would Not Stay Dead</w:t>
      </w:r>
    </w:p>
    <w:p w14:paraId="09343C41" w14:textId="77777777" w:rsidR="000A74F2" w:rsidRPr="000A74F2" w:rsidRDefault="000A74F2" w:rsidP="000A74F2">
      <w:pPr>
        <w:pStyle w:val="BookBody"/>
      </w:pPr>
      <w:r w:rsidRPr="000A74F2">
        <w:rPr>
          <w:szCs w:val="28"/>
        </w:rPr>
        <w:t>By the later seventeenth century, nature had become available in three connected senses. Method rendered events available to organized inquiry. Extension rendered body available to geometrical decomposition. Corpuscularism rendered qualities available to manufacture through rearrangement. Each transformation moved agency away from natural forms and purposes toward lawful relations, divine institution, and human operation.</w:t>
      </w:r>
    </w:p>
    <w:p w14:paraId="33F84542" w14:textId="77777777" w:rsidR="000A74F2" w:rsidRPr="000A74F2" w:rsidRDefault="000A74F2" w:rsidP="000A74F2">
      <w:pPr>
        <w:pStyle w:val="BookBody"/>
      </w:pPr>
      <w:r w:rsidRPr="000A74F2">
        <w:rPr>
          <w:szCs w:val="28"/>
        </w:rPr>
        <w:t>Yet the resulting world was not settled. Cartesian matter flowed constantly but could not explain every feature of organized life without elaborate machinery. Boyle’s corpuscles supported experimental interpretation while leaving minute causes uncertain. Theological voluntarism secured law but raised questions about the causal powers of bodies. A nature stripped of immanent direction remained crowded with self-maintaining organisms, chemical activities, gravitation, generation, fermentation, and sensation.</w:t>
      </w:r>
    </w:p>
    <w:p w14:paraId="5685BEEE" w14:textId="77777777" w:rsidR="000A74F2" w:rsidRPr="000A74F2" w:rsidRDefault="000A74F2" w:rsidP="000A74F2">
      <w:pPr>
        <w:pStyle w:val="BookBody"/>
      </w:pPr>
      <w:r w:rsidRPr="000A74F2">
        <w:rPr>
          <w:szCs w:val="28"/>
        </w:rPr>
        <w:t>Critics seized upon the gap. Henry More and Ralph Cudworth defended plastic powers that could organize passive matter without making God the immediate mechanic of every event. Margaret Cavendish rejected the fantasy that insensitive matter could assemble the perceptive order investigators encountered. Anne Conway denied that a God who is life could create genuinely dead substance. Leibniz would fill matter with force and striving. Their arguments did not simply restore the medieval cosmos. They tested mechanism from within the new standards of explanatory adequacy.</w:t>
      </w:r>
      <w:r w:rsidRPr="000A74F2">
        <w:rPr>
          <w:szCs w:val="28"/>
          <w:vertAlign w:val="superscript"/>
        </w:rPr>
        <w:t>36</w:t>
      </w:r>
    </w:p>
    <w:p w14:paraId="63FA9503" w14:textId="77777777" w:rsidR="000A74F2" w:rsidRPr="000A74F2" w:rsidRDefault="000A74F2" w:rsidP="000A74F2">
      <w:pPr>
        <w:pStyle w:val="BookBody"/>
      </w:pPr>
      <w:r w:rsidRPr="000A74F2">
        <w:rPr>
          <w:szCs w:val="28"/>
        </w:rPr>
        <w:t>Riskin’s restless clock names the unresolved tension. A machine may be passive in the sense that its motions derive from arrangement and external conditions, yet a successful model of life must account for regulation, repair, responsiveness, and apparent spontaneity. The more exact mechanical physiology became, the more sharply it posed the question of what makes an organized body act as one.</w:t>
      </w:r>
      <w:r w:rsidRPr="000A74F2">
        <w:rPr>
          <w:szCs w:val="28"/>
          <w:vertAlign w:val="superscript"/>
        </w:rPr>
        <w:t>37</w:t>
      </w:r>
    </w:p>
    <w:p w14:paraId="1F338B27" w14:textId="77777777" w:rsidR="000A74F2" w:rsidRPr="000A74F2" w:rsidRDefault="000A74F2" w:rsidP="000A74F2">
      <w:pPr>
        <w:pStyle w:val="BookBody"/>
      </w:pPr>
      <w:r w:rsidRPr="000A74F2">
        <w:rPr>
          <w:szCs w:val="28"/>
        </w:rPr>
        <w:t>Newton would inherit the same ambiguity at cosmic scale. His mathematical laws would make motion more predictively available than Cartesian vortices ever had. Yet gravitational attraction, active principles, divine governance, and the instability of a merely mechanical cosmos would prevent his universe from becoming a simple clockwork. The culmination of mechanism would reopen questions of force and agency.</w:t>
      </w:r>
    </w:p>
    <w:p w14:paraId="176E22B3" w14:textId="77777777" w:rsidR="000A74F2" w:rsidRPr="000A74F2" w:rsidRDefault="000A74F2" w:rsidP="000A74F2">
      <w:pPr>
        <w:pStyle w:val="BookBody"/>
      </w:pPr>
      <w:r w:rsidRPr="000A74F2">
        <w:rPr>
          <w:szCs w:val="28"/>
        </w:rPr>
        <w:t>The death of the living cosmos was therefore neither a murder committed by one philosopher nor a completed event. It was a redistribution of explanatory rights. Bodies lost the right to explain their motions by intrinsic ends; qualities lost the right to stand as irreducible forms; nature lost the right to speak as a quasi-divine agent. Method, matter, law, and God assumed the vacated authority.</w:t>
      </w:r>
    </w:p>
    <w:p w14:paraId="7735E419" w14:textId="77777777" w:rsidR="000A74F2" w:rsidRPr="000A74F2" w:rsidRDefault="000A74F2" w:rsidP="000A74F2">
      <w:pPr>
        <w:pStyle w:val="BookBody"/>
      </w:pPr>
      <w:r w:rsidRPr="000A74F2">
        <w:rPr>
          <w:szCs w:val="28"/>
        </w:rPr>
        <w:t>What humanity gained was the ability to intervene with unprecedented precision. What it risked was confusing causal access with moral title. Bacon’s obedience, Descartes’s laws, and Boyle’s humility all contain warnings against that confusion, even as their philosophies helped create it. Nature can be available to knowledge without being ownerless. A body can be mechanically intelligible without being merely a resource.</w:t>
      </w:r>
    </w:p>
    <w:p w14:paraId="697C8053" w14:textId="77777777" w:rsidR="000A74F2" w:rsidRPr="000A74F2" w:rsidRDefault="000A74F2" w:rsidP="000A74F2">
      <w:pPr>
        <w:pStyle w:val="BookBody"/>
      </w:pPr>
      <w:r w:rsidRPr="000A74F2">
        <w:rPr>
          <w:szCs w:val="28"/>
        </w:rPr>
        <w:t>The next chapter enters the argument opened by matter that would not remain passive. It follows the rivals of strict mechanism and the Newtonian synthesis in which mathematical law reached its greatest power while the sources of motion became more, not less, metaphysically charged. The universe would be made lawful. Whether it had truly ceased to live remained undecided.</w:t>
      </w:r>
    </w:p>
    <w:p w14:paraId="6853EA0F" w14:textId="77777777" w:rsidR="000A74F2" w:rsidRPr="000A74F2" w:rsidRDefault="000A74F2" w:rsidP="000A74F2">
      <w:pPr>
        <w:pStyle w:val="NotesHeading"/>
      </w:pPr>
      <w:r w:rsidRPr="000A74F2">
        <w:rPr>
          <w:rFonts w:cstheme="majorBidi"/>
          <w:bCs/>
          <w:color w:val="2E74B5"/>
          <w:szCs w:val="28"/>
        </w:rPr>
        <w:t>Notes</w:t>
      </w:r>
    </w:p>
    <w:p w14:paraId="76472F97" w14:textId="77777777" w:rsidR="000A74F2" w:rsidRPr="000A74F2" w:rsidRDefault="000A74F2" w:rsidP="000A74F2">
      <w:pPr>
        <w:pStyle w:val="NoteEntry"/>
      </w:pPr>
      <w:r w:rsidRPr="000A74F2">
        <w:rPr>
          <w:szCs w:val="28"/>
        </w:rPr>
        <w:t xml:space="preserve">1. Francis Bacon, </w:t>
      </w:r>
      <w:r w:rsidRPr="000A74F2">
        <w:rPr>
          <w:i/>
          <w:szCs w:val="28"/>
        </w:rPr>
        <w:t>Instauratio Magna</w:t>
      </w:r>
      <w:r w:rsidRPr="000A74F2">
        <w:rPr>
          <w:szCs w:val="28"/>
        </w:rPr>
        <w:t xml:space="preserve"> (London: John Bill, 1620), frontispiece; Stephen Gaukroger, </w:t>
      </w:r>
      <w:r w:rsidRPr="000A74F2">
        <w:rPr>
          <w:i/>
          <w:szCs w:val="28"/>
        </w:rPr>
        <w:t>Francis Bacon and the Transformation of Early-Modern Philosophy</w:t>
      </w:r>
      <w:r w:rsidRPr="000A74F2">
        <w:rPr>
          <w:szCs w:val="28"/>
        </w:rPr>
        <w:t xml:space="preserve"> (Cambridge: Cambridge University Press, 2001), 132–65.</w:t>
      </w:r>
    </w:p>
    <w:p w14:paraId="23F9B482" w14:textId="77777777" w:rsidR="000A74F2" w:rsidRPr="000A74F2" w:rsidRDefault="000A74F2" w:rsidP="000A74F2">
      <w:pPr>
        <w:pStyle w:val="NoteEntry"/>
      </w:pPr>
      <w:r w:rsidRPr="000A74F2">
        <w:rPr>
          <w:szCs w:val="28"/>
        </w:rPr>
        <w:t xml:space="preserve">2. Francis Bacon, </w:t>
      </w:r>
      <w:r w:rsidRPr="000A74F2">
        <w:rPr>
          <w:i/>
          <w:szCs w:val="28"/>
        </w:rPr>
        <w:t>The New Organon</w:t>
      </w:r>
      <w:r w:rsidRPr="000A74F2">
        <w:rPr>
          <w:szCs w:val="28"/>
        </w:rPr>
        <w:t>, ed. Lisa Jardine and Michael Silverthorne (Cambridge: Cambridge University Press, 2000), Book I, aphorisms 1–4, 33–34.</w:t>
      </w:r>
    </w:p>
    <w:p w14:paraId="3D8EB46C" w14:textId="77777777" w:rsidR="000A74F2" w:rsidRPr="000A74F2" w:rsidRDefault="000A74F2" w:rsidP="000A74F2">
      <w:pPr>
        <w:pStyle w:val="NoteEntry"/>
      </w:pPr>
      <w:r w:rsidRPr="000A74F2">
        <w:rPr>
          <w:szCs w:val="28"/>
        </w:rPr>
        <w:t xml:space="preserve">3. Bacon, </w:t>
      </w:r>
      <w:r w:rsidRPr="000A74F2">
        <w:rPr>
          <w:i/>
          <w:szCs w:val="28"/>
        </w:rPr>
        <w:t>New Organon</w:t>
      </w:r>
      <w:r w:rsidRPr="000A74F2">
        <w:rPr>
          <w:szCs w:val="28"/>
        </w:rPr>
        <w:t xml:space="preserve">, I.38–68, 41–69; Gaukroger, </w:t>
      </w:r>
      <w:r w:rsidRPr="000A74F2">
        <w:rPr>
          <w:i/>
          <w:szCs w:val="28"/>
        </w:rPr>
        <w:t>Francis Bacon</w:t>
      </w:r>
      <w:r w:rsidRPr="000A74F2">
        <w:rPr>
          <w:szCs w:val="28"/>
        </w:rPr>
        <w:t>, 101–31.</w:t>
      </w:r>
    </w:p>
    <w:p w14:paraId="26AC5ADE" w14:textId="77777777" w:rsidR="000A74F2" w:rsidRPr="000A74F2" w:rsidRDefault="000A74F2" w:rsidP="000A74F2">
      <w:pPr>
        <w:pStyle w:val="NoteEntry"/>
      </w:pPr>
      <w:r w:rsidRPr="000A74F2">
        <w:rPr>
          <w:szCs w:val="28"/>
        </w:rPr>
        <w:t xml:space="preserve">4. Bacon, </w:t>
      </w:r>
      <w:r w:rsidRPr="000A74F2">
        <w:rPr>
          <w:i/>
          <w:szCs w:val="28"/>
        </w:rPr>
        <w:t>New Organon</w:t>
      </w:r>
      <w:r w:rsidRPr="000A74F2">
        <w:rPr>
          <w:szCs w:val="28"/>
        </w:rPr>
        <w:t xml:space="preserve">, I.95, 92; Gaukroger, </w:t>
      </w:r>
      <w:r w:rsidRPr="000A74F2">
        <w:rPr>
          <w:i/>
          <w:szCs w:val="28"/>
        </w:rPr>
        <w:t>Francis Bacon</w:t>
      </w:r>
      <w:r w:rsidRPr="000A74F2">
        <w:rPr>
          <w:szCs w:val="28"/>
        </w:rPr>
        <w:t>, 132–59.</w:t>
      </w:r>
    </w:p>
    <w:p w14:paraId="3D26C300" w14:textId="77777777" w:rsidR="000A74F2" w:rsidRPr="000A74F2" w:rsidRDefault="000A74F2" w:rsidP="000A74F2">
      <w:pPr>
        <w:pStyle w:val="NoteEntry"/>
      </w:pPr>
      <w:r w:rsidRPr="000A74F2">
        <w:rPr>
          <w:szCs w:val="28"/>
        </w:rPr>
        <w:t xml:space="preserve">5. Bacon, “Plan of the Work” and “Parasceve,” in </w:t>
      </w:r>
      <w:r w:rsidRPr="000A74F2">
        <w:rPr>
          <w:i/>
          <w:szCs w:val="28"/>
        </w:rPr>
        <w:t>New Organon</w:t>
      </w:r>
      <w:r w:rsidRPr="000A74F2">
        <w:rPr>
          <w:szCs w:val="28"/>
        </w:rPr>
        <w:t xml:space="preserve">, 8–25, 223–35; Gaukroger, </w:t>
      </w:r>
      <w:r w:rsidRPr="000A74F2">
        <w:rPr>
          <w:i/>
          <w:szCs w:val="28"/>
        </w:rPr>
        <w:t>Francis Bacon</w:t>
      </w:r>
      <w:r w:rsidRPr="000A74F2">
        <w:rPr>
          <w:szCs w:val="28"/>
        </w:rPr>
        <w:t>, 14–36, 132–65.</w:t>
      </w:r>
    </w:p>
    <w:p w14:paraId="1313B45D" w14:textId="77777777" w:rsidR="000A74F2" w:rsidRPr="000A74F2" w:rsidRDefault="000A74F2" w:rsidP="000A74F2">
      <w:pPr>
        <w:pStyle w:val="NoteEntry"/>
      </w:pPr>
      <w:r w:rsidRPr="000A74F2">
        <w:rPr>
          <w:szCs w:val="28"/>
        </w:rPr>
        <w:t xml:space="preserve">6. Bacon, </w:t>
      </w:r>
      <w:r w:rsidRPr="000A74F2">
        <w:rPr>
          <w:i/>
          <w:szCs w:val="28"/>
        </w:rPr>
        <w:t>New Organon</w:t>
      </w:r>
      <w:r w:rsidRPr="000A74F2">
        <w:rPr>
          <w:szCs w:val="28"/>
        </w:rPr>
        <w:t>, I.121, 92–93. The Jardine–Silverthorne translation renders Bacon’s contrast as “experiments that are enlightening” and “productive experiments.”</w:t>
      </w:r>
    </w:p>
    <w:p w14:paraId="75FB13B2" w14:textId="77777777" w:rsidR="000A74F2" w:rsidRPr="000A74F2" w:rsidRDefault="000A74F2" w:rsidP="000A74F2">
      <w:pPr>
        <w:pStyle w:val="NoteEntry"/>
      </w:pPr>
      <w:r w:rsidRPr="000A74F2">
        <w:rPr>
          <w:szCs w:val="28"/>
        </w:rPr>
        <w:t xml:space="preserve">7. Bacon, “Parasceve,” in </w:t>
      </w:r>
      <w:r w:rsidRPr="000A74F2">
        <w:rPr>
          <w:i/>
          <w:szCs w:val="28"/>
        </w:rPr>
        <w:t>New Organon</w:t>
      </w:r>
      <w:r w:rsidRPr="000A74F2">
        <w:rPr>
          <w:szCs w:val="28"/>
        </w:rPr>
        <w:t>, 223–25; see also the “Plan,” 20–21.</w:t>
      </w:r>
    </w:p>
    <w:p w14:paraId="3C2F918B" w14:textId="77777777" w:rsidR="000A74F2" w:rsidRPr="000A74F2" w:rsidRDefault="000A74F2" w:rsidP="000A74F2">
      <w:pPr>
        <w:pStyle w:val="NoteEntry"/>
      </w:pPr>
      <w:r w:rsidRPr="000A74F2">
        <w:rPr>
          <w:szCs w:val="28"/>
        </w:rPr>
        <w:t xml:space="preserve">8. Carolyn Merchant, </w:t>
      </w:r>
      <w:r w:rsidRPr="000A74F2">
        <w:rPr>
          <w:i/>
          <w:szCs w:val="28"/>
        </w:rPr>
        <w:t>The Death of Nature: Women, Ecology, and the Scientific Revolution</w:t>
      </w:r>
      <w:r w:rsidRPr="000A74F2">
        <w:rPr>
          <w:szCs w:val="28"/>
        </w:rPr>
        <w:t xml:space="preserve"> (San Francisco: Harper &amp; Row, 1980), 164–91. Merchant’s interpretation is used here as a critical account of rhetoric and permission, not as a claim that Baconian metaphor alone caused environmental exploitation.</w:t>
      </w:r>
    </w:p>
    <w:p w14:paraId="07EF6155" w14:textId="77777777" w:rsidR="000A74F2" w:rsidRPr="000A74F2" w:rsidRDefault="000A74F2" w:rsidP="000A74F2">
      <w:pPr>
        <w:pStyle w:val="NoteEntry"/>
      </w:pPr>
      <w:r w:rsidRPr="000A74F2">
        <w:rPr>
          <w:szCs w:val="28"/>
        </w:rPr>
        <w:t xml:space="preserve">9. Francis Bacon, “The Great Instauration,” in </w:t>
      </w:r>
      <w:r w:rsidRPr="000A74F2">
        <w:rPr>
          <w:i/>
          <w:szCs w:val="28"/>
        </w:rPr>
        <w:t>New Atlantis and The Great Instauration</w:t>
      </w:r>
      <w:r w:rsidRPr="000A74F2">
        <w:rPr>
          <w:szCs w:val="28"/>
        </w:rPr>
        <w:t>, ed. Jerry Weinberger, rev. ed. (Wheeling, IL: Harlan Davidson, 1989), 13–34, especially the discussion of Adamic knowledge and the Fall.</w:t>
      </w:r>
    </w:p>
    <w:p w14:paraId="0575B992" w14:textId="77777777" w:rsidR="000A74F2" w:rsidRPr="000A74F2" w:rsidRDefault="000A74F2" w:rsidP="000A74F2">
      <w:pPr>
        <w:pStyle w:val="NoteEntry"/>
      </w:pPr>
      <w:r w:rsidRPr="000A74F2">
        <w:rPr>
          <w:szCs w:val="28"/>
        </w:rPr>
        <w:t xml:space="preserve">10. Peter Harrison, </w:t>
      </w:r>
      <w:r w:rsidRPr="000A74F2">
        <w:rPr>
          <w:i/>
          <w:szCs w:val="28"/>
        </w:rPr>
        <w:t>The Fall of Man and the Foundations of Science</w:t>
      </w:r>
      <w:r w:rsidRPr="000A74F2">
        <w:rPr>
          <w:szCs w:val="28"/>
        </w:rPr>
        <w:t xml:space="preserve"> (Cambridge: Cambridge University Press, 2007), 1–25, 176–207.</w:t>
      </w:r>
    </w:p>
    <w:p w14:paraId="105CD8A7" w14:textId="77777777" w:rsidR="000A74F2" w:rsidRPr="000A74F2" w:rsidRDefault="000A74F2" w:rsidP="000A74F2">
      <w:pPr>
        <w:pStyle w:val="NoteEntry"/>
      </w:pPr>
      <w:r w:rsidRPr="000A74F2">
        <w:rPr>
          <w:szCs w:val="28"/>
        </w:rPr>
        <w:t xml:space="preserve">11. Gaukroger, </w:t>
      </w:r>
      <w:r w:rsidRPr="000A74F2">
        <w:rPr>
          <w:i/>
          <w:szCs w:val="28"/>
        </w:rPr>
        <w:t>Francis Bacon</w:t>
      </w:r>
      <w:r w:rsidRPr="000A74F2">
        <w:rPr>
          <w:szCs w:val="28"/>
        </w:rPr>
        <w:t xml:space="preserve">, 68–100, 155–65; Merchant, </w:t>
      </w:r>
      <w:r w:rsidRPr="000A74F2">
        <w:rPr>
          <w:i/>
          <w:szCs w:val="28"/>
        </w:rPr>
        <w:t>Death of Nature</w:t>
      </w:r>
      <w:r w:rsidRPr="000A74F2">
        <w:rPr>
          <w:szCs w:val="28"/>
        </w:rPr>
        <w:t>, 164–91.</w:t>
      </w:r>
    </w:p>
    <w:p w14:paraId="54F04480" w14:textId="77777777" w:rsidR="000A74F2" w:rsidRPr="000A74F2" w:rsidRDefault="000A74F2" w:rsidP="000A74F2">
      <w:pPr>
        <w:pStyle w:val="NoteEntry"/>
      </w:pPr>
      <w:r w:rsidRPr="000A74F2">
        <w:rPr>
          <w:szCs w:val="28"/>
        </w:rPr>
        <w:t xml:space="preserve">12. Francis Bacon, </w:t>
      </w:r>
      <w:r w:rsidRPr="000A74F2">
        <w:rPr>
          <w:i/>
          <w:szCs w:val="28"/>
        </w:rPr>
        <w:t>New Atlantis</w:t>
      </w:r>
      <w:r w:rsidRPr="000A74F2">
        <w:rPr>
          <w:szCs w:val="28"/>
        </w:rPr>
        <w:t xml:space="preserve">, in </w:t>
      </w:r>
      <w:r w:rsidRPr="000A74F2">
        <w:rPr>
          <w:i/>
          <w:szCs w:val="28"/>
        </w:rPr>
        <w:t>New Atlantis and The Great Instauration</w:t>
      </w:r>
      <w:r w:rsidRPr="000A74F2">
        <w:rPr>
          <w:szCs w:val="28"/>
        </w:rPr>
        <w:t>, 71–106, at 98–104.</w:t>
      </w:r>
    </w:p>
    <w:p w14:paraId="2080C76E" w14:textId="77777777" w:rsidR="000A74F2" w:rsidRPr="000A74F2" w:rsidRDefault="000A74F2" w:rsidP="000A74F2">
      <w:pPr>
        <w:pStyle w:val="NoteEntry"/>
      </w:pPr>
      <w:r w:rsidRPr="000A74F2">
        <w:rPr>
          <w:szCs w:val="28"/>
        </w:rPr>
        <w:t xml:space="preserve">13. Gaukroger, </w:t>
      </w:r>
      <w:r w:rsidRPr="000A74F2">
        <w:rPr>
          <w:i/>
          <w:szCs w:val="28"/>
        </w:rPr>
        <w:t>Francis Bacon</w:t>
      </w:r>
      <w:r w:rsidRPr="000A74F2">
        <w:rPr>
          <w:szCs w:val="28"/>
        </w:rPr>
        <w:t>, 101–65. Gaukroger’s emphasis on the formation of a new philosophical persona helps distinguish Baconian method from a portable algorithm.</w:t>
      </w:r>
    </w:p>
    <w:p w14:paraId="076F9424" w14:textId="77777777" w:rsidR="000A74F2" w:rsidRPr="000A74F2" w:rsidRDefault="000A74F2" w:rsidP="000A74F2">
      <w:pPr>
        <w:pStyle w:val="NoteEntry"/>
      </w:pPr>
      <w:r w:rsidRPr="000A74F2">
        <w:rPr>
          <w:szCs w:val="28"/>
        </w:rPr>
        <w:t xml:space="preserve">14. René Descartes, </w:t>
      </w:r>
      <w:r w:rsidRPr="000A74F2">
        <w:rPr>
          <w:i/>
          <w:szCs w:val="28"/>
        </w:rPr>
        <w:t>Principles of Philosophy</w:t>
      </w:r>
      <w:r w:rsidRPr="000A74F2">
        <w:rPr>
          <w:szCs w:val="28"/>
        </w:rPr>
        <w:t>, trans. Valentine Rodger Miller and Reese P. Miller (Dordrecht: D. Reidel, 1982), II.4, 40–41.</w:t>
      </w:r>
    </w:p>
    <w:p w14:paraId="5E92E000" w14:textId="77777777" w:rsidR="000A74F2" w:rsidRPr="000A74F2" w:rsidRDefault="000A74F2" w:rsidP="000A74F2">
      <w:pPr>
        <w:pStyle w:val="NoteEntry"/>
      </w:pPr>
      <w:r w:rsidRPr="000A74F2">
        <w:rPr>
          <w:szCs w:val="28"/>
        </w:rPr>
        <w:t xml:space="preserve">15. Descartes, </w:t>
      </w:r>
      <w:r w:rsidRPr="000A74F2">
        <w:rPr>
          <w:i/>
          <w:szCs w:val="28"/>
        </w:rPr>
        <w:t>Principles</w:t>
      </w:r>
      <w:r w:rsidRPr="000A74F2">
        <w:rPr>
          <w:szCs w:val="28"/>
        </w:rPr>
        <w:t xml:space="preserve">, II.10–18, 43–48; Daniel Garber, </w:t>
      </w:r>
      <w:r w:rsidRPr="000A74F2">
        <w:rPr>
          <w:i/>
          <w:szCs w:val="28"/>
        </w:rPr>
        <w:t>Descartes’ Metaphysical Physics</w:t>
      </w:r>
      <w:r w:rsidRPr="000A74F2">
        <w:rPr>
          <w:szCs w:val="28"/>
        </w:rPr>
        <w:t xml:space="preserve"> (Chicago: University of Chicago Press, 1992), 63–93, 117–56.</w:t>
      </w:r>
    </w:p>
    <w:p w14:paraId="43A83F4F" w14:textId="77777777" w:rsidR="000A74F2" w:rsidRPr="000A74F2" w:rsidRDefault="000A74F2" w:rsidP="000A74F2">
      <w:pPr>
        <w:pStyle w:val="NoteEntry"/>
      </w:pPr>
      <w:r w:rsidRPr="000A74F2">
        <w:rPr>
          <w:szCs w:val="28"/>
        </w:rPr>
        <w:t xml:space="preserve">16. Garber, </w:t>
      </w:r>
      <w:r w:rsidRPr="000A74F2">
        <w:rPr>
          <w:i/>
          <w:szCs w:val="28"/>
        </w:rPr>
        <w:t>Descartes’ Metaphysical Physics</w:t>
      </w:r>
      <w:r w:rsidRPr="000A74F2">
        <w:rPr>
          <w:szCs w:val="28"/>
        </w:rPr>
        <w:t>, 94–196.</w:t>
      </w:r>
    </w:p>
    <w:p w14:paraId="28919557" w14:textId="77777777" w:rsidR="000A74F2" w:rsidRPr="000A74F2" w:rsidRDefault="000A74F2" w:rsidP="000A74F2">
      <w:pPr>
        <w:pStyle w:val="NoteEntry"/>
      </w:pPr>
      <w:r w:rsidRPr="000A74F2">
        <w:rPr>
          <w:szCs w:val="28"/>
        </w:rPr>
        <w:t xml:space="preserve">17. René Descartes, “The World,” in </w:t>
      </w:r>
      <w:r w:rsidRPr="000A74F2">
        <w:rPr>
          <w:i/>
          <w:szCs w:val="28"/>
        </w:rPr>
        <w:t>The World and Other Writings</w:t>
      </w:r>
      <w:r w:rsidRPr="000A74F2">
        <w:rPr>
          <w:szCs w:val="28"/>
        </w:rPr>
        <w:t>, ed. and trans. Stephen Gaukroger (Cambridge: Cambridge University Press, 1998), 17–36.</w:t>
      </w:r>
    </w:p>
    <w:p w14:paraId="741AE3B3" w14:textId="77777777" w:rsidR="000A74F2" w:rsidRPr="000A74F2" w:rsidRDefault="000A74F2" w:rsidP="000A74F2">
      <w:pPr>
        <w:pStyle w:val="NoteEntry"/>
      </w:pPr>
      <w:r w:rsidRPr="000A74F2">
        <w:rPr>
          <w:szCs w:val="28"/>
        </w:rPr>
        <w:t xml:space="preserve">18. Descartes, </w:t>
      </w:r>
      <w:r w:rsidRPr="000A74F2">
        <w:rPr>
          <w:i/>
          <w:szCs w:val="28"/>
        </w:rPr>
        <w:t>Principles</w:t>
      </w:r>
      <w:r w:rsidRPr="000A74F2">
        <w:rPr>
          <w:szCs w:val="28"/>
        </w:rPr>
        <w:t xml:space="preserve">, II.36–42, 58–63; Garber, </w:t>
      </w:r>
      <w:r w:rsidRPr="000A74F2">
        <w:rPr>
          <w:i/>
          <w:szCs w:val="28"/>
        </w:rPr>
        <w:t>Descartes’ Metaphysical Physics</w:t>
      </w:r>
      <w:r w:rsidRPr="000A74F2">
        <w:rPr>
          <w:szCs w:val="28"/>
        </w:rPr>
        <w:t>, 197–306.</w:t>
      </w:r>
    </w:p>
    <w:p w14:paraId="469E339A" w14:textId="77777777" w:rsidR="000A74F2" w:rsidRPr="000A74F2" w:rsidRDefault="000A74F2" w:rsidP="000A74F2">
      <w:pPr>
        <w:pStyle w:val="NoteEntry"/>
      </w:pPr>
      <w:r w:rsidRPr="000A74F2">
        <w:rPr>
          <w:szCs w:val="28"/>
        </w:rPr>
        <w:t xml:space="preserve">19. René Descartes, “The Treatise on Man,” in </w:t>
      </w:r>
      <w:r w:rsidRPr="000A74F2">
        <w:rPr>
          <w:i/>
          <w:szCs w:val="28"/>
        </w:rPr>
        <w:t>World and Other Writings</w:t>
      </w:r>
      <w:r w:rsidRPr="000A74F2">
        <w:rPr>
          <w:szCs w:val="28"/>
        </w:rPr>
        <w:t>, 99–100.</w:t>
      </w:r>
    </w:p>
    <w:p w14:paraId="3E2E723D" w14:textId="77777777" w:rsidR="000A74F2" w:rsidRPr="000A74F2" w:rsidRDefault="000A74F2" w:rsidP="000A74F2">
      <w:pPr>
        <w:pStyle w:val="NoteEntry"/>
      </w:pPr>
      <w:r w:rsidRPr="000A74F2">
        <w:rPr>
          <w:szCs w:val="28"/>
        </w:rPr>
        <w:t xml:space="preserve">20. Dennis Des Chene, </w:t>
      </w:r>
      <w:r w:rsidRPr="000A74F2">
        <w:rPr>
          <w:i/>
          <w:szCs w:val="28"/>
        </w:rPr>
        <w:t>Spirits and Clocks: Machine and Organism in Descartes</w:t>
      </w:r>
      <w:r w:rsidRPr="000A74F2">
        <w:rPr>
          <w:szCs w:val="28"/>
        </w:rPr>
        <w:t xml:space="preserve"> (Ithaca, NY: Cornell University Press, 2001), 65–152; Descartes, “Treatise on Man,” 99–166.</w:t>
      </w:r>
    </w:p>
    <w:p w14:paraId="16E15917" w14:textId="77777777" w:rsidR="000A74F2" w:rsidRPr="000A74F2" w:rsidRDefault="000A74F2" w:rsidP="000A74F2">
      <w:pPr>
        <w:pStyle w:val="NoteEntry"/>
      </w:pPr>
      <w:r w:rsidRPr="000A74F2">
        <w:rPr>
          <w:szCs w:val="28"/>
        </w:rPr>
        <w:t>21. Descartes, “Treatise on Man,” 162–64 and fig. 68. The supplied working image is catalogued by Wellcome Collection as M0014440.</w:t>
      </w:r>
    </w:p>
    <w:p w14:paraId="5E239368" w14:textId="77777777" w:rsidR="000A74F2" w:rsidRPr="000A74F2" w:rsidRDefault="000A74F2" w:rsidP="000A74F2">
      <w:pPr>
        <w:pStyle w:val="NoteEntry"/>
      </w:pPr>
      <w:r w:rsidRPr="000A74F2">
        <w:rPr>
          <w:szCs w:val="28"/>
        </w:rPr>
        <w:t xml:space="preserve">22. Jessica Riskin, </w:t>
      </w:r>
      <w:r w:rsidRPr="000A74F2">
        <w:rPr>
          <w:i/>
          <w:szCs w:val="28"/>
        </w:rPr>
        <w:t>The Restless Clock: A History of the Centuries-Long Argument over What Makes Living Things Tick</w:t>
      </w:r>
      <w:r w:rsidRPr="000A74F2">
        <w:rPr>
          <w:szCs w:val="28"/>
        </w:rPr>
        <w:t xml:space="preserve"> (Chicago: University of Chicago Press, 2016), 11–76.</w:t>
      </w:r>
    </w:p>
    <w:p w14:paraId="15DAE4A2" w14:textId="77777777" w:rsidR="000A74F2" w:rsidRPr="000A74F2" w:rsidRDefault="000A74F2" w:rsidP="000A74F2">
      <w:pPr>
        <w:pStyle w:val="NoteEntry"/>
      </w:pPr>
      <w:r w:rsidRPr="000A74F2">
        <w:rPr>
          <w:szCs w:val="28"/>
        </w:rPr>
        <w:t xml:space="preserve">23. Robert Boyle, </w:t>
      </w:r>
      <w:r w:rsidRPr="000A74F2">
        <w:rPr>
          <w:i/>
          <w:szCs w:val="28"/>
        </w:rPr>
        <w:t>New Experiments Physico-Mechanical, Touching the Spring of the Air</w:t>
      </w:r>
      <w:r w:rsidRPr="000A74F2">
        <w:rPr>
          <w:szCs w:val="28"/>
        </w:rPr>
        <w:t xml:space="preserve"> (Oxford, 1660); Steven Shapin and Simon Schaffer, </w:t>
      </w:r>
      <w:r w:rsidRPr="000A74F2">
        <w:rPr>
          <w:i/>
          <w:szCs w:val="28"/>
        </w:rPr>
        <w:t>Leviathan and the Air-Pump: Hobbes, Boyle, and the Experimental Life</w:t>
      </w:r>
      <w:r w:rsidRPr="000A74F2">
        <w:rPr>
          <w:szCs w:val="28"/>
        </w:rPr>
        <w:t xml:space="preserve"> (Princeton: Princeton University Press, 1985), 22–79.</w:t>
      </w:r>
    </w:p>
    <w:p w14:paraId="0981EB41" w14:textId="77777777" w:rsidR="000A74F2" w:rsidRPr="000A74F2" w:rsidRDefault="000A74F2" w:rsidP="000A74F2">
      <w:pPr>
        <w:pStyle w:val="NoteEntry"/>
      </w:pPr>
      <w:r w:rsidRPr="000A74F2">
        <w:rPr>
          <w:szCs w:val="28"/>
        </w:rPr>
        <w:t xml:space="preserve">24. Robert Boyle, “The Origin of Forms and Qualities According to the Corpuscular Philosophy,” in </w:t>
      </w:r>
      <w:r w:rsidRPr="000A74F2">
        <w:rPr>
          <w:i/>
          <w:szCs w:val="28"/>
        </w:rPr>
        <w:t>Selected Philosophical Papers of Robert Boyle</w:t>
      </w:r>
      <w:r w:rsidRPr="000A74F2">
        <w:rPr>
          <w:szCs w:val="28"/>
        </w:rPr>
        <w:t>, ed. M. A. Stewart (Indianapolis: Hackett, 1991), 18–52.</w:t>
      </w:r>
    </w:p>
    <w:p w14:paraId="582ACC44" w14:textId="77777777" w:rsidR="000A74F2" w:rsidRPr="000A74F2" w:rsidRDefault="000A74F2" w:rsidP="000A74F2">
      <w:pPr>
        <w:pStyle w:val="NoteEntry"/>
      </w:pPr>
      <w:r w:rsidRPr="000A74F2">
        <w:rPr>
          <w:szCs w:val="28"/>
        </w:rPr>
        <w:t xml:space="preserve">25. Boyle, “MS Notes on a Good and an Excellent Hypothesis,” in </w:t>
      </w:r>
      <w:r w:rsidRPr="000A74F2">
        <w:rPr>
          <w:i/>
          <w:szCs w:val="28"/>
        </w:rPr>
        <w:t>Selected Philosophical Papers</w:t>
      </w:r>
      <w:r w:rsidRPr="000A74F2">
        <w:rPr>
          <w:szCs w:val="28"/>
        </w:rPr>
        <w:t xml:space="preserve">, 119–20; Jan W. Wojcik, </w:t>
      </w:r>
      <w:r w:rsidRPr="000A74F2">
        <w:rPr>
          <w:i/>
          <w:szCs w:val="28"/>
        </w:rPr>
        <w:t>Robert Boyle and the Limits of Reason</w:t>
      </w:r>
      <w:r w:rsidRPr="000A74F2">
        <w:rPr>
          <w:szCs w:val="28"/>
        </w:rPr>
        <w:t xml:space="preserve"> (Cambridge: Cambridge University Press, 1997), 151–88.</w:t>
      </w:r>
    </w:p>
    <w:p w14:paraId="7CEB3A9F" w14:textId="77777777" w:rsidR="000A74F2" w:rsidRPr="000A74F2" w:rsidRDefault="000A74F2" w:rsidP="000A74F2">
      <w:pPr>
        <w:pStyle w:val="NoteEntry"/>
      </w:pPr>
      <w:r w:rsidRPr="000A74F2">
        <w:rPr>
          <w:szCs w:val="28"/>
        </w:rPr>
        <w:t xml:space="preserve">26. Peter R. Anstey, </w:t>
      </w:r>
      <w:r w:rsidRPr="000A74F2">
        <w:rPr>
          <w:i/>
          <w:szCs w:val="28"/>
        </w:rPr>
        <w:t>The Philosophy of Robert Boyle</w:t>
      </w:r>
      <w:r w:rsidRPr="000A74F2">
        <w:rPr>
          <w:szCs w:val="28"/>
        </w:rPr>
        <w:t xml:space="preserve"> (London: Routledge, 2000), 15–112, 113–204.</w:t>
      </w:r>
    </w:p>
    <w:p w14:paraId="6734D182" w14:textId="77777777" w:rsidR="000A74F2" w:rsidRPr="000A74F2" w:rsidRDefault="000A74F2" w:rsidP="000A74F2">
      <w:pPr>
        <w:pStyle w:val="NoteEntry"/>
      </w:pPr>
      <w:r w:rsidRPr="000A74F2">
        <w:rPr>
          <w:szCs w:val="28"/>
        </w:rPr>
        <w:t xml:space="preserve">27. Boyle, “Origin of Forms and Qualities,” 1–96; Anstey, </w:t>
      </w:r>
      <w:r w:rsidRPr="000A74F2">
        <w:rPr>
          <w:i/>
          <w:szCs w:val="28"/>
        </w:rPr>
        <w:t>Philosophy of Robert Boyle</w:t>
      </w:r>
      <w:r w:rsidRPr="000A74F2">
        <w:rPr>
          <w:szCs w:val="28"/>
        </w:rPr>
        <w:t>, 1–16.</w:t>
      </w:r>
    </w:p>
    <w:p w14:paraId="705649DB" w14:textId="77777777" w:rsidR="000A74F2" w:rsidRPr="000A74F2" w:rsidRDefault="000A74F2" w:rsidP="000A74F2">
      <w:pPr>
        <w:pStyle w:val="NoteEntry"/>
      </w:pPr>
      <w:r w:rsidRPr="000A74F2">
        <w:rPr>
          <w:szCs w:val="28"/>
        </w:rPr>
        <w:t>28. Boyle, “Origin of Forms and Qualities,” 18–21, 53–96.</w:t>
      </w:r>
    </w:p>
    <w:p w14:paraId="395C4A66" w14:textId="77777777" w:rsidR="000A74F2" w:rsidRPr="000A74F2" w:rsidRDefault="000A74F2" w:rsidP="000A74F2">
      <w:pPr>
        <w:pStyle w:val="NoteEntry"/>
      </w:pPr>
      <w:r w:rsidRPr="000A74F2">
        <w:rPr>
          <w:szCs w:val="28"/>
        </w:rPr>
        <w:t xml:space="preserve">29. Robert Boyle, </w:t>
      </w:r>
      <w:r w:rsidRPr="000A74F2">
        <w:rPr>
          <w:i/>
          <w:szCs w:val="28"/>
        </w:rPr>
        <w:t>A Free Enquiry into the Vulgarly Received Notion of Nature</w:t>
      </w:r>
      <w:r w:rsidRPr="000A74F2">
        <w:rPr>
          <w:szCs w:val="28"/>
        </w:rPr>
        <w:t xml:space="preserve">, in </w:t>
      </w:r>
      <w:r w:rsidRPr="000A74F2">
        <w:rPr>
          <w:i/>
          <w:szCs w:val="28"/>
        </w:rPr>
        <w:t>The Works of Robert Boyle</w:t>
      </w:r>
      <w:r w:rsidRPr="000A74F2">
        <w:rPr>
          <w:szCs w:val="28"/>
        </w:rPr>
        <w:t xml:space="preserve">, ed. Michael Hunter and Edward B. Davis, vol. 10 (London: Pickering &amp; Chatto, 2000), 427–572; Anstey, </w:t>
      </w:r>
      <w:r w:rsidRPr="000A74F2">
        <w:rPr>
          <w:i/>
          <w:szCs w:val="28"/>
        </w:rPr>
        <w:t>Philosophy of Robert Boyle</w:t>
      </w:r>
      <w:r w:rsidRPr="000A74F2">
        <w:rPr>
          <w:szCs w:val="28"/>
        </w:rPr>
        <w:t>, 158–86.</w:t>
      </w:r>
    </w:p>
    <w:p w14:paraId="249EFE01" w14:textId="77777777" w:rsidR="000A74F2" w:rsidRPr="000A74F2" w:rsidRDefault="000A74F2" w:rsidP="000A74F2">
      <w:pPr>
        <w:pStyle w:val="NoteEntry"/>
      </w:pPr>
      <w:r w:rsidRPr="000A74F2">
        <w:rPr>
          <w:szCs w:val="28"/>
        </w:rPr>
        <w:t xml:space="preserve">30. Wojcik, </w:t>
      </w:r>
      <w:r w:rsidRPr="000A74F2">
        <w:rPr>
          <w:i/>
          <w:szCs w:val="28"/>
        </w:rPr>
        <w:t>Robert Boyle and the Limits of Reason</w:t>
      </w:r>
      <w:r w:rsidRPr="000A74F2">
        <w:rPr>
          <w:szCs w:val="28"/>
        </w:rPr>
        <w:t>, 189–219.</w:t>
      </w:r>
    </w:p>
    <w:p w14:paraId="028322C4" w14:textId="77777777" w:rsidR="000A74F2" w:rsidRPr="000A74F2" w:rsidRDefault="000A74F2" w:rsidP="000A74F2">
      <w:pPr>
        <w:pStyle w:val="NoteEntry"/>
      </w:pPr>
      <w:r w:rsidRPr="000A74F2">
        <w:rPr>
          <w:szCs w:val="28"/>
        </w:rPr>
        <w:t xml:space="preserve">31. René Descartes, </w:t>
      </w:r>
      <w:r w:rsidRPr="000A74F2">
        <w:rPr>
          <w:i/>
          <w:szCs w:val="28"/>
        </w:rPr>
        <w:t>Discourse on Method</w:t>
      </w:r>
      <w:r w:rsidRPr="000A74F2">
        <w:rPr>
          <w:szCs w:val="28"/>
        </w:rPr>
        <w:t xml:space="preserve">, Part VI, in </w:t>
      </w:r>
      <w:r w:rsidRPr="000A74F2">
        <w:rPr>
          <w:i/>
          <w:szCs w:val="28"/>
        </w:rPr>
        <w:t>The Philosophical Writings of Descartes</w:t>
      </w:r>
      <w:r w:rsidRPr="000A74F2">
        <w:rPr>
          <w:szCs w:val="28"/>
        </w:rPr>
        <w:t xml:space="preserve">, trans. John Cottingham, Robert Stoothoff, and Dugald Murdoch, vol. 1 (Cambridge: Cambridge University Press, 1985), 142–43; Gaukroger, </w:t>
      </w:r>
      <w:r w:rsidRPr="000A74F2">
        <w:rPr>
          <w:i/>
          <w:szCs w:val="28"/>
        </w:rPr>
        <w:t>Francis Bacon</w:t>
      </w:r>
      <w:r w:rsidRPr="000A74F2">
        <w:rPr>
          <w:szCs w:val="28"/>
        </w:rPr>
        <w:t>, 155–65.</w:t>
      </w:r>
    </w:p>
    <w:p w14:paraId="7BD967BB" w14:textId="77777777" w:rsidR="000A74F2" w:rsidRPr="000A74F2" w:rsidRDefault="000A74F2" w:rsidP="000A74F2">
      <w:pPr>
        <w:pStyle w:val="NoteEntry"/>
      </w:pPr>
      <w:r w:rsidRPr="000A74F2">
        <w:rPr>
          <w:szCs w:val="28"/>
        </w:rPr>
        <w:t xml:space="preserve">32. Merchant, </w:t>
      </w:r>
      <w:r w:rsidRPr="000A74F2">
        <w:rPr>
          <w:i/>
          <w:szCs w:val="28"/>
        </w:rPr>
        <w:t>Death of Nature</w:t>
      </w:r>
      <w:r w:rsidRPr="000A74F2">
        <w:rPr>
          <w:szCs w:val="28"/>
        </w:rPr>
        <w:t>, 1–41, 127–91, 216–52.</w:t>
      </w:r>
    </w:p>
    <w:p w14:paraId="5E6D696B" w14:textId="77777777" w:rsidR="000A74F2" w:rsidRPr="000A74F2" w:rsidRDefault="000A74F2" w:rsidP="000A74F2">
      <w:pPr>
        <w:pStyle w:val="NoteEntry"/>
      </w:pPr>
      <w:r w:rsidRPr="000A74F2">
        <w:rPr>
          <w:szCs w:val="28"/>
        </w:rPr>
        <w:t xml:space="preserve">33. Steven Shapin, </w:t>
      </w:r>
      <w:r w:rsidRPr="000A74F2">
        <w:rPr>
          <w:i/>
          <w:szCs w:val="28"/>
        </w:rPr>
        <w:t>The Scientific Revolution</w:t>
      </w:r>
      <w:r w:rsidRPr="000A74F2">
        <w:rPr>
          <w:szCs w:val="28"/>
        </w:rPr>
        <w:t xml:space="preserve"> (Chicago: University of Chicago Press, 1996), 1–14, 64–117; Gaukroger, </w:t>
      </w:r>
      <w:r w:rsidRPr="000A74F2">
        <w:rPr>
          <w:i/>
          <w:szCs w:val="28"/>
        </w:rPr>
        <w:t>Francis Bacon</w:t>
      </w:r>
      <w:r w:rsidRPr="000A74F2">
        <w:rPr>
          <w:szCs w:val="28"/>
        </w:rPr>
        <w:t>, 68–100.</w:t>
      </w:r>
    </w:p>
    <w:p w14:paraId="267221C9" w14:textId="77777777" w:rsidR="000A74F2" w:rsidRPr="000A74F2" w:rsidRDefault="000A74F2" w:rsidP="000A74F2">
      <w:pPr>
        <w:pStyle w:val="NoteEntry"/>
      </w:pPr>
      <w:r w:rsidRPr="000A74F2">
        <w:rPr>
          <w:szCs w:val="28"/>
        </w:rPr>
        <w:t xml:space="preserve">34. Bacon, </w:t>
      </w:r>
      <w:r w:rsidRPr="000A74F2">
        <w:rPr>
          <w:i/>
          <w:szCs w:val="28"/>
        </w:rPr>
        <w:t>New Organon</w:t>
      </w:r>
      <w:r w:rsidRPr="000A74F2">
        <w:rPr>
          <w:szCs w:val="28"/>
        </w:rPr>
        <w:t xml:space="preserve">, I.129, 100–101; Descartes, </w:t>
      </w:r>
      <w:r w:rsidRPr="000A74F2">
        <w:rPr>
          <w:i/>
          <w:szCs w:val="28"/>
        </w:rPr>
        <w:t>Discourse on Method</w:t>
      </w:r>
      <w:r w:rsidRPr="000A74F2">
        <w:rPr>
          <w:szCs w:val="28"/>
        </w:rPr>
        <w:t>, Part VI, 142–43; Boyle, “Origin of Forms and Qualities,” 13–18.</w:t>
      </w:r>
    </w:p>
    <w:p w14:paraId="0386F5CA" w14:textId="77777777" w:rsidR="000A74F2" w:rsidRPr="000A74F2" w:rsidRDefault="000A74F2" w:rsidP="000A74F2">
      <w:pPr>
        <w:pStyle w:val="NoteEntry"/>
      </w:pPr>
      <w:r w:rsidRPr="000A74F2">
        <w:rPr>
          <w:szCs w:val="28"/>
        </w:rPr>
        <w:t xml:space="preserve">35. Shapin, </w:t>
      </w:r>
      <w:r w:rsidRPr="000A74F2">
        <w:rPr>
          <w:i/>
          <w:szCs w:val="28"/>
        </w:rPr>
        <w:t>Scientific Revolution</w:t>
      </w:r>
      <w:r w:rsidRPr="000A74F2">
        <w:rPr>
          <w:szCs w:val="28"/>
        </w:rPr>
        <w:t>, 1–14, 118–65.</w:t>
      </w:r>
    </w:p>
    <w:p w14:paraId="6B8FEAB9" w14:textId="77777777" w:rsidR="000A74F2" w:rsidRPr="000A74F2" w:rsidRDefault="000A74F2" w:rsidP="000A74F2">
      <w:pPr>
        <w:pStyle w:val="NoteEntry"/>
      </w:pPr>
      <w:r w:rsidRPr="000A74F2">
        <w:rPr>
          <w:szCs w:val="28"/>
        </w:rPr>
        <w:t xml:space="preserve">36. Merchant, </w:t>
      </w:r>
      <w:r w:rsidRPr="000A74F2">
        <w:rPr>
          <w:i/>
          <w:szCs w:val="28"/>
        </w:rPr>
        <w:t>Death of Nature</w:t>
      </w:r>
      <w:r w:rsidRPr="000A74F2">
        <w:rPr>
          <w:szCs w:val="28"/>
        </w:rPr>
        <w:t xml:space="preserve">, 253–90; Riskin, </w:t>
      </w:r>
      <w:r w:rsidRPr="000A74F2">
        <w:rPr>
          <w:i/>
          <w:szCs w:val="28"/>
        </w:rPr>
        <w:t>Restless Clock</w:t>
      </w:r>
      <w:r w:rsidRPr="000A74F2">
        <w:rPr>
          <w:szCs w:val="28"/>
        </w:rPr>
        <w:t>, 77–112. These rival accounts form the opening field of Chapter 16.</w:t>
      </w:r>
    </w:p>
    <w:p w14:paraId="0B2C98B9" w14:textId="77777777" w:rsidR="000A74F2" w:rsidRPr="000A74F2" w:rsidRDefault="000A74F2" w:rsidP="000A74F2">
      <w:pPr>
        <w:pStyle w:val="NoteEntry"/>
      </w:pPr>
      <w:r w:rsidRPr="000A74F2">
        <w:rPr>
          <w:szCs w:val="28"/>
        </w:rPr>
        <w:t xml:space="preserve">37. Riskin, </w:t>
      </w:r>
      <w:r w:rsidRPr="000A74F2">
        <w:rPr>
          <w:i/>
          <w:szCs w:val="28"/>
        </w:rPr>
        <w:t>Restless Clock</w:t>
      </w:r>
      <w:r w:rsidRPr="000A74F2">
        <w:rPr>
          <w:szCs w:val="28"/>
        </w:rPr>
        <w:t>, 1–10, 44–112.</w:t>
      </w:r>
    </w:p>
    <w:p w14:paraId="48EB98B2" w14:textId="77777777" w:rsidR="002D40C1" w:rsidRPr="002D40C1" w:rsidRDefault="002D40C1" w:rsidP="002D40C1">
      <w:pPr>
        <w:pStyle w:val="ChapterHeading"/>
      </w:pPr>
      <w:bookmarkStart w:id="20" w:name="toc_chapter_16"/>
      <w:r>
        <w:rPr>
          <w:sz w:val="28"/>
        </w:rPr>
        <w:t>Chapter 16</w:t>
      </w:r>
      <w:r>
        <w:rPr>
          <w:sz w:val="28"/>
        </w:rPr>
        <w:br/>
      </w:r>
      <w:r>
        <w:t>Law, Force, and the Dissent of Living Matter</w:t>
      </w:r>
      <w:bookmarkEnd w:id="20"/>
    </w:p>
    <w:p w14:paraId="114DB3F1" w14:textId="77777777" w:rsidR="002D40C1" w:rsidRPr="002D40C1" w:rsidRDefault="002D40C1" w:rsidP="002D40C1">
      <w:pPr>
        <w:pStyle w:val="SectionHeading"/>
      </w:pPr>
      <w:r w:rsidRPr="002D40C1">
        <w:rPr>
          <w:rFonts w:cstheme="majorBidi"/>
          <w:bCs/>
          <w:color w:val="2E74B5"/>
          <w:szCs w:val="28"/>
        </w:rPr>
        <w:t>Matter Refuses the Verdict</w:t>
      </w:r>
    </w:p>
    <w:p w14:paraId="6CFCDEC5" w14:textId="77777777" w:rsidR="002D40C1" w:rsidRPr="002D40C1" w:rsidRDefault="002D40C1" w:rsidP="002D40C1">
      <w:pPr>
        <w:pStyle w:val="BookBody"/>
      </w:pPr>
      <w:r w:rsidRPr="002D40C1">
        <w:rPr>
          <w:szCs w:val="28"/>
        </w:rPr>
        <w:t>Chapter 15 ended with a world made available. Baconian method organized experience for use; Cartesian extension made body geometrically decomposable; Boyle’s corpuscles turned qualities into effects of arrangement. None of those achievements required the investigator to hate nature, and none made matter literally motionless. They did, however, make a severe explanatory proposal. Bodies as bodies needed no inward purposes, perceptions, or desires. Motion could be transmitted, organization built, and effects varied without granting the material thing a project of its own.</w:t>
      </w:r>
    </w:p>
    <w:p w14:paraId="3BFB0A93" w14:textId="77777777" w:rsidR="002D40C1" w:rsidRPr="002D40C1" w:rsidRDefault="002D40C1" w:rsidP="002D40C1">
      <w:pPr>
        <w:pStyle w:val="BookBody"/>
      </w:pPr>
      <w:r w:rsidRPr="002D40C1">
        <w:rPr>
          <w:szCs w:val="28"/>
        </w:rPr>
        <w:t>The proposal was powerful. It was never inevitable. Within the same decades in which experimental philosophy and mechanism acquired institutional authority, Anne Conway denied that God could create dead substance, Margaret Cavendish made self-motion and perception features of matter, and Henry More placed an incorporeal formative power inside the operations that mechanism could not explain. These writers did not preserve one common organic worldview. They disagreed about matter, spirit, God, freedom, knowledge, and the proper evidence of natural philosophy. Their importance lies precisely in that plurality. Modern nature had several possible constitutions.</w:t>
      </w:r>
      <w:r w:rsidRPr="002D40C1">
        <w:rPr>
          <w:szCs w:val="28"/>
          <w:vertAlign w:val="superscript"/>
        </w:rPr>
        <w:t>1</w:t>
      </w:r>
    </w:p>
    <w:p w14:paraId="28D18F88" w14:textId="77777777" w:rsidR="002D40C1" w:rsidRPr="002D40C1" w:rsidRDefault="002D40C1" w:rsidP="002D40C1">
      <w:pPr>
        <w:pStyle w:val="BookBody"/>
      </w:pPr>
      <w:r w:rsidRPr="002D40C1">
        <w:rPr>
          <w:szCs w:val="28"/>
        </w:rPr>
        <w:t>Nor were these alternatives simply nostalgic survivals. Conway had been educated through Descartes. Cavendish read and criticized the new philosophies and made experiment itself an object of philosophical judgment. More helped introduce Cartesian thought into England before attacking its limits. They reasoned inside the crisis created by mechanism. Each accepted some of its demands for clarity and causal adequacy while refusing the conclusion that extension and impact exhausted created activity.</w:t>
      </w:r>
    </w:p>
    <w:p w14:paraId="0A7C1DFD" w14:textId="77777777" w:rsidR="002D40C1" w:rsidRPr="002D40C1" w:rsidRDefault="002D40C1" w:rsidP="002D40C1">
      <w:pPr>
        <w:pStyle w:val="BookBody"/>
      </w:pPr>
      <w:r w:rsidRPr="002D40C1">
        <w:rPr>
          <w:szCs w:val="28"/>
        </w:rPr>
        <w:t xml:space="preserve">The chapter then turns to Isaac Newton, where the historical temptation is strongest. The </w:t>
      </w:r>
      <w:r w:rsidRPr="002D40C1">
        <w:rPr>
          <w:i/>
          <w:szCs w:val="28"/>
        </w:rPr>
        <w:t>Principia</w:t>
      </w:r>
      <w:r w:rsidRPr="002D40C1">
        <w:rPr>
          <w:szCs w:val="28"/>
        </w:rPr>
        <w:t xml:space="preserve"> joined falling bodies, planetary paths, lunar motion, tides, and comets within a mathematical dynamics of astonishing reach. The </w:t>
      </w:r>
      <w:r w:rsidRPr="002D40C1">
        <w:rPr>
          <w:i/>
          <w:szCs w:val="28"/>
        </w:rPr>
        <w:t>Opticks</w:t>
      </w:r>
      <w:r w:rsidRPr="002D40C1">
        <w:rPr>
          <w:szCs w:val="28"/>
        </w:rPr>
        <w:t xml:space="preserve"> made light experimentally tractable while showing that a beam ordinarily called white contained rays of different refrangibility. After Newton, a lawful universe no longer required Cartesian vortices, and mathematical prediction acquired a new authority over heaven and Earth.</w:t>
      </w:r>
    </w:p>
    <w:p w14:paraId="5697349F" w14:textId="77777777" w:rsidR="002D40C1" w:rsidRPr="002D40C1" w:rsidRDefault="002D40C1" w:rsidP="002D40C1">
      <w:pPr>
        <w:pStyle w:val="BookBody"/>
      </w:pPr>
      <w:r w:rsidRPr="002D40C1">
        <w:rPr>
          <w:szCs w:val="28"/>
        </w:rPr>
        <w:t>Yet Newton did not simply finish the mechanical universe. Gravity worked as a mathematically specified force before its physical cause was known. Absolute space belonged to a metaphysical account of true motion and divine presence. The General Scholium placed dominion, intelligence, and providence inside the published architecture of natural philosophy. The Queries proposed active principles. Manuscripts on prophecy, church history, and alchemy occupied years of disciplined labor. Newton’s achievement made law public with unprecedented power while leaving the sources of activity metaphysically charged.</w:t>
      </w:r>
    </w:p>
    <w:p w14:paraId="01CA9D12" w14:textId="77777777" w:rsidR="002D40C1" w:rsidRPr="002D40C1" w:rsidRDefault="002D40C1" w:rsidP="002D40C1">
      <w:pPr>
        <w:pStyle w:val="BookBody"/>
      </w:pPr>
      <w:r w:rsidRPr="002D40C1">
        <w:rPr>
          <w:szCs w:val="28"/>
        </w:rPr>
        <w:t>The governing question is therefore double. Was dead extension the only possible modern nature? And did Newton’s laws finally prove that it was? Conway, Cavendish, and More answer the first question with competing refusals. Newton makes the second impossible to answer with a simple yes. The early modern universe became mathematically unified without becoming metaphysically simple.</w:t>
      </w:r>
    </w:p>
    <w:p w14:paraId="54F85ED4" w14:textId="77777777" w:rsidR="004A6C7A" w:rsidRDefault="007849EA">
      <w:pPr>
        <w:pStyle w:val="SectionHeading"/>
      </w:pPr>
      <w:r>
        <w:rPr>
          <w:rFonts w:cstheme="majorBidi"/>
          <w:bCs/>
          <w:color w:val="2E74B5"/>
          <w:szCs w:val="28"/>
        </w:rPr>
        <w:t>Books That Make Alternatives Public</w:t>
      </w:r>
    </w:p>
    <w:p w14:paraId="575ADA10" w14:textId="77777777" w:rsidR="004A6C7A" w:rsidRDefault="007849EA">
      <w:pPr>
        <w:pStyle w:val="BookBody"/>
      </w:pPr>
      <w:r>
        <w:rPr>
          <w:szCs w:val="28"/>
        </w:rPr>
        <w:t xml:space="preserve">Before their arguments are compared, the books themselves deserve attention. Conway's philosophy first appeared in Latin in 1690, two years after her death, under the name of an author who could no longer supervise the public life of the text. The English title page of 1692 presents </w:t>
      </w:r>
      <w:r>
        <w:rPr>
          <w:i/>
          <w:szCs w:val="28"/>
        </w:rPr>
        <w:t>The Principles of the Most Ancient and Modern Philosophy</w:t>
      </w:r>
      <w:r>
        <w:rPr>
          <w:szCs w:val="28"/>
        </w:rPr>
        <w:t xml:space="preserve"> as a systematic intervention into the disputes of the age. Its calm typographic order conceals an unusual history: a woman excluded from the universities, writing through illness and religious controversy, enters print only through the editorial labor of friends and translators. The title page is therefore not decorative evidence. It shows that an alternative ontology of living creation had to cross social and confessional barriers before it could become a public proposition.</w:t>
      </w:r>
      <w:r>
        <w:rPr>
          <w:szCs w:val="28"/>
          <w:vertAlign w:val="superscript"/>
        </w:rPr>
        <w:t>2</w:t>
      </w:r>
    </w:p>
    <w:p w14:paraId="536C69A2" w14:textId="77777777" w:rsidR="004A6C7A" w:rsidRDefault="007849EA">
      <w:pPr>
        <w:pStyle w:val="BookBody"/>
      </w:pPr>
      <w:r>
        <w:rPr>
          <w:szCs w:val="28"/>
        </w:rPr>
        <w:t>The material form sharpens Conway's philosophical claim. A doctrine of universal creaturely mutability reaches readers through a text that has itself passed through translation, posthumous arrangement, and denominational negotiation. No single stage is the pure original standing outside mediation. Latin and English versions make the argument travel, but they also disclose the dependencies through which intellectual authority is produced. Conway's living substance is not proved by this publishing history. The history nevertheless makes visible the same problem her metaphysics addresses: how can identity persist through real transformation?</w:t>
      </w:r>
    </w:p>
    <w:p w14:paraId="011D532F" w14:textId="77777777" w:rsidR="004A6C7A" w:rsidRDefault="007849EA">
      <w:pPr>
        <w:pStyle w:val="BookBody"/>
      </w:pPr>
      <w:r>
        <w:rPr>
          <w:szCs w:val="28"/>
        </w:rPr>
        <w:t xml:space="preserve">Cavendish's 1666 volume makes a different statement before a sentence is read. </w:t>
      </w:r>
      <w:r>
        <w:rPr>
          <w:i/>
          <w:szCs w:val="28"/>
        </w:rPr>
        <w:t>Observations upon Experimental Philosophy</w:t>
      </w:r>
      <w:r>
        <w:rPr>
          <w:szCs w:val="28"/>
        </w:rPr>
        <w:t xml:space="preserve"> and </w:t>
      </w:r>
      <w:r>
        <w:rPr>
          <w:i/>
          <w:szCs w:val="28"/>
        </w:rPr>
        <w:t>The Description of a New World, Called the Blazing World</w:t>
      </w:r>
      <w:r>
        <w:rPr>
          <w:szCs w:val="28"/>
        </w:rPr>
        <w:t xml:space="preserve"> were issued together, philosophical criticism joined to romance within one printed object. The first half argues against the exclusive claims of microscopes, atoms, and mechanical explanation. The second builds a fictional world in which bear-men, bird-men, and other specialists enact the institutional ambitions and comic failures of organized inquiry. Binding the works together makes genre part of method. Natural philosophy is tested both by proposition and by imagined consequence.</w:t>
      </w:r>
      <w:r>
        <w:rPr>
          <w:szCs w:val="28"/>
          <w:vertAlign w:val="superscript"/>
        </w:rPr>
        <w:t>16</w:t>
      </w:r>
    </w:p>
    <w:p w14:paraId="5D0CD1B1" w14:textId="77777777" w:rsidR="004A6C7A" w:rsidRDefault="007849EA">
      <w:pPr>
        <w:pStyle w:val="BookBody"/>
      </w:pPr>
      <w:r>
        <w:rPr>
          <w:szCs w:val="28"/>
        </w:rPr>
        <w:t>The conjunction also unsettles a later division between serious knowledge and literary invention. Cavendish does not ask fiction to replace experiment. She uses fiction to expose what a diagram or observation report tends to hide: the distribution of authority, the vanity of specialists, the political desire for unanimity, and the distance between technical ingenuity and wisdom. The romance can stage a world in which an instrument works yet the community using it remains confused. It can ask who commands a learned society and whose experience is treated as noise.</w:t>
      </w:r>
    </w:p>
    <w:p w14:paraId="4FD5662B" w14:textId="77777777" w:rsidR="004A6C7A" w:rsidRDefault="007849EA">
      <w:pPr>
        <w:pStyle w:val="BookBody"/>
      </w:pPr>
      <w:r>
        <w:rPr>
          <w:szCs w:val="28"/>
        </w:rPr>
        <w:t>These printed witnesses keep dissent from becoming a list of doctrines. Conway's title pages show the precarious route by which a systematic woman philosopher entered the archive. Cavendish's paired book makes critique and world-making physically inseparable. More's collections, sermons, and treatises belonged to another institutional network, the learned and clerical culture of Cambridge Platonism. Mechanism and its alternatives were not disembodied theories waiting to be selected by reason alone. They were produced by distinct communities, genres, publishing arrangements, and standards of credibility. The plurality of modern natures was also a plurality of ways to make a claim public.</w:t>
      </w:r>
    </w:p>
    <w:p w14:paraId="48BD5005" w14:textId="77777777" w:rsidR="002D40C1" w:rsidRPr="002D40C1" w:rsidRDefault="002D40C1" w:rsidP="002D40C1">
      <w:pPr>
        <w:pStyle w:val="SectionHeading"/>
      </w:pPr>
      <w:r w:rsidRPr="002D40C1">
        <w:rPr>
          <w:rFonts w:cstheme="majorBidi"/>
          <w:bCs/>
          <w:color w:val="2E74B5"/>
          <w:szCs w:val="28"/>
        </w:rPr>
        <w:t>Anne Conway’s Living Creation</w:t>
      </w:r>
    </w:p>
    <w:p w14:paraId="21B3A5D6" w14:textId="77777777" w:rsidR="002D40C1" w:rsidRPr="002D40C1" w:rsidRDefault="002D40C1" w:rsidP="002D40C1">
      <w:pPr>
        <w:pStyle w:val="BookBody"/>
      </w:pPr>
      <w:r w:rsidRPr="002D40C1">
        <w:rPr>
          <w:szCs w:val="28"/>
        </w:rPr>
        <w:t xml:space="preserve">Anne Conway’s </w:t>
      </w:r>
      <w:r w:rsidRPr="002D40C1">
        <w:rPr>
          <w:i/>
          <w:szCs w:val="28"/>
        </w:rPr>
        <w:t>Principles of the Most Ancient and Modern Philosophy</w:t>
      </w:r>
      <w:r w:rsidRPr="002D40C1">
        <w:rPr>
          <w:szCs w:val="28"/>
        </w:rPr>
        <w:t xml:space="preserve"> appeared only after her death, first in Latin in 1690 and then in English in 1692. Its brevity disguises its ambition. Conway sought an account of God, Christ, and creatures that would answer Descartes, Hobbes, Spinoza, and the dualisms maintained by her teacher Henry More. She did not begin from an autonomous nature. She began from a theological structure in which the immutable creator, the mediating Christ, and mutable creation must be distinguished without severing their intelligible relations.</w:t>
      </w:r>
      <w:r w:rsidRPr="002D40C1">
        <w:rPr>
          <w:szCs w:val="28"/>
          <w:vertAlign w:val="superscript"/>
        </w:rPr>
        <w:t>2</w:t>
      </w:r>
    </w:p>
    <w:p w14:paraId="03EDCA4D" w14:textId="77777777" w:rsidR="002D40C1" w:rsidRPr="002D40C1" w:rsidRDefault="002D40C1" w:rsidP="002D40C1">
      <w:pPr>
        <w:pStyle w:val="BookBody"/>
      </w:pPr>
      <w:r w:rsidRPr="002D40C1">
        <w:rPr>
          <w:szCs w:val="28"/>
        </w:rPr>
        <w:t>The distinction matters because Conway’s world is not pantheist. God alone is absolutely immutable and perfect. Creatures are dependent, finite, and capable of change. Christ occupies a mediating order between divine immutability and creaturely mutability. What unifies created nature is not identity with God but a common created substance capable of degrees, transformations, and improvement. Conway’s universe lives because creation proceeds from life and remains ordered toward greater perfection, not because every object is a fragment of the divine essence.</w:t>
      </w:r>
      <w:r w:rsidRPr="002D40C1">
        <w:rPr>
          <w:szCs w:val="28"/>
          <w:vertAlign w:val="superscript"/>
        </w:rPr>
        <w:t>3</w:t>
      </w:r>
    </w:p>
    <w:p w14:paraId="5476B15B" w14:textId="77777777" w:rsidR="002D40C1" w:rsidRPr="002D40C1" w:rsidRDefault="002D40C1" w:rsidP="002D40C1">
      <w:pPr>
        <w:pStyle w:val="BookBody"/>
      </w:pPr>
      <w:r w:rsidRPr="002D40C1">
        <w:rPr>
          <w:szCs w:val="28"/>
        </w:rPr>
        <w:t>This structure overturns Cartesian dualism. If mind and body are two substances whose defining attributes exclude one another, interaction becomes obscure. Conway instead treats spirit and body as differences of degree within created substance. A body is spirit made denser, darker, and less active; spirit is body refined, subtle, and more capable of perception. The distinction is real, but it is not the boundary between two self-enclosed kinds of being.</w:t>
      </w:r>
      <w:r w:rsidRPr="002D40C1">
        <w:rPr>
          <w:szCs w:val="28"/>
          <w:vertAlign w:val="superscript"/>
        </w:rPr>
        <w:t>4</w:t>
      </w:r>
    </w:p>
    <w:p w14:paraId="687ED18A" w14:textId="77777777" w:rsidR="002D40C1" w:rsidRPr="002D40C1" w:rsidRDefault="002D40C1" w:rsidP="002D40C1">
      <w:pPr>
        <w:pStyle w:val="BookBody"/>
      </w:pPr>
      <w:r w:rsidRPr="002D40C1">
        <w:rPr>
          <w:szCs w:val="28"/>
        </w:rPr>
        <w:t>The result is a metaphysics of transformation. Created things do not leap across an impossible gulf from dead extension to living thought. They become more or less spiritual, active, perceptive, and good. Change of form can be profound without requiring the annihilation of one substance and creation of another. The familiar boundaries among mineral, plant, animal, and human mark relatively stable organizations within a mutable continuum, not prisons established for eternity.</w:t>
      </w:r>
    </w:p>
    <w:p w14:paraId="64398109" w14:textId="77777777" w:rsidR="002D40C1" w:rsidRPr="002D40C1" w:rsidRDefault="002D40C1" w:rsidP="002D40C1">
      <w:pPr>
        <w:pStyle w:val="BookBody"/>
      </w:pPr>
      <w:r w:rsidRPr="002D40C1">
        <w:rPr>
          <w:szCs w:val="28"/>
        </w:rPr>
        <w:t>Conway presses the argument through ordinary and unsettling cases. Water becomes ice and returns to fluidity. Earth hardens into stone and softens again. Animals display memory, affection, fear, and service. If a horse is treated as a mere machine, its evident sensitivities become inexplicable or morally irrelevant. If it possesses spirit, then death cannot simply cancel the created capacities through which it participated in life. The animal question therefore tests a whole ontology: what kind of creator would produce beings capable of suffering and relation only to discard them as temporary mechanisms?</w:t>
      </w:r>
      <w:r w:rsidRPr="002D40C1">
        <w:rPr>
          <w:szCs w:val="28"/>
          <w:vertAlign w:val="superscript"/>
        </w:rPr>
        <w:t>5</w:t>
      </w:r>
    </w:p>
    <w:p w14:paraId="0D181150" w14:textId="77777777" w:rsidR="002D40C1" w:rsidRPr="002D40C1" w:rsidRDefault="002D40C1" w:rsidP="002D40C1">
      <w:pPr>
        <w:pStyle w:val="BookBody"/>
      </w:pPr>
      <w:r w:rsidRPr="002D40C1">
        <w:rPr>
          <w:szCs w:val="28"/>
        </w:rPr>
        <w:t>Her rejection of dead matter is theological before it is ecological. God’s communicable attributes—life, goodness, wisdom—cannot explain a reality forever incapable of life or improvement. A purely dead substance would share no positive perfection with its source. Conway calls such matter an impossible fiction. The point is not that rocks deliberate like persons. It is that no created body is metaphysically excluded from vitality, perception, and transformation in principle.</w:t>
      </w:r>
      <w:r w:rsidRPr="002D40C1">
        <w:rPr>
          <w:szCs w:val="28"/>
          <w:vertAlign w:val="superscript"/>
        </w:rPr>
        <w:t>6</w:t>
      </w:r>
    </w:p>
    <w:p w14:paraId="6F5CD1C6" w14:textId="77777777" w:rsidR="002D40C1" w:rsidRPr="002D40C1" w:rsidRDefault="002D40C1" w:rsidP="002D40C1">
      <w:pPr>
        <w:pStyle w:val="BookBody"/>
      </w:pPr>
      <w:r w:rsidRPr="002D40C1">
        <w:rPr>
          <w:szCs w:val="28"/>
        </w:rPr>
        <w:t>This is a stronger claim than saying organisms are complicated. Complexity might arise from rearranging passive parts while the parts themselves remain insensible. Conway refuses that solution. The capacity for life belongs to created being at its root. Organization can manifest, concentrate, or obstruct it, but cannot manufacture it from absolute death.</w:t>
      </w:r>
    </w:p>
    <w:p w14:paraId="56E87D1C" w14:textId="77777777" w:rsidR="002D40C1" w:rsidRPr="002D40C1" w:rsidRDefault="002D40C1" w:rsidP="002D40C1">
      <w:pPr>
        <w:pStyle w:val="BookBody"/>
      </w:pPr>
      <w:r w:rsidRPr="002D40C1">
        <w:rPr>
          <w:szCs w:val="28"/>
        </w:rPr>
        <w:t>The argument changes the meaning of embodiment. Body is not a container into which spirit is placed, nor an alien instrument temporarily used by a soul. It is the mode in which created activity has become comparatively fixed and resistant. Because resistance is a degree rather than an abyss, bodily history enters spiritual history. Habit, injury, appetite, and relation can contract or refine the creature. Salvation is not escape from created substance but its transformation.</w:t>
      </w:r>
    </w:p>
    <w:p w14:paraId="30146F78" w14:textId="77777777" w:rsidR="002D40C1" w:rsidRPr="002D40C1" w:rsidRDefault="002D40C1" w:rsidP="002D40C1">
      <w:pPr>
        <w:pStyle w:val="BookBody"/>
      </w:pPr>
      <w:r w:rsidRPr="002D40C1">
        <w:rPr>
          <w:szCs w:val="28"/>
        </w:rPr>
        <w:t>This continuity also explains why interaction is no special miracle. A more spiritual and a more corporeal mode can affect one another because they are variations within the same created order. Conway does not solve the problem by describing a mechanism of transfer between mind and body. She dissolves the premise that made transfer across two alien substances seem necessary.</w:t>
      </w:r>
    </w:p>
    <w:p w14:paraId="1B050F56" w14:textId="77777777" w:rsidR="002D40C1" w:rsidRPr="002D40C1" w:rsidRDefault="002D40C1" w:rsidP="002D40C1">
      <w:pPr>
        <w:pStyle w:val="BookBody"/>
      </w:pPr>
      <w:r w:rsidRPr="002D40C1">
        <w:rPr>
          <w:szCs w:val="28"/>
        </w:rPr>
        <w:t>The view also redefines power. In a Cartesian or corpuscular scheme, activity is readily pictured as motion imparted from without. Conway’s creature changes through an inwardly modulated life, though never independently of God. Corporeality names a condition of contracted activity, not the absence of agency. A more spiritual body is not less real; it is more capable of relation and response.</w:t>
      </w:r>
    </w:p>
    <w:p w14:paraId="2C2A0752" w14:textId="77777777" w:rsidR="002D40C1" w:rsidRPr="002D40C1" w:rsidRDefault="002D40C1" w:rsidP="002D40C1">
      <w:pPr>
        <w:pStyle w:val="BookBody"/>
      </w:pPr>
      <w:r w:rsidRPr="002D40C1">
        <w:rPr>
          <w:szCs w:val="28"/>
        </w:rPr>
        <w:t>Conway’s language of degrees prevents a crude equality among creatures. Her cosmos remains hierarchical, and human moral agency carries a distinctive burden. Nevertheless, hierarchy becomes dynamic. Lower does not mean ontologically worthless, and present condition does not define final possibility. The ladder is a route of transformation rather than a set of sealed boxes.</w:t>
      </w:r>
    </w:p>
    <w:p w14:paraId="6367ADA7" w14:textId="77777777" w:rsidR="002D40C1" w:rsidRPr="002D40C1" w:rsidRDefault="002D40C1" w:rsidP="002D40C1">
      <w:pPr>
        <w:pStyle w:val="SectionHeading"/>
      </w:pPr>
      <w:r w:rsidRPr="002D40C1">
        <w:rPr>
          <w:rFonts w:cstheme="majorBidi"/>
          <w:bCs/>
          <w:color w:val="2E74B5"/>
          <w:szCs w:val="28"/>
        </w:rPr>
        <w:t>Pain, Justice, and Perfectibility</w:t>
      </w:r>
    </w:p>
    <w:p w14:paraId="1B7DC9D8" w14:textId="77777777" w:rsidR="002D40C1" w:rsidRPr="002D40C1" w:rsidRDefault="002D40C1" w:rsidP="002D40C1">
      <w:pPr>
        <w:pStyle w:val="BookBody"/>
      </w:pPr>
      <w:r w:rsidRPr="002D40C1">
        <w:rPr>
          <w:szCs w:val="28"/>
        </w:rPr>
        <w:t>Conway’s metaphysics cannot be separated from suffering. She endured recurrent and devastating illness, underwent dangerous treatments, and sought medical relief from physicians and experimental practitioners across her intellectual network. Biography does not reduce philosophy to symptom, but it clarifies why the relation of body and spirit could not remain an abstract puzzle. A soul utterly distinct from body should not be shattered by bodily pain; a body devoid of inwardness should not make suffering morally intelligible.</w:t>
      </w:r>
      <w:r w:rsidRPr="002D40C1">
        <w:rPr>
          <w:szCs w:val="28"/>
          <w:vertAlign w:val="superscript"/>
        </w:rPr>
        <w:t>7</w:t>
      </w:r>
    </w:p>
    <w:p w14:paraId="43B525B5" w14:textId="77777777" w:rsidR="002D40C1" w:rsidRPr="002D40C1" w:rsidRDefault="002D40C1" w:rsidP="002D40C1">
      <w:pPr>
        <w:pStyle w:val="BookBody"/>
      </w:pPr>
      <w:r w:rsidRPr="002D40C1">
        <w:rPr>
          <w:szCs w:val="28"/>
        </w:rPr>
        <w:t>Her response is difficult. Pain stimulates the life imprisoned within a contracted condition and can loosen the grossness that impedes it. Punishment is therefore remedial rather than eternally retributive. No finite error can justify an infinite arrest of created perfectibility. The creature may descend through disordered acts, but suffering belongs to a providential process whose end is correction.</w:t>
      </w:r>
    </w:p>
    <w:p w14:paraId="17745A1D" w14:textId="77777777" w:rsidR="002D40C1" w:rsidRPr="002D40C1" w:rsidRDefault="002D40C1" w:rsidP="002D40C1">
      <w:pPr>
        <w:pStyle w:val="BookBody"/>
      </w:pPr>
      <w:r w:rsidRPr="002D40C1">
        <w:rPr>
          <w:szCs w:val="28"/>
        </w:rPr>
        <w:t>This account offers consolation, but it also risks sanctifying pain. To call suffering transformative can help a person imagine that agony is not metaphysically meaningless. It can also make preventable injury appear necessary. Conway’s own restless search for treatment guards against that inference. She did not treat pain as a good to be passively preserved. The philosophical claim is that suffering cannot have the last word, not that institutions should inflict it.</w:t>
      </w:r>
    </w:p>
    <w:p w14:paraId="65B1B757" w14:textId="77777777" w:rsidR="002D40C1" w:rsidRPr="002D40C1" w:rsidRDefault="002D40C1" w:rsidP="002D40C1">
      <w:pPr>
        <w:pStyle w:val="BookBody"/>
      </w:pPr>
      <w:r w:rsidRPr="002D40C1">
        <w:rPr>
          <w:szCs w:val="28"/>
        </w:rPr>
        <w:t>Perfectibility gives her living cosmos a moral direction absent from simple self-motion. Matter is not alive merely because it changes. Created life can become more harmonious, perceptive, and good. Ontology and ethics remain joined: what a being is includes what it may become, and what it may become establishes claims against treating its present weakness as final.</w:t>
      </w:r>
    </w:p>
    <w:p w14:paraId="6DD37645" w14:textId="77777777" w:rsidR="002D40C1" w:rsidRPr="002D40C1" w:rsidRDefault="002D40C1" w:rsidP="002D40C1">
      <w:pPr>
        <w:pStyle w:val="BookBody"/>
      </w:pPr>
      <w:r w:rsidRPr="002D40C1">
        <w:rPr>
          <w:szCs w:val="28"/>
        </w:rPr>
        <w:t>The union is especially visible in Conway’s treatment of animals. The horse that serves, senses, and suffers cannot be understood entirely through external motion. Its responsiveness discloses an inward life whose future is not exhausted by usefulness to a human owner. This is not a modern doctrine of animal rights. It is a theological refusal to make nonhuman creatures disposable within creation.</w:t>
      </w:r>
    </w:p>
    <w:p w14:paraId="646D23F5" w14:textId="77777777" w:rsidR="002D40C1" w:rsidRPr="002D40C1" w:rsidRDefault="002D40C1" w:rsidP="002D40C1">
      <w:pPr>
        <w:pStyle w:val="BookBody"/>
      </w:pPr>
      <w:r w:rsidRPr="002D40C1">
        <w:rPr>
          <w:szCs w:val="28"/>
        </w:rPr>
        <w:t>Conway also refuses the assumption that intellectual independence required separation from religious community. Her encounters with Quakerism, Kabbalah, Platonism, and Christian heterodoxy supplied resources for a philosophy that crossed confessional boundaries. The posthumous text is an artifact of intellectual exclusion as well as metaphysical dissent: a woman barred from university life produced a systematic challenge to some of the century’s most authoritative men.</w:t>
      </w:r>
      <w:r w:rsidRPr="002D40C1">
        <w:rPr>
          <w:szCs w:val="28"/>
          <w:vertAlign w:val="superscript"/>
        </w:rPr>
        <w:t>8</w:t>
      </w:r>
    </w:p>
    <w:p w14:paraId="4A09679D" w14:textId="77777777" w:rsidR="002D40C1" w:rsidRPr="002D40C1" w:rsidRDefault="002D40C1" w:rsidP="002D40C1">
      <w:pPr>
        <w:pStyle w:val="BookBody"/>
      </w:pPr>
      <w:r w:rsidRPr="002D40C1">
        <w:rPr>
          <w:szCs w:val="28"/>
        </w:rPr>
        <w:t>Her alternative to mechanism is therefore neither a recovery of scholastic form nor a celebration of spontaneous nature. It is a disciplined monism of created life. God remains creator, Christ mediator, creatures mutable, and moral order real. Dead extension fails because it cannot explain continuity between embodiment and spirit, the intelligibility of suffering, or the possibility that creation improves without ceasing to be creation.</w:t>
      </w:r>
    </w:p>
    <w:p w14:paraId="65D8C44E" w14:textId="77777777" w:rsidR="002D40C1" w:rsidRPr="002D40C1" w:rsidRDefault="002D40C1" w:rsidP="002D40C1">
      <w:pPr>
        <w:pStyle w:val="SectionHeading"/>
      </w:pPr>
      <w:r w:rsidRPr="002D40C1">
        <w:rPr>
          <w:rFonts w:cstheme="majorBidi"/>
          <w:bCs/>
          <w:color w:val="2E74B5"/>
          <w:szCs w:val="28"/>
        </w:rPr>
        <w:t>Cavendish’s Self-Moving Matter</w:t>
      </w:r>
    </w:p>
    <w:p w14:paraId="47EFCF1C" w14:textId="77777777" w:rsidR="002D40C1" w:rsidRPr="002D40C1" w:rsidRDefault="002D40C1" w:rsidP="002D40C1">
      <w:pPr>
        <w:pStyle w:val="BookBody"/>
      </w:pPr>
      <w:r w:rsidRPr="002D40C1">
        <w:rPr>
          <w:szCs w:val="28"/>
        </w:rPr>
        <w:t>Margaret Cavendish reaches a living nature by another route. She does not spiritualize matter into a continuum ordered through Christ. She makes matter itself self-moving, perceptive, and knowing. Her mature natural philosophy distinguishes rational, sensitive, and inanimate degrees, thoroughly intermixed within natural bodies. Rational matter designs and directs; sensitive matter executes and perceives; inanimate matter supplies material that does not move itself but is never found apart from the animate degrees.</w:t>
      </w:r>
      <w:r w:rsidRPr="002D40C1">
        <w:rPr>
          <w:szCs w:val="28"/>
          <w:vertAlign w:val="superscript"/>
        </w:rPr>
        <w:t>9</w:t>
      </w:r>
    </w:p>
    <w:p w14:paraId="55E938CA" w14:textId="77777777" w:rsidR="002D40C1" w:rsidRPr="002D40C1" w:rsidRDefault="002D40C1" w:rsidP="002D40C1">
      <w:pPr>
        <w:pStyle w:val="BookBody"/>
      </w:pPr>
      <w:r w:rsidRPr="002D40C1">
        <w:rPr>
          <w:szCs w:val="28"/>
        </w:rPr>
        <w:t>The vocabulary can sound like a hierarchy of mind, labor, and material. Cavendish sometimes compares rational matter to an architect and sensitive matter to a worker. Yet neither is an immaterial soul. Direction, execution, and stuff belong within one corporeal nature. The distinction explains how a body can act as an organized whole without importing a separate mind to command a machine.</w:t>
      </w:r>
    </w:p>
    <w:p w14:paraId="6F34927E" w14:textId="77777777" w:rsidR="002D40C1" w:rsidRPr="002D40C1" w:rsidRDefault="002D40C1" w:rsidP="002D40C1">
      <w:pPr>
        <w:pStyle w:val="BookBody"/>
      </w:pPr>
      <w:r w:rsidRPr="002D40C1">
        <w:rPr>
          <w:szCs w:val="28"/>
        </w:rPr>
        <w:t>Self-motion is not random agitation. Nature’s parts compose, divide, imitate, remember, and regulate. A seed develops, an organ performs its function, a wound alters bodily motions, and an animal responds because matter possesses patterned capacities. The motion involved is figurative: it makes and remakes the forms through which a creature exists. Mechanism errs when it assumes that all change must be transmitted as one body pushes another.</w:t>
      </w:r>
      <w:r w:rsidRPr="002D40C1">
        <w:rPr>
          <w:szCs w:val="28"/>
          <w:vertAlign w:val="superscript"/>
        </w:rPr>
        <w:t>10</w:t>
      </w:r>
    </w:p>
    <w:p w14:paraId="4EE4E84E" w14:textId="77777777" w:rsidR="002D40C1" w:rsidRPr="002D40C1" w:rsidRDefault="002D40C1" w:rsidP="002D40C1">
      <w:pPr>
        <w:pStyle w:val="BookBody"/>
      </w:pPr>
      <w:r w:rsidRPr="002D40C1">
        <w:rPr>
          <w:szCs w:val="28"/>
        </w:rPr>
        <w:t>Cavendish’s alternative appears in her account of causation. When a hand moves a bowl, the hand does not donate its motion as if motion were a detachable substance. The bowl moves by its own corporeal motions on the occasion presented by the hand. External bodies can trigger, pattern, or occasion a response; the responding body remains the principal source of its action. The world becomes a field of responsive imitation rather than a chain of transferred impacts.</w:t>
      </w:r>
    </w:p>
    <w:p w14:paraId="3EB0CDFB" w14:textId="77777777" w:rsidR="002D40C1" w:rsidRPr="002D40C1" w:rsidRDefault="002D40C1" w:rsidP="002D40C1">
      <w:pPr>
        <w:pStyle w:val="BookBody"/>
      </w:pPr>
      <w:r w:rsidRPr="002D40C1">
        <w:rPr>
          <w:szCs w:val="28"/>
        </w:rPr>
        <w:t>This does not make every part omniscient. Nature as an infinite whole possesses self-knowledge, but finite parts know finitely, according to their figures and relations. A stone does not know as a human knows. A liver does not perceive as an eye perceives. Yet bodily functions are not blind in the strong mechanical sense. Parts carry the sensitive and rational capacities required to coordinate their activities.</w:t>
      </w:r>
      <w:r w:rsidRPr="002D40C1">
        <w:rPr>
          <w:szCs w:val="28"/>
          <w:vertAlign w:val="superscript"/>
        </w:rPr>
        <w:t>11</w:t>
      </w:r>
    </w:p>
    <w:p w14:paraId="1FDAE144" w14:textId="77777777" w:rsidR="002D40C1" w:rsidRPr="002D40C1" w:rsidRDefault="002D40C1" w:rsidP="002D40C1">
      <w:pPr>
        <w:pStyle w:val="BookBody"/>
      </w:pPr>
      <w:r w:rsidRPr="002D40C1">
        <w:rPr>
          <w:szCs w:val="28"/>
        </w:rPr>
        <w:t>The claim relocates error. If perception is an active patterning by the perceiver, the image need not be a copy transported from object to mind. A sensory organ can pattern badly, irregularly, or in ways shaped by its own condition. Cavendish therefore preserves a robust external nature while acknowledging that perception belongs to the bodily activity of the knower.</w:t>
      </w:r>
    </w:p>
    <w:p w14:paraId="2B00A155" w14:textId="77777777" w:rsidR="002D40C1" w:rsidRPr="002D40C1" w:rsidRDefault="002D40C1" w:rsidP="002D40C1">
      <w:pPr>
        <w:pStyle w:val="BookBody"/>
      </w:pPr>
      <w:r w:rsidRPr="002D40C1">
        <w:rPr>
          <w:szCs w:val="28"/>
        </w:rPr>
        <w:t>Her materialism is anti-atomist. Nature is one infinite, continuous body; finite creatures are parts that cannot subsist in complete isolation from the whole. Voids and independent atoms threaten the causal and perceptual commerce through which order is maintained. Division is real, but it never produces a metaphysically detached unit. A creature is a whole relative to its organs and a part relative to wider nature.</w:t>
      </w:r>
      <w:r w:rsidRPr="002D40C1">
        <w:rPr>
          <w:szCs w:val="28"/>
          <w:vertAlign w:val="superscript"/>
        </w:rPr>
        <w:t>12</w:t>
      </w:r>
    </w:p>
    <w:p w14:paraId="5239F320" w14:textId="77777777" w:rsidR="002D40C1" w:rsidRPr="002D40C1" w:rsidRDefault="002D40C1" w:rsidP="002D40C1">
      <w:pPr>
        <w:pStyle w:val="BookBody"/>
      </w:pPr>
      <w:r w:rsidRPr="002D40C1">
        <w:rPr>
          <w:szCs w:val="28"/>
        </w:rPr>
        <w:t>This nested structure complicates the language of individuality. The self-moving creature is not sovereign. Its internal motions answer occasions presented by other bodies, and its persistence depends on larger material relations. Agency becomes distributed without disappearing. The part acts, but never from nowhere.</w:t>
      </w:r>
    </w:p>
    <w:p w14:paraId="1430E3C6" w14:textId="77777777" w:rsidR="002D40C1" w:rsidRPr="002D40C1" w:rsidRDefault="002D40C1" w:rsidP="002D40C1">
      <w:pPr>
        <w:pStyle w:val="BookBody"/>
      </w:pPr>
      <w:r w:rsidRPr="002D40C1">
        <w:rPr>
          <w:szCs w:val="28"/>
        </w:rPr>
        <w:t>Such dependence supplies a counterweight to fantasies of mastery. An experimenter can alter the occasions presented to a body, but cannot simply write a motion into passive stuff. The body responds according to its own figure, history, and capacities. Intervention becomes an encounter between active systems. Its outcome may be regular enough to learn from without being a unilateral command.</w:t>
      </w:r>
    </w:p>
    <w:p w14:paraId="329EF1E8" w14:textId="77777777" w:rsidR="002D40C1" w:rsidRPr="002D40C1" w:rsidRDefault="002D40C1" w:rsidP="002D40C1">
      <w:pPr>
        <w:pStyle w:val="BookBody"/>
      </w:pPr>
      <w:r w:rsidRPr="002D40C1">
        <w:rPr>
          <w:szCs w:val="28"/>
        </w:rPr>
        <w:t>This is not a doctrine of inviolability. Cavendish’s nature devours, recomposes, and destroys its finite figures. Parts use other parts, and human art belongs to corporeal nature. Her philosophy challenges absolute external control more directly than use itself. What an operator calls material already has activities that make the operation possible and may redirect it.</w:t>
      </w:r>
    </w:p>
    <w:p w14:paraId="16B315FE" w14:textId="77777777" w:rsidR="002D40C1" w:rsidRPr="002D40C1" w:rsidRDefault="002D40C1" w:rsidP="002D40C1">
      <w:pPr>
        <w:pStyle w:val="SectionHeading"/>
      </w:pPr>
      <w:r w:rsidRPr="002D40C1">
        <w:rPr>
          <w:rFonts w:cstheme="majorBidi"/>
          <w:bCs/>
          <w:color w:val="2E74B5"/>
          <w:szCs w:val="28"/>
        </w:rPr>
        <w:t>Knowledge in Every Part</w:t>
      </w:r>
    </w:p>
    <w:p w14:paraId="6F5F7A67" w14:textId="77777777" w:rsidR="002D40C1" w:rsidRPr="002D40C1" w:rsidRDefault="002D40C1" w:rsidP="002D40C1">
      <w:pPr>
        <w:pStyle w:val="BookBody"/>
      </w:pPr>
      <w:r w:rsidRPr="002D40C1">
        <w:rPr>
          <w:szCs w:val="28"/>
        </w:rPr>
        <w:t>Cavendish’s matter is alive in a more cognitive sense than Conway’s contracted spirit. Sensitive and rational knowledge extend throughout nature. This is sometimes described as panpsychism, though the label can mislead if it implies that every thing contains a miniature human consciousness. Cavendish distributes forms of perception appropriate to kinds and parts. Digestion, growth, repair, and sensation require local know-how without requiring reflective thought.</w:t>
      </w:r>
    </w:p>
    <w:p w14:paraId="3CE7A60C" w14:textId="77777777" w:rsidR="002D40C1" w:rsidRPr="002D40C1" w:rsidRDefault="002D40C1" w:rsidP="002D40C1">
      <w:pPr>
        <w:pStyle w:val="BookBody"/>
      </w:pPr>
      <w:r w:rsidRPr="002D40C1">
        <w:rPr>
          <w:szCs w:val="28"/>
        </w:rPr>
        <w:t>The body is consequently neither a centralized monarchy nor a democratic assembly in any simple sense. Cavendish draws political analogies, but she also shows their limits. Rational motions may guide sensitive ones; bodily parts may cooperate; disorder may resemble rebellion. Yet natural order is not imposed by a sovereign standing outside matter. It emerges from the patterned negotiations of self-moving parts.</w:t>
      </w:r>
    </w:p>
    <w:p w14:paraId="1DD9F21A" w14:textId="77777777" w:rsidR="002D40C1" w:rsidRPr="002D40C1" w:rsidRDefault="002D40C1" w:rsidP="002D40C1">
      <w:pPr>
        <w:pStyle w:val="BookBody"/>
      </w:pPr>
      <w:r w:rsidRPr="002D40C1">
        <w:rPr>
          <w:szCs w:val="28"/>
        </w:rPr>
        <w:t>This is why “vitalist materialism” names only part of the achievement. Vitality explains activity; order remains the harder problem. If every part can move itself, why does nature not dissolve into civil war? Cavendish answers through mixture, imitation, knowledge of relations, and recurring regularities. She does not make perfect harmony inevitable. Irregularity and disease are possibilities within freedom, not violations introduced from beyond nature.</w:t>
      </w:r>
      <w:r w:rsidRPr="002D40C1">
        <w:rPr>
          <w:szCs w:val="28"/>
          <w:vertAlign w:val="superscript"/>
        </w:rPr>
        <w:t>13</w:t>
      </w:r>
    </w:p>
    <w:p w14:paraId="4D299DD2" w14:textId="77777777" w:rsidR="002D40C1" w:rsidRPr="002D40C1" w:rsidRDefault="002D40C1" w:rsidP="002D40C1">
      <w:pPr>
        <w:pStyle w:val="BookBody"/>
      </w:pPr>
      <w:r w:rsidRPr="002D40C1">
        <w:rPr>
          <w:szCs w:val="28"/>
        </w:rPr>
        <w:t>The political register is unavoidable. Cavendish wrote through civil war, exile, restoration, and a public culture that treated female authorship as presumption. Her preference for monarchy and order coexists with a natural philosophy in which self-moving parts retain activity. Deborah Boyle has shown that the search for regularity connects Cavendish’s physics, accounts of creatures, social thought, and medicine. Lisa Sarasohn likewise traces how problems of rule and rebellion enter the life of matter.</w:t>
      </w:r>
      <w:r w:rsidRPr="002D40C1">
        <w:rPr>
          <w:szCs w:val="28"/>
          <w:vertAlign w:val="superscript"/>
        </w:rPr>
        <w:t>14</w:t>
      </w:r>
    </w:p>
    <w:p w14:paraId="50985AFA" w14:textId="77777777" w:rsidR="002D40C1" w:rsidRPr="002D40C1" w:rsidRDefault="002D40C1" w:rsidP="002D40C1">
      <w:pPr>
        <w:pStyle w:val="BookBody"/>
      </w:pPr>
      <w:r w:rsidRPr="002D40C1">
        <w:rPr>
          <w:szCs w:val="28"/>
        </w:rPr>
        <w:t>These connections do not license a direct equation between rational matter and king, sensitive matter and subject. Cavendish’s analogies shift. At times nature is a wise female governor; at others it is an infinite body whose parts temporarily fail to coordinate. Political hierarchy supplies images for natural order, while natural self-organization supplies images that unsettle political command.</w:t>
      </w:r>
    </w:p>
    <w:p w14:paraId="7FE712EA" w14:textId="77777777" w:rsidR="002D40C1" w:rsidRPr="002D40C1" w:rsidRDefault="002D40C1" w:rsidP="002D40C1">
      <w:pPr>
        <w:pStyle w:val="BookBody"/>
      </w:pPr>
      <w:r w:rsidRPr="002D40C1">
        <w:rPr>
          <w:szCs w:val="28"/>
        </w:rPr>
        <w:t>Her philosophy is also not straightforwardly feminist in its conclusions. Cavendish’s authorship contested the exclusion of women from learned authority, and her female Nature controls powers male experimenters claim to master. Yet she defended strong gender hierarchy in other settings and did not turn material equality into social equality. The historical achievement is sharper when it is not purified: a woman used print to claim natural-philosophical authority while maintaining political commitments that modern readers may reject.</w:t>
      </w:r>
    </w:p>
    <w:p w14:paraId="5ECDA300" w14:textId="77777777" w:rsidR="002D40C1" w:rsidRPr="002D40C1" w:rsidRDefault="002D40C1" w:rsidP="002D40C1">
      <w:pPr>
        <w:pStyle w:val="SectionHeading"/>
      </w:pPr>
      <w:r w:rsidRPr="002D40C1">
        <w:rPr>
          <w:rFonts w:cstheme="majorBidi"/>
          <w:bCs/>
          <w:color w:val="2E74B5"/>
          <w:szCs w:val="28"/>
        </w:rPr>
        <w:t>The Satirical Laboratory</w:t>
      </w:r>
    </w:p>
    <w:p w14:paraId="11F32AEB" w14:textId="77777777" w:rsidR="002D40C1" w:rsidRPr="002D40C1" w:rsidRDefault="002D40C1" w:rsidP="002D40C1">
      <w:pPr>
        <w:pStyle w:val="BookBody"/>
      </w:pPr>
      <w:r w:rsidRPr="002D40C1">
        <w:rPr>
          <w:szCs w:val="28"/>
        </w:rPr>
        <w:t>Cavendish’s critique of instruments brings her dissent into direct contact with Chapter 14. She did not deny that telescopes and microscopes enlarge appearances. She doubted that enlargement necessarily discloses interior nature. A magnifying glass can make an exterior figure bigger and more distorted without revealing the motions by which the body knows and acts. Instrumental mediation must therefore be judged, not worshiped.</w:t>
      </w:r>
      <w:r w:rsidRPr="002D40C1">
        <w:rPr>
          <w:szCs w:val="28"/>
          <w:vertAlign w:val="superscript"/>
        </w:rPr>
        <w:t>15</w:t>
      </w:r>
    </w:p>
    <w:p w14:paraId="38C22CC6" w14:textId="77777777" w:rsidR="002D40C1" w:rsidRPr="002D40C1" w:rsidRDefault="002D40C1" w:rsidP="002D40C1">
      <w:pPr>
        <w:pStyle w:val="BookBody"/>
      </w:pPr>
      <w:r w:rsidRPr="002D40C1">
        <w:rPr>
          <w:szCs w:val="28"/>
        </w:rPr>
        <w:t>The warning is epistemically serious. A prepared image may be precise and still answer a narrow question. The visible edge of a fly’s eye does not by itself disclose the fly’s perceptive activity. An instrument reorganizes relations among object, medium, and observer; it does not allow the knower to escape embodiment.</w:t>
      </w:r>
    </w:p>
    <w:p w14:paraId="0C3C72A3" w14:textId="77777777" w:rsidR="002D40C1" w:rsidRPr="002D40C1" w:rsidRDefault="002D40C1" w:rsidP="002D40C1">
      <w:pPr>
        <w:pStyle w:val="BookBody"/>
      </w:pPr>
      <w:r w:rsidRPr="002D40C1">
        <w:rPr>
          <w:szCs w:val="28"/>
        </w:rPr>
        <w:t xml:space="preserve">In </w:t>
      </w:r>
      <w:r w:rsidRPr="002D40C1">
        <w:rPr>
          <w:i/>
          <w:szCs w:val="28"/>
        </w:rPr>
        <w:t>The Blazing World</w:t>
      </w:r>
      <w:r w:rsidRPr="002D40C1">
        <w:rPr>
          <w:szCs w:val="28"/>
        </w:rPr>
        <w:t>, Cavendish turns the controversy into satire. Bear-men serve as experimental philosophers, bird-men as astronomers, ape-men as chemists, and other hybrid specialists populate a learned commonwealth. Their telescopic observations multiply suns and disputes. When their instruments generate confusion, the Empress threatens to break them. The episode mocks competitive authority as much as optics: instruments become devices for sustaining learned quarrel when no agreed judgment governs their use.</w:t>
      </w:r>
      <w:r w:rsidRPr="002D40C1">
        <w:rPr>
          <w:szCs w:val="28"/>
          <w:vertAlign w:val="superscript"/>
        </w:rPr>
        <w:t>16</w:t>
      </w:r>
    </w:p>
    <w:p w14:paraId="06068E5E" w14:textId="77777777" w:rsidR="002D40C1" w:rsidRPr="002D40C1" w:rsidRDefault="002D40C1" w:rsidP="002D40C1">
      <w:pPr>
        <w:pStyle w:val="BookBody"/>
      </w:pPr>
      <w:r w:rsidRPr="002D40C1">
        <w:rPr>
          <w:szCs w:val="28"/>
        </w:rPr>
        <w:t>Satire lets Cavendish test a proposition that a treatise alone could not. A world may possess academies, specialists, instruments, and vast collections of observations yet fail to achieve wisdom. More data does not cure vanity. Artificial access does not guarantee natural understanding. A public fact depends on a politics of credibility, and a politics of credibility can exclude the very people whose critiques it needs.</w:t>
      </w:r>
    </w:p>
    <w:p w14:paraId="449053A3" w14:textId="77777777" w:rsidR="002D40C1" w:rsidRPr="002D40C1" w:rsidRDefault="002D40C1" w:rsidP="002D40C1">
      <w:pPr>
        <w:pStyle w:val="BookBody"/>
      </w:pPr>
      <w:r w:rsidRPr="002D40C1">
        <w:rPr>
          <w:szCs w:val="28"/>
        </w:rPr>
        <w:t>Still, Cavendish’s target is not experiment as such. She repeatedly appeals to sense and reason, attends to natural changes, and builds explanations meant to answer phenomena. Her objection is to the claim that a mechanical image has exclusive authority. An instrument can reveal one aspect of a creature while the creature’s self-moving organization exceeds the image.</w:t>
      </w:r>
    </w:p>
    <w:p w14:paraId="6FE5637D" w14:textId="77777777" w:rsidR="002D40C1" w:rsidRPr="002D40C1" w:rsidRDefault="002D40C1" w:rsidP="002D40C1">
      <w:pPr>
        <w:pStyle w:val="BookBody"/>
      </w:pPr>
      <w:r w:rsidRPr="002D40C1">
        <w:rPr>
          <w:szCs w:val="28"/>
        </w:rPr>
        <w:t xml:space="preserve">The 1666 joining of </w:t>
      </w:r>
      <w:r w:rsidRPr="002D40C1">
        <w:rPr>
          <w:i/>
          <w:szCs w:val="28"/>
        </w:rPr>
        <w:t>Observations upon Experimental Philosophy</w:t>
      </w:r>
      <w:r w:rsidRPr="002D40C1">
        <w:rPr>
          <w:szCs w:val="28"/>
        </w:rPr>
        <w:t xml:space="preserve"> and </w:t>
      </w:r>
      <w:r w:rsidRPr="002D40C1">
        <w:rPr>
          <w:i/>
          <w:szCs w:val="28"/>
        </w:rPr>
        <w:t>The Blazing World</w:t>
      </w:r>
      <w:r w:rsidRPr="002D40C1">
        <w:rPr>
          <w:szCs w:val="28"/>
        </w:rPr>
        <w:t xml:space="preserve"> made this double method material. Argument and fiction appeared as companion forms. The treatise states a natural philosophy; the romance stages its institutional and imaginative consequences. A printed book could therefore become a laboratory in which systems of knowledge were not only defended but inhabited.</w:t>
      </w:r>
    </w:p>
    <w:p w14:paraId="4E2692FE" w14:textId="77777777" w:rsidR="002D40C1" w:rsidRPr="002D40C1" w:rsidRDefault="002D40C1" w:rsidP="002D40C1">
      <w:pPr>
        <w:pStyle w:val="SectionHeading"/>
      </w:pPr>
      <w:r w:rsidRPr="002D40C1">
        <w:rPr>
          <w:rFonts w:cstheme="majorBidi"/>
          <w:bCs/>
          <w:color w:val="2E74B5"/>
          <w:szCs w:val="28"/>
        </w:rPr>
        <w:t>Henry More’s Spiritual Supplement</w:t>
      </w:r>
    </w:p>
    <w:p w14:paraId="38E1F95C" w14:textId="77777777" w:rsidR="002D40C1" w:rsidRPr="002D40C1" w:rsidRDefault="002D40C1" w:rsidP="002D40C1">
      <w:pPr>
        <w:pStyle w:val="BookBody"/>
      </w:pPr>
      <w:r w:rsidRPr="002D40C1">
        <w:rPr>
          <w:szCs w:val="28"/>
        </w:rPr>
        <w:t>Henry More agreed with Conway and Cavendish that mere mechanical motion could not explain nature. He disagreed about almost everything required to fill the gap. Matter, for More, remained passive and impenetrable. Spirit was extended but penetrable, indiscerpible, self-moving, and capable of animadversion. By expanding extension beyond matter, More attacked the Cartesian equation that had made extension the essence of body.</w:t>
      </w:r>
      <w:r w:rsidRPr="002D40C1">
        <w:rPr>
          <w:szCs w:val="28"/>
          <w:vertAlign w:val="superscript"/>
        </w:rPr>
        <w:t>17</w:t>
      </w:r>
    </w:p>
    <w:p w14:paraId="50280527" w14:textId="77777777" w:rsidR="002D40C1" w:rsidRPr="002D40C1" w:rsidRDefault="002D40C1" w:rsidP="002D40C1">
      <w:pPr>
        <w:pStyle w:val="BookBody"/>
      </w:pPr>
      <w:r w:rsidRPr="002D40C1">
        <w:rPr>
          <w:szCs w:val="28"/>
        </w:rPr>
        <w:t>His “Spirit of Nature” is not the rational soul of the world. It is an incorporeal but nonconscious plastic power pervading matter and directing motions according to material predispositions. More introduced it to explain organization, gravitation, magnetic effects, sympathetic phenomena, and other patterns that he believed could not arise from collision alone. The Spirit of Nature supplies formative unity without making God the immediate artisan of every leaf and limb.</w:t>
      </w:r>
      <w:r w:rsidRPr="002D40C1">
        <w:rPr>
          <w:szCs w:val="28"/>
          <w:vertAlign w:val="superscript"/>
        </w:rPr>
        <w:t>18</w:t>
      </w:r>
    </w:p>
    <w:p w14:paraId="2A5A94FE" w14:textId="77777777" w:rsidR="002D40C1" w:rsidRPr="002D40C1" w:rsidRDefault="002D40C1" w:rsidP="002D40C1">
      <w:pPr>
        <w:pStyle w:val="BookBody"/>
      </w:pPr>
      <w:r w:rsidRPr="002D40C1">
        <w:rPr>
          <w:szCs w:val="28"/>
        </w:rPr>
        <w:t>The solution preserves divine transcendence. God creates and sustains an order in which a subordinate spiritual principle administers natural formation. More can therefore reject both material self-sufficiency and incessant miraculous intervention. Nature possesses a regular formative agent, but that agent is not matter’s own life.</w:t>
      </w:r>
    </w:p>
    <w:p w14:paraId="7012965C" w14:textId="77777777" w:rsidR="002D40C1" w:rsidRPr="002D40C1" w:rsidRDefault="002D40C1" w:rsidP="002D40C1">
      <w:pPr>
        <w:pStyle w:val="BookBody"/>
      </w:pPr>
      <w:r w:rsidRPr="002D40C1">
        <w:rPr>
          <w:szCs w:val="28"/>
        </w:rPr>
        <w:t>The distinction separates More sharply from Cavendish. Cavendish locates perception and motion in corporeal nature; More considers such attribution a category error that encourages atheism. It also separates him from Conway, who regarded his residual dualism as unable to explain the intimacy of body and spirit. All three oppose strict mechanism, but their disagreement concerns the location of activity: within one created spiritual-corporeal continuum, within matter itself, or within an incorporeal plastic principle.</w:t>
      </w:r>
      <w:r w:rsidRPr="002D40C1">
        <w:rPr>
          <w:szCs w:val="28"/>
          <w:vertAlign w:val="superscript"/>
        </w:rPr>
        <w:t>19</w:t>
      </w:r>
    </w:p>
    <w:p w14:paraId="141F2935" w14:textId="77777777" w:rsidR="002D40C1" w:rsidRPr="002D40C1" w:rsidRDefault="002D40C1" w:rsidP="002D40C1">
      <w:pPr>
        <w:pStyle w:val="BookBody"/>
      </w:pPr>
      <w:r w:rsidRPr="002D40C1">
        <w:rPr>
          <w:szCs w:val="28"/>
        </w:rPr>
        <w:t>More’s evidential practice is equally revealing. He draws upon magnetism, gravity, generation, sympathetic strings, unusual cures, apparitions, and reports that later experimental philosophy would sort very differently. Some examples are ingenious; others are credulous. The mixed archive shows that the boundary between legitimate anomaly and superstition was still being built.</w:t>
      </w:r>
    </w:p>
    <w:p w14:paraId="0A7C8B62" w14:textId="77777777" w:rsidR="002D40C1" w:rsidRPr="002D40C1" w:rsidRDefault="002D40C1" w:rsidP="002D40C1">
      <w:pPr>
        <w:pStyle w:val="BookBody"/>
      </w:pPr>
      <w:r w:rsidRPr="002D40C1">
        <w:rPr>
          <w:szCs w:val="28"/>
        </w:rPr>
        <w:t>To dismiss More because some witnesses failed is to miss the explanatory pressure he registered. Organized bodies maintain forms through changing material. Magnets orient motions at a distance. Heavy bodies fall in regular directions. A mechanism that names only particles and impact may redescribe these effects without yet explaining the coordinated pattern. More’s Spirit of Nature is one answer to a real demand: how does order arise when passive parts possess no knowledge of the whole?</w:t>
      </w:r>
    </w:p>
    <w:p w14:paraId="66FBD9C2" w14:textId="77777777" w:rsidR="002D40C1" w:rsidRPr="002D40C1" w:rsidRDefault="002D40C1" w:rsidP="002D40C1">
      <w:pPr>
        <w:pStyle w:val="BookBody"/>
      </w:pPr>
      <w:r w:rsidRPr="002D40C1">
        <w:rPr>
          <w:szCs w:val="28"/>
        </w:rPr>
        <w:t>The theory also belongs to the history of space. More’s extended spirit and divine immensity helped make real, penetrable space thinkable apart from matter. Empty extension need not be nothing if spirit can be extended without being impenetrable body. Later accounts of absolute space, including Newton’s, emerged in an intellectual field More had helped transform, though direct lines of influence should not be overstated.</w:t>
      </w:r>
      <w:r w:rsidRPr="002D40C1">
        <w:rPr>
          <w:szCs w:val="28"/>
          <w:vertAlign w:val="superscript"/>
        </w:rPr>
        <w:t>20</w:t>
      </w:r>
    </w:p>
    <w:p w14:paraId="66DDD94A" w14:textId="77777777" w:rsidR="002D40C1" w:rsidRPr="002D40C1" w:rsidRDefault="002D40C1" w:rsidP="002D40C1">
      <w:pPr>
        <w:pStyle w:val="BookBody"/>
      </w:pPr>
      <w:r w:rsidRPr="002D40C1">
        <w:rPr>
          <w:szCs w:val="28"/>
        </w:rPr>
        <w:t>More’s solution shows how anti-mechanism could intensify hierarchy rather than vitalize matter. The Spirit of Nature acts; matter receives. Natural bodies gain form and coordination without gaining the inward perception Cavendish assigns them or the perfectibility Conway grants created substance. A world can be spiritually administered while its material component remains ontologically subordinate.</w:t>
      </w:r>
    </w:p>
    <w:p w14:paraId="67E5E8B6" w14:textId="77777777" w:rsidR="002D40C1" w:rsidRPr="002D40C1" w:rsidRDefault="002D40C1" w:rsidP="002D40C1">
      <w:pPr>
        <w:pStyle w:val="BookBody"/>
      </w:pPr>
      <w:r w:rsidRPr="002D40C1">
        <w:rPr>
          <w:szCs w:val="28"/>
        </w:rPr>
        <w:t>This difference matters ethically. Adding spirit to a machine does not necessarily give the material body claims of its own. It may instead reserve agency for a higher principle. More keeps purpose inside the cosmos, but he does not distribute it evenly. The contrast warns against treating every nonmechanical philosophy as equally hospitable to creaturely autonomy.</w:t>
      </w:r>
    </w:p>
    <w:p w14:paraId="7A1D7F7B" w14:textId="77777777" w:rsidR="004A6C7A" w:rsidRDefault="007849EA">
      <w:pPr>
        <w:pStyle w:val="SectionHeading"/>
      </w:pPr>
      <w:r>
        <w:rPr>
          <w:rFonts w:cstheme="majorBidi"/>
          <w:bCs/>
          <w:color w:val="2E74B5"/>
          <w:szCs w:val="28"/>
        </w:rPr>
        <w:t>The Seat of Activity</w:t>
      </w:r>
    </w:p>
    <w:p w14:paraId="58B08B11" w14:textId="77777777" w:rsidR="004A6C7A" w:rsidRDefault="007849EA">
      <w:pPr>
        <w:pStyle w:val="BookBody"/>
      </w:pPr>
      <w:r>
        <w:rPr>
          <w:szCs w:val="28"/>
        </w:rPr>
        <w:t>The three dissenters can now be compared by asking a single precise question: where does activity reside? Conway answers that created substance is alive in its root and differentiated by degrees of spiritual refinement. Cavendish locates rational and sensitive self-motion within corporeal nature itself. More keeps matter passive and assigns formative work to an extended but incorporeal Spirit of Nature. Their common refusal of dead extension therefore conceals incompatible accounts of causation.</w:t>
      </w:r>
    </w:p>
    <w:p w14:paraId="07D3EEE9" w14:textId="77777777" w:rsidR="004A6C7A" w:rsidRDefault="007849EA">
      <w:pPr>
        <w:pStyle w:val="BookBody"/>
      </w:pPr>
      <w:r>
        <w:rPr>
          <w:szCs w:val="28"/>
        </w:rPr>
        <w:t>The differences matter whenever a body responds. For Conway, response is possible because bodily and spiritual modes belong to one mutable created order. For Cavendish, the occasion supplied by another body elicits motions already belonging to the responding matter. For More, the ordered result points beyond matter to a plastic spiritual administrator. One event - a seed developing, a magnet orienting, an animal acting - can thus support three very different ontological grammars. Observation does not choose among them without assumptions about what counts as an adequate cause.</w:t>
      </w:r>
    </w:p>
    <w:p w14:paraId="68810B0D" w14:textId="77777777" w:rsidR="004A6C7A" w:rsidRDefault="007849EA">
      <w:pPr>
        <w:pStyle w:val="BookBody"/>
      </w:pPr>
      <w:r>
        <w:rPr>
          <w:szCs w:val="28"/>
        </w:rPr>
        <w:t>The comparison also prevents a sentimental category of living matter. Conway's life is providential and morally directed; Cavendish's nature is self-moving but capable of disorder, predation, and dissolution; More's spirit preserves order while leaving material bodies subordinate. None offers a ready-made ecological ethic. A nature filled with activity can still be hierarchical, violent, anthropocentric, or politically conservative. What these systems block is narrower and historically decisive: the assertion that modern reason had already demonstrated the intrinsic passivity of material being.</w:t>
      </w:r>
    </w:p>
    <w:p w14:paraId="3991EA95" w14:textId="77777777" w:rsidR="004A6C7A" w:rsidRDefault="007849EA">
      <w:pPr>
        <w:pStyle w:val="BookBody"/>
      </w:pPr>
      <w:r>
        <w:rPr>
          <w:szCs w:val="28"/>
        </w:rPr>
        <w:t>Their disagreement clarifies why mechanism traveled so effectively. A mechanical account can bracket the seat of activity and ask how measurable changes follow one another. The same lever can be calculated by a Cavendishian materialist, a Morean dualist, or a cautious investigator unwilling to decide. The abstraction does not refute the rival ontologies; it permits work to continue without resolving them. Its strength is procedural portability. Its danger is that a successful bracket later hardens into a verdict about everything bracketed out.</w:t>
      </w:r>
    </w:p>
    <w:p w14:paraId="2DE12F72" w14:textId="77777777" w:rsidR="004A6C7A" w:rsidRDefault="007849EA">
      <w:pPr>
        <w:pStyle w:val="BookBody"/>
      </w:pPr>
      <w:r>
        <w:rPr>
          <w:szCs w:val="28"/>
        </w:rPr>
        <w:t>Newton will magnify this asymmetry. His mathematics will connect motions more securely than any of the three dissenting metaphysics, while leaving the cause of gravitational power open. The decisive modern achievement is therefore not the proof of dead matter. It is the construction of laws that remain usable across disagreement about matter's life, spirit's extension, and God's mode of action.</w:t>
      </w:r>
    </w:p>
    <w:p w14:paraId="32E5EFAC" w14:textId="77777777" w:rsidR="002D40C1" w:rsidRPr="002D40C1" w:rsidRDefault="002D40C1" w:rsidP="002D40C1">
      <w:pPr>
        <w:pStyle w:val="SectionHeading"/>
      </w:pPr>
      <w:r w:rsidRPr="002D40C1">
        <w:rPr>
          <w:rFonts w:cstheme="majorBidi"/>
          <w:bCs/>
          <w:color w:val="2E74B5"/>
          <w:szCs w:val="28"/>
        </w:rPr>
        <w:t>Three Modern Natures</w:t>
      </w:r>
    </w:p>
    <w:p w14:paraId="3A28695C" w14:textId="77777777" w:rsidR="002D40C1" w:rsidRPr="002D40C1" w:rsidRDefault="002D40C1" w:rsidP="002D40C1">
      <w:pPr>
        <w:pStyle w:val="BookBody"/>
      </w:pPr>
      <w:r w:rsidRPr="002D40C1">
        <w:rPr>
          <w:szCs w:val="28"/>
        </w:rPr>
        <w:t>Conway, Cavendish, and More are often grouped as alternatives to mechanism. Comparison is useful only if difference remains visible. Conway’s created monism makes body and spirit degrees within a perfectible life. Cavendish’s materialism makes rational and sensitive self-motion corporeal. More’s dualism keeps matter passive and introduces a nonconscious spiritual governor.</w:t>
      </w:r>
    </w:p>
    <w:p w14:paraId="3B5EBA06" w14:textId="77777777" w:rsidR="002D40C1" w:rsidRPr="002D40C1" w:rsidRDefault="002D40C1" w:rsidP="002D40C1">
      <w:pPr>
        <w:pStyle w:val="BookBody"/>
      </w:pPr>
      <w:r w:rsidRPr="002D40C1">
        <w:rPr>
          <w:szCs w:val="28"/>
        </w:rPr>
        <w:t>Their theologies differ accordingly. Conway’s mediator joins immutable God and mutable creatures within a redemptive order. Cavendish largely brackets divine action from ordinary natural explanation after granting creation to God. More builds a hierarchy of spiritual causation designed to defend providence against materialism. “Living nature” names three incompatible architectures.</w:t>
      </w:r>
    </w:p>
    <w:p w14:paraId="3C135C96" w14:textId="77777777" w:rsidR="002D40C1" w:rsidRPr="002D40C1" w:rsidRDefault="002D40C1" w:rsidP="002D40C1">
      <w:pPr>
        <w:pStyle w:val="BookBody"/>
      </w:pPr>
      <w:r w:rsidRPr="002D40C1">
        <w:rPr>
          <w:szCs w:val="28"/>
        </w:rPr>
        <w:t>They also authorize different ethics. Conway’s perfectibility makes present suffering and creaturely status nonfinal. Cavendish’s continuity makes finite beings interdependent parts of an infinite material whole. More’s hierarchy can dignify natural order while preserving a stronger separation between active spirit and passive matter. None simply yields modern environmentalism. Each supplies conceptual resistance to treating natural bodies as nothing but externally rearrangeable stuff.</w:t>
      </w:r>
      <w:r w:rsidRPr="002D40C1">
        <w:rPr>
          <w:szCs w:val="28"/>
          <w:vertAlign w:val="superscript"/>
        </w:rPr>
        <w:t>21</w:t>
      </w:r>
    </w:p>
    <w:p w14:paraId="4DD3A941" w14:textId="77777777" w:rsidR="002D40C1" w:rsidRPr="002D40C1" w:rsidRDefault="002D40C1" w:rsidP="002D40C1">
      <w:pPr>
        <w:pStyle w:val="BookBody"/>
      </w:pPr>
      <w:r w:rsidRPr="002D40C1">
        <w:rPr>
          <w:szCs w:val="28"/>
        </w:rPr>
        <w:t>Their existence changes the story of modern science. Mechanism did not triumph because no one could imagine alternatives. It gained authority because its abstractions traveled well, its diagrams disciplined explanation, its experiments produced agreement, and its mathematics increasingly predicted. The rivals reveal costs and unresolved questions; they do not erase those successes.</w:t>
      </w:r>
    </w:p>
    <w:p w14:paraId="4C10F662" w14:textId="77777777" w:rsidR="002D40C1" w:rsidRPr="002D40C1" w:rsidRDefault="002D40C1" w:rsidP="002D40C1">
      <w:pPr>
        <w:pStyle w:val="BookBody"/>
      </w:pPr>
      <w:r w:rsidRPr="002D40C1">
        <w:rPr>
          <w:szCs w:val="28"/>
        </w:rPr>
        <w:t>This distinction becomes decisive with Newton. His physics did not win by proving every body internally dead. It won by connecting measurable motions through mathematical relations of unmatched scope. The ontology of force could remain disputed while the calculations worked. Law became capable of outrunning metaphysical consensus.</w:t>
      </w:r>
    </w:p>
    <w:p w14:paraId="41C8EA4A" w14:textId="77777777" w:rsidR="002D40C1" w:rsidRPr="002D40C1" w:rsidRDefault="002D40C1" w:rsidP="002D40C1">
      <w:pPr>
        <w:pStyle w:val="SectionHeading"/>
      </w:pPr>
      <w:r w:rsidRPr="002D40C1">
        <w:rPr>
          <w:rFonts w:cstheme="majorBidi"/>
          <w:bCs/>
          <w:color w:val="2E74B5"/>
          <w:szCs w:val="28"/>
        </w:rPr>
        <w:t>Equal Areas</w:t>
      </w:r>
    </w:p>
    <w:p w14:paraId="53D0E6CF" w14:textId="77777777" w:rsidR="002D40C1" w:rsidRPr="002D40C1" w:rsidRDefault="002D40C1" w:rsidP="002D40C1">
      <w:pPr>
        <w:pStyle w:val="BookBody"/>
      </w:pPr>
      <w:r w:rsidRPr="002D40C1">
        <w:rPr>
          <w:szCs w:val="28"/>
        </w:rPr>
        <w:t xml:space="preserve">The diagram for Book I, Proposition 1 of the </w:t>
      </w:r>
      <w:r w:rsidRPr="002D40C1">
        <w:rPr>
          <w:i/>
          <w:szCs w:val="28"/>
        </w:rPr>
        <w:t>Principia</w:t>
      </w:r>
      <w:r w:rsidRPr="002D40C1">
        <w:rPr>
          <w:szCs w:val="28"/>
        </w:rPr>
        <w:t xml:space="preserve"> looks spare beside More’s world of spirits or Cavendish’s self-moving body. Lines radiate from a center. A body advances along successive tangents while repeated impulses deflect it toward that center. Triangles swept in equal times have equal areas. As the intervals diminish without limit, the broken path approaches a continuous curve under centripetal force.</w:t>
      </w:r>
      <w:r w:rsidRPr="002D40C1">
        <w:rPr>
          <w:szCs w:val="28"/>
          <w:vertAlign w:val="superscript"/>
        </w:rPr>
        <w:t>22</w:t>
      </w:r>
    </w:p>
    <w:p w14:paraId="10336972" w14:textId="77777777" w:rsidR="002D40C1" w:rsidRPr="002D40C1" w:rsidRDefault="002D40C1" w:rsidP="002D40C1">
      <w:pPr>
        <w:pStyle w:val="FigureImage"/>
      </w:pPr>
      <w:r w:rsidRPr="002D40C1">
        <w:rPr>
          <w:noProof/>
          <w:szCs w:val="28"/>
        </w:rPr>
        <w:drawing>
          <wp:inline distT="0" distB="0" distL="0" distR="0" wp14:anchorId="50292070" wp14:editId="54CE4C44">
            <wp:extent cx="4206240" cy="4062993"/>
            <wp:effectExtent l="0" t="0" r="0" b="0"/>
            <wp:docPr id="700779184" name="Picture 700779184" descr="Newton's diagram for Book I, Proposition 1 of the Principia, showing a body repeatedly deflected toward a central point and equal triangular areas swept in equal ti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6_2_newton_principia_equal_areas.jpg"/>
                    <pic:cNvPicPr/>
                  </pic:nvPicPr>
                  <pic:blipFill>
                    <a:blip r:embed="rId21"/>
                    <a:stretch>
                      <a:fillRect/>
                    </a:stretch>
                  </pic:blipFill>
                  <pic:spPr>
                    <a:xfrm>
                      <a:off x="0" y="0"/>
                      <a:ext cx="4206240" cy="4062993"/>
                    </a:xfrm>
                    <a:prstGeom prst="rect">
                      <a:avLst/>
                    </a:prstGeom>
                  </pic:spPr>
                </pic:pic>
              </a:graphicData>
            </a:graphic>
          </wp:inline>
        </w:drawing>
      </w:r>
    </w:p>
    <w:p w14:paraId="1F60F084" w14:textId="77777777" w:rsidR="002D40C1" w:rsidRPr="002D40C1" w:rsidRDefault="002D40C1" w:rsidP="002D40C1">
      <w:pPr>
        <w:pStyle w:val="FigureCaption"/>
      </w:pPr>
      <w:r w:rsidRPr="002D40C1">
        <w:rPr>
          <w:color w:val="555555"/>
          <w:szCs w:val="28"/>
        </w:rPr>
        <w:t>Figure 16.1. Isaac Newton, Philosophiae Naturalis Principia Mathematica, Book I, Proposition 1: equal areas generated in equal times under centripetal force. Working facsimile cropped from the supplied nineteenth-century English edition, printed p. 104; final edition credit and reproduction terms to be verified.</w:t>
      </w:r>
    </w:p>
    <w:p w14:paraId="64F7B0F9" w14:textId="77777777" w:rsidR="002D40C1" w:rsidRPr="002D40C1" w:rsidRDefault="002D40C1" w:rsidP="002D40C1">
      <w:pPr>
        <w:pStyle w:val="BookBody"/>
      </w:pPr>
      <w:r w:rsidRPr="002D40C1">
        <w:rPr>
          <w:szCs w:val="28"/>
        </w:rPr>
        <w:t>The figure performs several acts at once. It converts force into a relation inferred from change of motion. It makes continuous curvature intelligible through a limiting sequence. It links time to area without depicting a physical mechanism pulling the body. And it establishes a method for reading an orbit backward: from the path, infer the direction and variation of the force required to produce it.</w:t>
      </w:r>
    </w:p>
    <w:p w14:paraId="0D4D2311" w14:textId="77777777" w:rsidR="002D40C1" w:rsidRPr="002D40C1" w:rsidRDefault="002D40C1" w:rsidP="002D40C1">
      <w:pPr>
        <w:pStyle w:val="BookBody"/>
      </w:pPr>
      <w:r w:rsidRPr="002D40C1">
        <w:rPr>
          <w:szCs w:val="28"/>
        </w:rPr>
        <w:t>This is not a picture of a hidden machine. No hooks, streams, or vortices appear. The center matters through the geometry of deviation. Newton cautions that terms such as attraction and impulse can be used mathematically without deciding the physical cause or seat of force. The diagram’s restraint is its power. It identifies what must be true of motion even when the medium or agency remains unknown.</w:t>
      </w:r>
    </w:p>
    <w:p w14:paraId="6346F826" w14:textId="77777777" w:rsidR="002D40C1" w:rsidRPr="002D40C1" w:rsidRDefault="002D40C1" w:rsidP="002D40C1">
      <w:pPr>
        <w:pStyle w:val="BookBody"/>
      </w:pPr>
      <w:r w:rsidRPr="002D40C1">
        <w:rPr>
          <w:szCs w:val="28"/>
        </w:rPr>
        <w:t>The proposition also changes the relation between event and law. A single falling stone is local and brief; a planetary orbit is vast and slow. Mathematical form makes them comparable. Acceleration toward a center can be specified across differences of scale, material, and setting. The same analysis can move from a constructed polygon to a conic orbit and from an orbit to a law of force.</w:t>
      </w:r>
    </w:p>
    <w:p w14:paraId="34AAB3C1" w14:textId="77777777" w:rsidR="002D40C1" w:rsidRPr="002D40C1" w:rsidRDefault="002D40C1" w:rsidP="002D40C1">
      <w:pPr>
        <w:pStyle w:val="BookBody"/>
      </w:pPr>
      <w:r w:rsidRPr="002D40C1">
        <w:rPr>
          <w:szCs w:val="28"/>
        </w:rPr>
        <w:t>The proof is idealized. It imagines impulses at equal intervals and then passes to a limit. Actual planets are perturbed by other bodies, observations contain error, and no diagram displays the whole solar system’s complexity. Yet idealization does not make the result arbitrary. It produces a relation against which observed deviations can be measured. The gap between ideal and actual becomes calculable rather than fatal.</w:t>
      </w:r>
    </w:p>
    <w:p w14:paraId="13BEC6D0" w14:textId="77777777" w:rsidR="002D40C1" w:rsidRPr="002D40C1" w:rsidRDefault="002D40C1" w:rsidP="002D40C1">
      <w:pPr>
        <w:pStyle w:val="BookBody"/>
      </w:pPr>
      <w:r w:rsidRPr="002D40C1">
        <w:rPr>
          <w:szCs w:val="28"/>
        </w:rPr>
        <w:t>Here mathematical physics acquires a new kind of objectivity. Agreement need not begin with agreement about what force is. It can begin with a shared derivation connecting positions, times, and accelerations. Metaphysics does not disappear; it loses the right to block every calculation until first causes are settled.</w:t>
      </w:r>
      <w:r w:rsidRPr="002D40C1">
        <w:rPr>
          <w:szCs w:val="28"/>
          <w:vertAlign w:val="superscript"/>
        </w:rPr>
        <w:t>23</w:t>
      </w:r>
    </w:p>
    <w:p w14:paraId="18DDC8EB" w14:textId="77777777" w:rsidR="002D40C1" w:rsidRPr="002D40C1" w:rsidRDefault="002D40C1" w:rsidP="002D40C1">
      <w:pPr>
        <w:pStyle w:val="BookBody"/>
      </w:pPr>
      <w:r w:rsidRPr="002D40C1">
        <w:rPr>
          <w:szCs w:val="28"/>
        </w:rPr>
        <w:t>The diagram also disciplines imagination. A reader may picture a hand pulling the body, a stream carrying it, or an inherent appetite bending its path. None of those pictures belongs to the proof. What belongs is the measured deviation from rectilinear motion. By refusing to draw a causal story, the figure keeps several ontologies compatible with one mathematical result.</w:t>
      </w:r>
    </w:p>
    <w:p w14:paraId="0F71B16C" w14:textId="77777777" w:rsidR="002D40C1" w:rsidRPr="002D40C1" w:rsidRDefault="002D40C1" w:rsidP="002D40C1">
      <w:pPr>
        <w:pStyle w:val="BookBody"/>
      </w:pPr>
      <w:r w:rsidRPr="002D40C1">
        <w:rPr>
          <w:szCs w:val="28"/>
        </w:rPr>
        <w:t>That compatibility is politically and institutionally important. A Cartesian, a theist, and a cautious empiricist can verify the geometry even while disagreeing about the agent behind force. Shared technique no longer requires a shared cosmos. The community of exact inquiry becomes possible through controlled metaphysical underdetermination.</w:t>
      </w:r>
    </w:p>
    <w:p w14:paraId="17B02BBE" w14:textId="77777777" w:rsidR="002D40C1" w:rsidRPr="002D40C1" w:rsidRDefault="002D40C1" w:rsidP="002D40C1">
      <w:pPr>
        <w:pStyle w:val="SectionHeading"/>
      </w:pPr>
      <w:r w:rsidRPr="002D40C1">
        <w:rPr>
          <w:rFonts w:cstheme="majorBidi"/>
          <w:bCs/>
          <w:color w:val="2E74B5"/>
          <w:szCs w:val="28"/>
        </w:rPr>
        <w:t>Heaven and Earth under One Law</w:t>
      </w:r>
    </w:p>
    <w:p w14:paraId="5C8AD1A4" w14:textId="77777777" w:rsidR="002D40C1" w:rsidRPr="002D40C1" w:rsidRDefault="002D40C1" w:rsidP="002D40C1">
      <w:pPr>
        <w:pStyle w:val="BookBody"/>
      </w:pPr>
      <w:r w:rsidRPr="002D40C1">
        <w:rPr>
          <w:szCs w:val="28"/>
        </w:rPr>
        <w:t xml:space="preserve">The </w:t>
      </w:r>
      <w:r w:rsidRPr="002D40C1">
        <w:rPr>
          <w:i/>
          <w:szCs w:val="28"/>
        </w:rPr>
        <w:t>Principia</w:t>
      </w:r>
      <w:r w:rsidRPr="002D40C1">
        <w:rPr>
          <w:szCs w:val="28"/>
        </w:rPr>
        <w:t>’s great unification was not the declaration that everything is a machine. It was the demonstration that terrestrial and celestial motions could be treated within one dynamics. The Moon continually falls from the tangent to its path; the same inverse-square relation that describes weight near Earth extends across planetary distances. Jupiter’s satellites, the planets, comets, tides, and the shape of Earth become connected problems.</w:t>
      </w:r>
      <w:r w:rsidRPr="002D40C1">
        <w:rPr>
          <w:szCs w:val="28"/>
          <w:vertAlign w:val="superscript"/>
        </w:rPr>
        <w:t>24</w:t>
      </w:r>
    </w:p>
    <w:p w14:paraId="54997491" w14:textId="77777777" w:rsidR="002D40C1" w:rsidRPr="002D40C1" w:rsidRDefault="002D40C1" w:rsidP="002D40C1">
      <w:pPr>
        <w:pStyle w:val="BookBody"/>
      </w:pPr>
      <w:r w:rsidRPr="002D40C1">
        <w:rPr>
          <w:szCs w:val="28"/>
        </w:rPr>
        <w:t>The achievement ended a major asymmetry inherited from older cosmologies. Heavenly motion no longer required a distinct celestial physics, while earthly fall no longer terminated in a body’s natural place. The universe could be differentiated in conditions without being divided into regions governed by incompatible kinds of motion.</w:t>
      </w:r>
    </w:p>
    <w:p w14:paraId="1E19BF69" w14:textId="77777777" w:rsidR="002D40C1" w:rsidRPr="002D40C1" w:rsidRDefault="002D40C1" w:rsidP="002D40C1">
      <w:pPr>
        <w:pStyle w:val="BookBody"/>
      </w:pPr>
      <w:r w:rsidRPr="002D40C1">
        <w:rPr>
          <w:szCs w:val="28"/>
        </w:rPr>
        <w:t>This unification was empirical as well as mathematical. Newton drew upon astronomical observations, pendulum experiments, measurements of Earth, and the work of predecessors. The laws of motion and gravitational analysis organized a collective archive. A universal law became credible because it survived movement among data produced in different places and by different techniques.</w:t>
      </w:r>
    </w:p>
    <w:p w14:paraId="5CD0E5BA" w14:textId="77777777" w:rsidR="002D40C1" w:rsidRPr="002D40C1" w:rsidRDefault="002D40C1" w:rsidP="002D40C1">
      <w:pPr>
        <w:pStyle w:val="BookBody"/>
      </w:pPr>
      <w:r w:rsidRPr="002D40C1">
        <w:rPr>
          <w:szCs w:val="28"/>
        </w:rPr>
        <w:t xml:space="preserve">The word </w:t>
      </w:r>
      <w:r w:rsidRPr="002D40C1">
        <w:rPr>
          <w:i/>
          <w:szCs w:val="28"/>
        </w:rPr>
        <w:t>universal</w:t>
      </w:r>
      <w:r w:rsidRPr="002D40C1">
        <w:rPr>
          <w:szCs w:val="28"/>
        </w:rPr>
        <w:t xml:space="preserve"> must therefore be handled carefully. Universal gravitation does not mean that Newton immediately possessed exact solutions for every many-body interaction. It means that the same quantitative relation applies to bodies as such across the system. Approximation and perturbation are not embarrassments appended to the law; they are how the law meets a crowded world.</w:t>
      </w:r>
    </w:p>
    <w:p w14:paraId="5509EE74" w14:textId="77777777" w:rsidR="002D40C1" w:rsidRPr="002D40C1" w:rsidRDefault="002D40C1" w:rsidP="002D40C1">
      <w:pPr>
        <w:pStyle w:val="BookBody"/>
      </w:pPr>
      <w:r w:rsidRPr="002D40C1">
        <w:rPr>
          <w:szCs w:val="28"/>
        </w:rPr>
        <w:t>The success undercuts a romantic objection to abstraction. By omitting color, purpose, and local meaning, Newtonian dynamics gained the ability to connect events that ordinary experience kept separate. The abstraction disclosed a real structure. A critique of the dead universe that denies this achievement merely reverses the reduction it opposes.</w:t>
      </w:r>
    </w:p>
    <w:p w14:paraId="790DC8D4" w14:textId="77777777" w:rsidR="002D40C1" w:rsidRPr="002D40C1" w:rsidRDefault="002D40C1" w:rsidP="002D40C1">
      <w:pPr>
        <w:pStyle w:val="BookBody"/>
      </w:pPr>
      <w:r w:rsidRPr="002D40C1">
        <w:rPr>
          <w:szCs w:val="28"/>
        </w:rPr>
        <w:t>Prediction gave the structure practical consequences. Astronomers could compare tables with observation, navigators and surveyors could rely on increasingly exact celestial calculations, and later engineers could analyze trajectories through a common mechanics. The law entered work because it was indifferent to many local meanings. Its austerity made it portable.</w:t>
      </w:r>
    </w:p>
    <w:p w14:paraId="20DE746A" w14:textId="77777777" w:rsidR="002D40C1" w:rsidRPr="002D40C1" w:rsidRDefault="002D40C1" w:rsidP="002D40C1">
      <w:pPr>
        <w:pStyle w:val="BookBody"/>
      </w:pPr>
      <w:r w:rsidRPr="002D40C1">
        <w:rPr>
          <w:szCs w:val="28"/>
        </w:rPr>
        <w:t>Portability also reorganized authority. A derivation could be taught to readers who had never witnessed the founding observations. Printed diagrams and symbolic steps carried trust across distance. The reader was not asked to share Newton’s private experience of nature, only to follow operations that could in principle be checked. Mathematical literacy became a gate to participation and a means of enlarging the participating community at once.</w:t>
      </w:r>
    </w:p>
    <w:p w14:paraId="1124C2AE" w14:textId="77777777" w:rsidR="002D40C1" w:rsidRPr="002D40C1" w:rsidRDefault="002D40C1" w:rsidP="002D40C1">
      <w:pPr>
        <w:pStyle w:val="BookBody"/>
      </w:pPr>
      <w:r w:rsidRPr="002D40C1">
        <w:rPr>
          <w:szCs w:val="28"/>
        </w:rPr>
        <w:t>Yet the same success encourages expansion beyond its warranted domain. Because position, mass, time, and force yield precise predictions, qualities not entering the equations can appear explanatorily secondary. The mathematical object becomes the exemplary real. What cannot be expressed in its terms risks migration toward appearance, subjectivity, or irrelevance.</w:t>
      </w:r>
    </w:p>
    <w:p w14:paraId="4A4D3B37" w14:textId="77777777" w:rsidR="002D40C1" w:rsidRPr="002D40C1" w:rsidRDefault="002D40C1" w:rsidP="002D40C1">
      <w:pPr>
        <w:pStyle w:val="SectionHeading"/>
      </w:pPr>
      <w:r w:rsidRPr="002D40C1">
        <w:rPr>
          <w:rFonts w:cstheme="majorBidi"/>
          <w:bCs/>
          <w:color w:val="2E74B5"/>
          <w:szCs w:val="28"/>
        </w:rPr>
        <w:t>Gravity without a Machine</w:t>
      </w:r>
    </w:p>
    <w:p w14:paraId="0FE59B0E" w14:textId="77777777" w:rsidR="002D40C1" w:rsidRPr="002D40C1" w:rsidRDefault="002D40C1" w:rsidP="002D40C1">
      <w:pPr>
        <w:pStyle w:val="BookBody"/>
      </w:pPr>
      <w:r w:rsidRPr="002D40C1">
        <w:rPr>
          <w:szCs w:val="28"/>
        </w:rPr>
        <w:t>Gravity made Newtonian physics powerful and controversial. Cartesian critics could ask what mechanism transmitted attraction across apparently empty space. An occult quality had once been condemned precisely because it named an effect without exposing its causal pathway. Did universal gravitation restore occult action under mathematical cover?</w:t>
      </w:r>
    </w:p>
    <w:p w14:paraId="767A150A" w14:textId="77777777" w:rsidR="002D40C1" w:rsidRPr="002D40C1" w:rsidRDefault="002D40C1" w:rsidP="002D40C1">
      <w:pPr>
        <w:pStyle w:val="BookBody"/>
      </w:pPr>
      <w:r w:rsidRPr="002D40C1">
        <w:rPr>
          <w:szCs w:val="28"/>
        </w:rPr>
        <w:t>Newton’s answer was disciplined rather than complete. The mathematical law of gravity could be inferred from phenomena and used to explain motions even though the physical cause of gravitational action had not been discovered. In the General Scholium, he refused to frame a hypothesis unsupported by phenomena. It was enough, for the purposes of the demonstrated system, that gravity existed and acted according to the stated laws.</w:t>
      </w:r>
      <w:r w:rsidRPr="002D40C1">
        <w:rPr>
          <w:szCs w:val="28"/>
          <w:vertAlign w:val="superscript"/>
        </w:rPr>
        <w:t>25</w:t>
      </w:r>
    </w:p>
    <w:p w14:paraId="4486203C" w14:textId="77777777" w:rsidR="002D40C1" w:rsidRPr="002D40C1" w:rsidRDefault="002D40C1" w:rsidP="002D40C1">
      <w:pPr>
        <w:pStyle w:val="BookBody"/>
      </w:pPr>
      <w:r w:rsidRPr="002D40C1">
        <w:rPr>
          <w:szCs w:val="28"/>
        </w:rPr>
        <w:t>“I frame no hypotheses” did not mean that Newton rejected all conjecture or all metaphysics. He proposed queries, considered ethers, discussed divine agency, and speculated about active principles. The restriction concerns the status of claims within experimental philosophy. A proposed cause must not be smuggled into a demonstrated theory merely because a philosopher finds it intelligible.</w:t>
      </w:r>
    </w:p>
    <w:p w14:paraId="688F8485" w14:textId="77777777" w:rsidR="002D40C1" w:rsidRPr="002D40C1" w:rsidRDefault="002D40C1" w:rsidP="002D40C1">
      <w:pPr>
        <w:pStyle w:val="BookBody"/>
      </w:pPr>
      <w:r w:rsidRPr="002D40C1">
        <w:rPr>
          <w:szCs w:val="28"/>
        </w:rPr>
        <w:t>This separation between mathematical force and physical cause was historically generative. It allowed investigators to use the theory while debating mechanisms. Force became operationally real through measurable accelerations and predictive relations. Its ontology could remain thinner than the entities of a Cartesian machine and thicker than a mere calculational fiction.</w:t>
      </w:r>
    </w:p>
    <w:p w14:paraId="64DBE3A4" w14:textId="77777777" w:rsidR="002D40C1" w:rsidRPr="002D40C1" w:rsidRDefault="002D40C1" w:rsidP="002D40C1">
      <w:pPr>
        <w:pStyle w:val="BookBody"/>
      </w:pPr>
      <w:r w:rsidRPr="002D40C1">
        <w:rPr>
          <w:szCs w:val="28"/>
        </w:rPr>
        <w:t>Andrew Janiak emphasizes that Newton should not be reduced to metaphysical agnosticism. Newton rejected primitive action at a distance as unintelligible, yet he also resisted the demand that every physical interaction be explained by impact among inert particles. The resulting position is delicate: gravitational interactions are genuine, the mathematical treatment is warranted, and the ultimate causal mediation remains open.</w:t>
      </w:r>
      <w:r w:rsidRPr="002D40C1">
        <w:rPr>
          <w:szCs w:val="28"/>
          <w:vertAlign w:val="superscript"/>
        </w:rPr>
        <w:t>26</w:t>
      </w:r>
    </w:p>
    <w:p w14:paraId="62B8F80C" w14:textId="77777777" w:rsidR="002D40C1" w:rsidRPr="002D40C1" w:rsidRDefault="002D40C1" w:rsidP="002D40C1">
      <w:pPr>
        <w:pStyle w:val="BookBody"/>
      </w:pPr>
      <w:r w:rsidRPr="002D40C1">
        <w:rPr>
          <w:szCs w:val="28"/>
        </w:rPr>
        <w:t>That openness marks a limit to mechanical closure. A universe may be governed by exact laws without its powers being reducible to visible machinery. Law describes how a force varies and what motions follow. It does not by itself decide whether force is an inherent power of matter, an effect of a medium, a divine action, or a relation grounded in some other created agency.</w:t>
      </w:r>
    </w:p>
    <w:p w14:paraId="6D10CCA8" w14:textId="77777777" w:rsidR="002D40C1" w:rsidRPr="002D40C1" w:rsidRDefault="002D40C1" w:rsidP="002D40C1">
      <w:pPr>
        <w:pStyle w:val="BookBody"/>
      </w:pPr>
      <w:r w:rsidRPr="002D40C1">
        <w:rPr>
          <w:szCs w:val="28"/>
        </w:rPr>
        <w:t xml:space="preserve">Newtonianism could later be presented as clockwork because the laws supported calculation without continual appeal to hidden causes. Historically, however, the </w:t>
      </w:r>
      <w:r w:rsidRPr="002D40C1">
        <w:rPr>
          <w:i/>
          <w:szCs w:val="28"/>
        </w:rPr>
        <w:t>Principia</w:t>
      </w:r>
      <w:r w:rsidRPr="002D40C1">
        <w:rPr>
          <w:szCs w:val="28"/>
        </w:rPr>
        <w:t xml:space="preserve"> made the clock more accurate by declining to show its gears where evidence did not warrant them.</w:t>
      </w:r>
    </w:p>
    <w:p w14:paraId="3888433D" w14:textId="77777777" w:rsidR="002D40C1" w:rsidRPr="002D40C1" w:rsidRDefault="002D40C1" w:rsidP="002D40C1">
      <w:pPr>
        <w:pStyle w:val="BookBody"/>
      </w:pPr>
      <w:r w:rsidRPr="002D40C1">
        <w:rPr>
          <w:szCs w:val="28"/>
        </w:rPr>
        <w:t>The restraint reverses the older hierarchy between explanation and description. To a committed mechanist, a law without a contact mechanism could appear merely descriptive. Newton shows that a description sufficiently mathematical, general, and predictive can transform the standard of explanation itself. Knowing the invariant relation among motions may count as deeper knowledge than offering an imaginable mechanism that fails the phenomena.</w:t>
      </w:r>
    </w:p>
    <w:p w14:paraId="5E885EE3" w14:textId="77777777" w:rsidR="002D40C1" w:rsidRPr="002D40C1" w:rsidRDefault="002D40C1" w:rsidP="002D40C1">
      <w:pPr>
        <w:pStyle w:val="BookBody"/>
      </w:pPr>
      <w:r w:rsidRPr="002D40C1">
        <w:rPr>
          <w:szCs w:val="28"/>
        </w:rPr>
        <w:t>This reversal enlarges science while dividing intellectual labor. The mathematician derives and tests the law; the natural philosopher may still ask after cause; the theologian considers created order; the experimentalist searches for mediating effects. A single question about falling bodies becomes several coordinated inquiries. No one of them automatically cancels the others.</w:t>
      </w:r>
    </w:p>
    <w:p w14:paraId="30AD219A" w14:textId="77777777" w:rsidR="002D40C1" w:rsidRPr="002D40C1" w:rsidRDefault="002D40C1" w:rsidP="002D40C1">
      <w:pPr>
        <w:pStyle w:val="SectionHeading"/>
      </w:pPr>
      <w:r w:rsidRPr="002D40C1">
        <w:rPr>
          <w:rFonts w:cstheme="majorBidi"/>
          <w:bCs/>
          <w:color w:val="2E74B5"/>
          <w:szCs w:val="28"/>
        </w:rPr>
        <w:t>Absolute Space and Divine Presence</w:t>
      </w:r>
    </w:p>
    <w:p w14:paraId="7CEEE370" w14:textId="77777777" w:rsidR="002D40C1" w:rsidRPr="002D40C1" w:rsidRDefault="002D40C1" w:rsidP="002D40C1">
      <w:pPr>
        <w:pStyle w:val="BookBody"/>
      </w:pPr>
      <w:r w:rsidRPr="002D40C1">
        <w:rPr>
          <w:szCs w:val="28"/>
        </w:rPr>
        <w:t>Newton’s distinction between absolute and relative space answered a problem of true motion. Relative positions can remain unchanged while a system rotates; the concavity of water in a spinning bucket indicates acceleration not captured by relation to the vessel alone. Absolute space supplies the immovable framework within which such acceleration is defined.</w:t>
      </w:r>
      <w:r w:rsidRPr="002D40C1">
        <w:rPr>
          <w:szCs w:val="28"/>
          <w:vertAlign w:val="superscript"/>
        </w:rPr>
        <w:t>27</w:t>
      </w:r>
    </w:p>
    <w:p w14:paraId="73983F5D" w14:textId="77777777" w:rsidR="002D40C1" w:rsidRPr="002D40C1" w:rsidRDefault="002D40C1" w:rsidP="002D40C1">
      <w:pPr>
        <w:pStyle w:val="BookBody"/>
      </w:pPr>
      <w:r w:rsidRPr="002D40C1">
        <w:rPr>
          <w:szCs w:val="28"/>
        </w:rPr>
        <w:t>The framework is not merely an empty container borrowed for mathematical convenience. Newton’s writings connect space and time to God’s omnipresence and eternity. God is not identical with space, nor is the world God’s body. Yet by existing always and everywhere, God constitutes duration and space. The metaphysics of place belongs to the theology of an omnipresent agent.</w:t>
      </w:r>
      <w:r w:rsidRPr="002D40C1">
        <w:rPr>
          <w:szCs w:val="28"/>
          <w:vertAlign w:val="superscript"/>
        </w:rPr>
        <w:t>28</w:t>
      </w:r>
    </w:p>
    <w:p w14:paraId="32C3C068" w14:textId="77777777" w:rsidR="002D40C1" w:rsidRPr="002D40C1" w:rsidRDefault="002D40C1" w:rsidP="002D40C1">
      <w:pPr>
        <w:pStyle w:val="BookBody"/>
      </w:pPr>
      <w:r w:rsidRPr="002D40C1">
        <w:rPr>
          <w:szCs w:val="28"/>
        </w:rPr>
        <w:t>This account draws Newton closer to problems More had made unavoidable. If extension belongs only to matter, empty space becomes contradictory. If spirit can be extended without being impenetrable, real space beyond body can be conceived. More’s divine immensity and penetrable extension helped prepare an English Platonist vocabulary in which space could bear metaphysical weight.</w:t>
      </w:r>
      <w:r w:rsidRPr="002D40C1">
        <w:rPr>
          <w:szCs w:val="28"/>
          <w:vertAlign w:val="superscript"/>
        </w:rPr>
        <w:t>29</w:t>
      </w:r>
    </w:p>
    <w:p w14:paraId="1AB925BB" w14:textId="77777777" w:rsidR="002D40C1" w:rsidRPr="002D40C1" w:rsidRDefault="002D40C1" w:rsidP="002D40C1">
      <w:pPr>
        <w:pStyle w:val="BookBody"/>
      </w:pPr>
      <w:r w:rsidRPr="002D40C1">
        <w:rPr>
          <w:szCs w:val="28"/>
        </w:rPr>
        <w:t>The connection should not be turned into a simple genealogy. Newton’s arguments about motion, geometry, and God have their own structure, and scholars disagree about how directly he borrowed from More. The safer conclusion is contextual: absolute space did not emerge from a metaphysically evacuated physics. It emerged within disputes about spirit, divine presence, vacuum, and the reality of motion.</w:t>
      </w:r>
    </w:p>
    <w:p w14:paraId="4BE94981" w14:textId="77777777" w:rsidR="002D40C1" w:rsidRPr="002D40C1" w:rsidRDefault="002D40C1" w:rsidP="002D40C1">
      <w:pPr>
        <w:pStyle w:val="BookBody"/>
      </w:pPr>
      <w:r w:rsidRPr="002D40C1">
        <w:rPr>
          <w:szCs w:val="28"/>
        </w:rPr>
        <w:t>Space therefore preserves an ambiguity at the heart of Newtonian law. It is homogeneous enough for mathematics, independent enough to define true acceleration, and theologically charged enough to reflect divine omnipresence. The neutral stage of modern physics began as something more than neutral.</w:t>
      </w:r>
    </w:p>
    <w:p w14:paraId="4FB5BA25" w14:textId="77777777" w:rsidR="002D40C1" w:rsidRPr="002D40C1" w:rsidRDefault="002D40C1" w:rsidP="002D40C1">
      <w:pPr>
        <w:pStyle w:val="BookBody"/>
      </w:pPr>
      <w:r w:rsidRPr="002D40C1">
        <w:rPr>
          <w:szCs w:val="28"/>
        </w:rPr>
        <w:t>Later mechanics could retain the coordinates while loosening the theology. That historical afterlife should not be read backward as proof that theology was ornamental from the start. Concepts travel by shedding some justifications and acquiring others. Absolute space became a technical inheritance precisely because Newton had joined mathematical need to a metaphysical account strong enough to sustain it.</w:t>
      </w:r>
    </w:p>
    <w:p w14:paraId="09B306F2" w14:textId="77777777" w:rsidR="002D40C1" w:rsidRPr="002D40C1" w:rsidRDefault="002D40C1" w:rsidP="002D40C1">
      <w:pPr>
        <w:pStyle w:val="SectionHeading"/>
      </w:pPr>
      <w:r w:rsidRPr="002D40C1">
        <w:rPr>
          <w:rFonts w:cstheme="majorBidi"/>
          <w:bCs/>
          <w:color w:val="2E74B5"/>
          <w:szCs w:val="28"/>
        </w:rPr>
        <w:t>The Prism and the Heterogeneity of Light</w:t>
      </w:r>
    </w:p>
    <w:p w14:paraId="341E1BCD" w14:textId="77777777" w:rsidR="002D40C1" w:rsidRPr="002D40C1" w:rsidRDefault="002D40C1" w:rsidP="002D40C1">
      <w:pPr>
        <w:pStyle w:val="BookBody"/>
      </w:pPr>
      <w:r w:rsidRPr="002D40C1">
        <w:rPr>
          <w:szCs w:val="28"/>
        </w:rPr>
        <w:t>Newton’s prism experiments offer a different form of dissent from inherited qualities. A narrow beam passes through a prism and forms an elongated spectrum. A second refraction shows that rays retain different degrees of refrangibility. The prism does not manufacture colors from homogeneous white light; it separates rays already differently disposed to refraction.</w:t>
      </w:r>
      <w:r w:rsidRPr="002D40C1">
        <w:rPr>
          <w:szCs w:val="28"/>
          <w:vertAlign w:val="superscript"/>
        </w:rPr>
        <w:t>30</w:t>
      </w:r>
    </w:p>
    <w:p w14:paraId="021D4F8F" w14:textId="77777777" w:rsidR="002D40C1" w:rsidRPr="002D40C1" w:rsidRDefault="002D40C1" w:rsidP="002D40C1">
      <w:pPr>
        <w:pStyle w:val="FigureImage"/>
      </w:pPr>
      <w:r w:rsidRPr="002D40C1">
        <w:rPr>
          <w:noProof/>
          <w:szCs w:val="28"/>
        </w:rPr>
        <w:drawing>
          <wp:inline distT="0" distB="0" distL="0" distR="0" wp14:anchorId="0950B5E8" wp14:editId="785F39A7">
            <wp:extent cx="4754880" cy="2081279"/>
            <wp:effectExtent l="0" t="0" r="0" b="0"/>
            <wp:docPr id="313333309" name="Picture 313333309" descr="Newton's Opticks figure 13, showing a beam passing through a prism and separating toward a screen as part of an experiment on differing refrangibi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6_1_newton_opticks_prism.png"/>
                    <pic:cNvPicPr/>
                  </pic:nvPicPr>
                  <pic:blipFill>
                    <a:blip r:embed="rId22"/>
                    <a:stretch>
                      <a:fillRect/>
                    </a:stretch>
                  </pic:blipFill>
                  <pic:spPr>
                    <a:xfrm>
                      <a:off x="0" y="0"/>
                      <a:ext cx="4754880" cy="2081279"/>
                    </a:xfrm>
                    <a:prstGeom prst="rect">
                      <a:avLst/>
                    </a:prstGeom>
                  </pic:spPr>
                </pic:pic>
              </a:graphicData>
            </a:graphic>
          </wp:inline>
        </w:drawing>
      </w:r>
    </w:p>
    <w:p w14:paraId="3981CA63" w14:textId="77777777" w:rsidR="002D40C1" w:rsidRPr="002D40C1" w:rsidRDefault="002D40C1" w:rsidP="002D40C1">
      <w:pPr>
        <w:pStyle w:val="FigureCaption"/>
      </w:pPr>
      <w:r w:rsidRPr="002D40C1">
        <w:rPr>
          <w:color w:val="555555"/>
          <w:szCs w:val="28"/>
        </w:rPr>
        <w:t>Figure 16.2. Isaac Newton, Opticks, Book I, Plate III, Part I, fig. 13: the prism experiment separates rays of differing refrangibility and projects them toward a screen. Working facsimile cropped from the supplied edition; final edition credit and reproduction terms to be verified.</w:t>
      </w:r>
    </w:p>
    <w:p w14:paraId="433DFC9A" w14:textId="77777777" w:rsidR="002D40C1" w:rsidRPr="002D40C1" w:rsidRDefault="002D40C1" w:rsidP="002D40C1">
      <w:pPr>
        <w:pStyle w:val="BookBody"/>
      </w:pPr>
      <w:r w:rsidRPr="002D40C1">
        <w:rPr>
          <w:szCs w:val="28"/>
        </w:rPr>
        <w:t>The diagram makes an experimental argument visible. Apertures constrain the beam, the prism changes its path, and the screen records separation. Geometry connects positions within the apparatus. Color is not dismissed as illusion; it is redistributed across rays with stable dispositions. A qualitative experience is attached to a reproducible physical difference.</w:t>
      </w:r>
    </w:p>
    <w:p w14:paraId="3C10791C" w14:textId="77777777" w:rsidR="002D40C1" w:rsidRPr="002D40C1" w:rsidRDefault="002D40C1" w:rsidP="002D40C1">
      <w:pPr>
        <w:pStyle w:val="BookBody"/>
      </w:pPr>
      <w:r w:rsidRPr="002D40C1">
        <w:rPr>
          <w:szCs w:val="28"/>
        </w:rPr>
        <w:t>The result advances the history begun in Chapter 14. Instruments and prepared conditions do not merely magnify a preexisting appearance. They create a situation in which a hidden heterogeneity becomes legible. White light is ordinary in experience and composite in experiment. The visible world is not simply corrected by reason; it is rearticulated through an operation.</w:t>
      </w:r>
    </w:p>
    <w:p w14:paraId="5F0306DB" w14:textId="77777777" w:rsidR="002D40C1" w:rsidRPr="002D40C1" w:rsidRDefault="002D40C1" w:rsidP="002D40C1">
      <w:pPr>
        <w:pStyle w:val="BookBody"/>
      </w:pPr>
      <w:r w:rsidRPr="002D40C1">
        <w:rPr>
          <w:szCs w:val="28"/>
        </w:rPr>
        <w:t>At the same time, the experiment sharpens the problem that will dominate Part V. The ray has refrangibility; the perceiver experiences color. How are the physical disposition, sensory organ, and qualitative appearance related? Newton can specify optical regularities without making the perceived red or blue identical to a geometrical path. Public physics becomes more exact as the ontology of quality becomes more contested.</w:t>
      </w:r>
    </w:p>
    <w:p w14:paraId="122AD7AD" w14:textId="77777777" w:rsidR="002D40C1" w:rsidRPr="002D40C1" w:rsidRDefault="002D40C1" w:rsidP="002D40C1">
      <w:pPr>
        <w:pStyle w:val="BookBody"/>
      </w:pPr>
      <w:r w:rsidRPr="002D40C1">
        <w:rPr>
          <w:szCs w:val="28"/>
        </w:rPr>
        <w:t xml:space="preserve">The </w:t>
      </w:r>
      <w:r w:rsidRPr="002D40C1">
        <w:rPr>
          <w:i/>
          <w:szCs w:val="28"/>
        </w:rPr>
        <w:t>Opticks</w:t>
      </w:r>
      <w:r w:rsidRPr="002D40C1">
        <w:rPr>
          <w:szCs w:val="28"/>
        </w:rPr>
        <w:t xml:space="preserve"> also resists a simple image of inert corpuscles. In the Queries Newton considers forces, attractions, fermentation, cohesion, electricity, and other active principles. He does not revive scholastic specific forms. He proposes that general principles of motion may be inferred from phenomena even when their causes remain undiscovered.</w:t>
      </w:r>
      <w:r w:rsidRPr="002D40C1">
        <w:rPr>
          <w:szCs w:val="28"/>
          <w:vertAlign w:val="superscript"/>
        </w:rPr>
        <w:t>31</w:t>
      </w:r>
    </w:p>
    <w:p w14:paraId="10A0D2B4" w14:textId="77777777" w:rsidR="002D40C1" w:rsidRPr="002D40C1" w:rsidRDefault="002D40C1" w:rsidP="002D40C1">
      <w:pPr>
        <w:pStyle w:val="BookBody"/>
      </w:pPr>
      <w:r w:rsidRPr="002D40C1">
        <w:rPr>
          <w:szCs w:val="28"/>
        </w:rPr>
        <w:t>The contrast with Cavendish is illuminating. Cavendish places knowledge and self-motion in all natural matter; Newton restricts demonstrated claims to principles evidenced by effects. She fears that mechanism ignores the body’s inward activity. He builds a method that can register activity as force without attributing perception to matter. Both reject the sufficiency of impact, but they disagree about what may responsibly replace it.</w:t>
      </w:r>
    </w:p>
    <w:p w14:paraId="04C0087A" w14:textId="77777777" w:rsidR="002D40C1" w:rsidRPr="002D40C1" w:rsidRDefault="002D40C1" w:rsidP="002D40C1">
      <w:pPr>
        <w:pStyle w:val="SectionHeading"/>
      </w:pPr>
      <w:r w:rsidRPr="002D40C1">
        <w:rPr>
          <w:rFonts w:cstheme="majorBidi"/>
          <w:bCs/>
          <w:color w:val="2E74B5"/>
          <w:szCs w:val="28"/>
        </w:rPr>
        <w:t>Active Principles and Created Order</w:t>
      </w:r>
    </w:p>
    <w:p w14:paraId="5611F5ED" w14:textId="77777777" w:rsidR="002D40C1" w:rsidRPr="002D40C1" w:rsidRDefault="002D40C1" w:rsidP="002D40C1">
      <w:pPr>
        <w:pStyle w:val="BookBody"/>
      </w:pPr>
      <w:r w:rsidRPr="002D40C1">
        <w:rPr>
          <w:szCs w:val="28"/>
        </w:rPr>
        <w:t>In Query 31 Newton argues that passive laws and inertia cannot by themselves maintain the variety of motion observed in the world. Collisions among perfectly hard or imperfectly elastic bodies dissipate organized motion. Active principles—gravity, fermentation, cohesion, and related powers—conserve or recruit activity within created systems.</w:t>
      </w:r>
      <w:r w:rsidRPr="002D40C1">
        <w:rPr>
          <w:szCs w:val="28"/>
          <w:vertAlign w:val="superscript"/>
        </w:rPr>
        <w:t>32</w:t>
      </w:r>
    </w:p>
    <w:p w14:paraId="0A147B7D" w14:textId="77777777" w:rsidR="002D40C1" w:rsidRPr="002D40C1" w:rsidRDefault="002D40C1" w:rsidP="002D40C1">
      <w:pPr>
        <w:pStyle w:val="BookBody"/>
      </w:pPr>
      <w:r w:rsidRPr="002D40C1">
        <w:rPr>
          <w:szCs w:val="28"/>
        </w:rPr>
        <w:t>These principles are not licenses to name every unexplained effect. Their generality must be established through phenomena. Newton distinguishes them from occult qualities attached to particular species without experimental discipline. The difference is methodological and mathematical: an active principle earns authority by connecting effects across cases.</w:t>
      </w:r>
    </w:p>
    <w:p w14:paraId="4ED21D96" w14:textId="77777777" w:rsidR="002D40C1" w:rsidRPr="002D40C1" w:rsidRDefault="002D40C1" w:rsidP="002D40C1">
      <w:pPr>
        <w:pStyle w:val="BookBody"/>
      </w:pPr>
      <w:r w:rsidRPr="002D40C1">
        <w:rPr>
          <w:szCs w:val="28"/>
        </w:rPr>
        <w:t>The language nevertheless reopens ontology. If matter is defined only by extension, impenetrability, and inertia, the sources of organized motion must come from elsewhere. Newton sometimes assigns hardness and inertia to primitive particles while treating active powers as laws instituted by God. Created order is lawful, but its lawfulness is not self-explanatory.</w:t>
      </w:r>
    </w:p>
    <w:p w14:paraId="6DC5DFA7" w14:textId="77777777" w:rsidR="002D40C1" w:rsidRPr="002D40C1" w:rsidRDefault="002D40C1" w:rsidP="002D40C1">
      <w:pPr>
        <w:pStyle w:val="BookBody"/>
      </w:pPr>
      <w:r w:rsidRPr="002D40C1">
        <w:rPr>
          <w:szCs w:val="28"/>
        </w:rPr>
        <w:t>This is where Newton departs from both strict mechanism and living-matter philosophies. He does not grant each body a project of self-perfection, as Conway does, or rational and sensitive motion, as Cavendish does. Nor does he publicly install More’s Spirit of Nature as a universal plastic agent. He allows forces to occupy an intermediate explanatory level: physically consequential, mathematically expressible, and not yet reduced to mechanism.</w:t>
      </w:r>
      <w:r w:rsidRPr="002D40C1">
        <w:rPr>
          <w:szCs w:val="28"/>
          <w:vertAlign w:val="superscript"/>
        </w:rPr>
        <w:t>33</w:t>
      </w:r>
    </w:p>
    <w:p w14:paraId="5B21F38A" w14:textId="77777777" w:rsidR="002D40C1" w:rsidRPr="002D40C1" w:rsidRDefault="002D40C1" w:rsidP="002D40C1">
      <w:pPr>
        <w:pStyle w:val="BookBody"/>
      </w:pPr>
      <w:r w:rsidRPr="002D40C1">
        <w:rPr>
          <w:szCs w:val="28"/>
        </w:rPr>
        <w:t>The distinction had enormous practical value. Investigators could search for laws of electricity, affinity, elasticity, and chemical action without first deciding whether the powers were inherent substances or divinely mediated relations. The research program preserves metaphysical modesty while multiplying sites of intervention.</w:t>
      </w:r>
    </w:p>
    <w:p w14:paraId="4088E84C" w14:textId="77777777" w:rsidR="002D40C1" w:rsidRPr="002D40C1" w:rsidRDefault="002D40C1" w:rsidP="002D40C1">
      <w:pPr>
        <w:pStyle w:val="BookBody"/>
      </w:pPr>
      <w:r w:rsidRPr="002D40C1">
        <w:rPr>
          <w:szCs w:val="28"/>
        </w:rPr>
        <w:t>Yet modesty has a cost. When a law works, questions about the being that acts can be deferred indefinitely. The force becomes a symbol in an equation; the material system becomes a set of variables; the lived or qualitative body drops from view. This is not falsification. It is a disciplined narrowing that later philosophy may mistake for a complete inventory of reality.</w:t>
      </w:r>
    </w:p>
    <w:p w14:paraId="5F448C6A" w14:textId="77777777" w:rsidR="002D40C1" w:rsidRPr="002D40C1" w:rsidRDefault="002D40C1" w:rsidP="002D40C1">
      <w:pPr>
        <w:pStyle w:val="SectionHeading"/>
      </w:pPr>
      <w:r w:rsidRPr="002D40C1">
        <w:rPr>
          <w:rFonts w:cstheme="majorBidi"/>
          <w:bCs/>
          <w:color w:val="2E74B5"/>
          <w:szCs w:val="28"/>
        </w:rPr>
        <w:t>Alchemy, Prophecy, and the Discipline of Secrecy</w:t>
      </w:r>
    </w:p>
    <w:p w14:paraId="63CBB26C" w14:textId="77777777" w:rsidR="002D40C1" w:rsidRPr="002D40C1" w:rsidRDefault="002D40C1" w:rsidP="002D40C1">
      <w:pPr>
        <w:pStyle w:val="BookBody"/>
      </w:pPr>
      <w:r w:rsidRPr="002D40C1">
        <w:rPr>
          <w:szCs w:val="28"/>
        </w:rPr>
        <w:t>Newton’s unpublished archive prevents an easy separation between modern law and discarded occultism. He copied, translated, compared, and experimented with alchemical texts across decades. He studied furnaces, metals, volatile spirits, vegetation, affinities, and processes of transformation. The labor was not a youthful detour from mathematics. It belonged to his sustained search for active processes in matter.</w:t>
      </w:r>
      <w:r w:rsidRPr="002D40C1">
        <w:rPr>
          <w:szCs w:val="28"/>
          <w:vertAlign w:val="superscript"/>
        </w:rPr>
        <w:t>34</w:t>
      </w:r>
    </w:p>
    <w:p w14:paraId="1888B300" w14:textId="77777777" w:rsidR="002D40C1" w:rsidRPr="002D40C1" w:rsidRDefault="002D40C1" w:rsidP="002D40C1">
      <w:pPr>
        <w:pStyle w:val="BookBody"/>
      </w:pPr>
      <w:r w:rsidRPr="002D40C1">
        <w:rPr>
          <w:szCs w:val="28"/>
        </w:rPr>
        <w:t xml:space="preserve">Alchemy offered a different epistemic world from the </w:t>
      </w:r>
      <w:r w:rsidRPr="002D40C1">
        <w:rPr>
          <w:i/>
          <w:szCs w:val="28"/>
        </w:rPr>
        <w:t>Principia</w:t>
      </w:r>
      <w:r w:rsidRPr="002D40C1">
        <w:rPr>
          <w:szCs w:val="28"/>
        </w:rPr>
        <w:t>. Its texts concealed operations in emblems, mythic names, and coded genealogies. Repetition was difficult; materials varied; adepts guarded knowledge. Newton’s notebooks nevertheless display habits familiar from his public science: compilation, comparison, procedural exactness, suspicion of error, and the attempt to recover a lawful order beneath corrupt reports.</w:t>
      </w:r>
    </w:p>
    <w:p w14:paraId="4F47D1B4" w14:textId="77777777" w:rsidR="002D40C1" w:rsidRPr="002D40C1" w:rsidRDefault="002D40C1" w:rsidP="002D40C1">
      <w:pPr>
        <w:pStyle w:val="BookBody"/>
      </w:pPr>
      <w:r w:rsidRPr="002D40C1">
        <w:rPr>
          <w:szCs w:val="28"/>
        </w:rPr>
        <w:t>The laboratory also confronted kinds of activity that celestial mechanics abstracted away. Metals changed color and texture under heat; substances volatilized, combined, separated, and appeared to regenerate. Early modern chymistry did not divide cleanly between symbolic interpretation and material operation. For Newton, the instability of bodies could be evidence that matter’s visible solidity concealed subtler agencies.</w:t>
      </w:r>
    </w:p>
    <w:p w14:paraId="1144C3E8" w14:textId="77777777" w:rsidR="002D40C1" w:rsidRPr="002D40C1" w:rsidRDefault="002D40C1" w:rsidP="002D40C1">
      <w:pPr>
        <w:pStyle w:val="BookBody"/>
      </w:pPr>
      <w:r w:rsidRPr="002D40C1">
        <w:rPr>
          <w:szCs w:val="28"/>
        </w:rPr>
        <w:t>Those experiments should not be translated too quickly into modern chemistry. Their materials, aims, and explanatory vocabularies were historically specific. But neither should they be dismissed because later disciplines reorganized them. They kept transformation, affinity, and generation at the center of Newton’s encounter with matter.</w:t>
      </w:r>
    </w:p>
    <w:p w14:paraId="161C42C5" w14:textId="77777777" w:rsidR="002D40C1" w:rsidRPr="002D40C1" w:rsidRDefault="002D40C1" w:rsidP="002D40C1">
      <w:pPr>
        <w:pStyle w:val="BookBody"/>
      </w:pPr>
      <w:r w:rsidRPr="002D40C1">
        <w:rPr>
          <w:szCs w:val="28"/>
        </w:rPr>
        <w:t xml:space="preserve">Betty Jo Teeter Dobbs made this archive central to the modern interpretation of Newton. The lesson is not that gravity was secretly an alchemical force or that the </w:t>
      </w:r>
      <w:r w:rsidRPr="002D40C1">
        <w:rPr>
          <w:i/>
          <w:szCs w:val="28"/>
        </w:rPr>
        <w:t>Principia</w:t>
      </w:r>
      <w:r w:rsidRPr="002D40C1">
        <w:rPr>
          <w:szCs w:val="28"/>
        </w:rPr>
        <w:t xml:space="preserve"> can be decoded as laboratory allegory. It is that Newton’s concept of nature developed in contact with traditions for which matter possessed transformative activities not captured by impact mechanics.</w:t>
      </w:r>
    </w:p>
    <w:p w14:paraId="553A4ED7" w14:textId="77777777" w:rsidR="002D40C1" w:rsidRPr="002D40C1" w:rsidRDefault="002D40C1" w:rsidP="002D40C1">
      <w:pPr>
        <w:pStyle w:val="BookBody"/>
      </w:pPr>
      <w:r w:rsidRPr="002D40C1">
        <w:rPr>
          <w:szCs w:val="28"/>
        </w:rPr>
        <w:t>Secrecy mattered. Newton believed dangerous or noble knowledge should not be exposed indiscriminately. The public proof and the private recipe answered different communities of trust. This division complicates the ideal of a single transparent scientific method. The same investigator could demand public mathematical demonstration in one domain and cultivate guarded textual wisdom in another.</w:t>
      </w:r>
    </w:p>
    <w:p w14:paraId="38EF6EB0" w14:textId="77777777" w:rsidR="002D40C1" w:rsidRPr="002D40C1" w:rsidRDefault="002D40C1" w:rsidP="002D40C1">
      <w:pPr>
        <w:pStyle w:val="BookBody"/>
      </w:pPr>
      <w:r w:rsidRPr="002D40C1">
        <w:rPr>
          <w:szCs w:val="28"/>
        </w:rPr>
        <w:t>His religious studies were still more extensive. Newton reconstructed church history, attacked Trinitarian doctrine, interpreted Daniel and Revelation, calculated prophetic sequences, and sought the corruption and recovery of primitive religion. Rob Iliffe argues that these were rational labors by Newton’s own standards, not eccentric residues detachable from his natural philosophy.</w:t>
      </w:r>
      <w:r w:rsidRPr="002D40C1">
        <w:rPr>
          <w:szCs w:val="28"/>
          <w:vertAlign w:val="superscript"/>
        </w:rPr>
        <w:t>35</w:t>
      </w:r>
    </w:p>
    <w:p w14:paraId="547634F2" w14:textId="77777777" w:rsidR="002D40C1" w:rsidRPr="002D40C1" w:rsidRDefault="002D40C1" w:rsidP="002D40C1">
      <w:pPr>
        <w:pStyle w:val="BookBody"/>
      </w:pPr>
      <w:r w:rsidRPr="002D40C1">
        <w:rPr>
          <w:szCs w:val="28"/>
        </w:rPr>
        <w:t xml:space="preserve">The </w:t>
      </w:r>
      <w:r w:rsidRPr="002D40C1">
        <w:rPr>
          <w:i/>
          <w:szCs w:val="28"/>
        </w:rPr>
        <w:t>prisca sapientia</w:t>
      </w:r>
      <w:r w:rsidRPr="002D40C1">
        <w:rPr>
          <w:szCs w:val="28"/>
        </w:rPr>
        <w:t xml:space="preserve"> supplied a historical cosmology of knowledge. Ancient priests had possessed true religion and natural wisdom; corruption fragmented both; disciplined study could recover them. Newton could imagine the </w:t>
      </w:r>
      <w:r w:rsidRPr="002D40C1">
        <w:rPr>
          <w:i/>
          <w:szCs w:val="28"/>
        </w:rPr>
        <w:t>Principia</w:t>
      </w:r>
      <w:r w:rsidRPr="002D40C1">
        <w:rPr>
          <w:szCs w:val="28"/>
        </w:rPr>
        <w:t xml:space="preserve"> not only as novelty but as restoration—a mathematical portion of wisdom once known and lost.</w:t>
      </w:r>
      <w:r w:rsidRPr="002D40C1">
        <w:rPr>
          <w:szCs w:val="28"/>
          <w:vertAlign w:val="superscript"/>
        </w:rPr>
        <w:t>36</w:t>
      </w:r>
    </w:p>
    <w:p w14:paraId="55DA0E0A" w14:textId="77777777" w:rsidR="002D40C1" w:rsidRPr="002D40C1" w:rsidRDefault="002D40C1" w:rsidP="002D40C1">
      <w:pPr>
        <w:pStyle w:val="BookBody"/>
      </w:pPr>
      <w:r w:rsidRPr="002D40C1">
        <w:rPr>
          <w:szCs w:val="28"/>
        </w:rPr>
        <w:t>This historical imagination resembles Baconian instauration while differing in method. Bacon looked forward through organized natural history. Newton also looked backward through philology, chronology, and prophecy. Modernity could mean recovery as well as departure.</w:t>
      </w:r>
    </w:p>
    <w:p w14:paraId="29598594" w14:textId="77777777" w:rsidR="002D40C1" w:rsidRPr="002D40C1" w:rsidRDefault="002D40C1" w:rsidP="002D40C1">
      <w:pPr>
        <w:pStyle w:val="BookBody"/>
      </w:pPr>
      <w:r w:rsidRPr="002D40C1">
        <w:rPr>
          <w:szCs w:val="28"/>
        </w:rPr>
        <w:t>Newton’s anti-Trinitarianism and prophetic expectations remained largely private because publication carried ecclesiastical and political danger. The hidden archive therefore records constraint as well as preference. Public Newtonianism was shaped by what could safely be printed, by what counted as demonstration, and by what Newton chose to reserve for a qualified reader.</w:t>
      </w:r>
      <w:r w:rsidRPr="002D40C1">
        <w:rPr>
          <w:szCs w:val="28"/>
          <w:vertAlign w:val="superscript"/>
        </w:rPr>
        <w:t>37</w:t>
      </w:r>
    </w:p>
    <w:p w14:paraId="6A66407A" w14:textId="77777777" w:rsidR="002D40C1" w:rsidRPr="002D40C1" w:rsidRDefault="002D40C1" w:rsidP="002D40C1">
      <w:pPr>
        <w:pStyle w:val="SectionHeading"/>
      </w:pPr>
      <w:r w:rsidRPr="002D40C1">
        <w:rPr>
          <w:rFonts w:cstheme="majorBidi"/>
          <w:bCs/>
          <w:color w:val="2E74B5"/>
          <w:szCs w:val="28"/>
        </w:rPr>
        <w:t>The God of the General Scholium</w:t>
      </w:r>
    </w:p>
    <w:p w14:paraId="6FC46D9F" w14:textId="77777777" w:rsidR="002D40C1" w:rsidRPr="002D40C1" w:rsidRDefault="002D40C1" w:rsidP="002D40C1">
      <w:pPr>
        <w:pStyle w:val="BookBody"/>
      </w:pPr>
      <w:r w:rsidRPr="002D40C1">
        <w:rPr>
          <w:szCs w:val="28"/>
        </w:rPr>
        <w:t xml:space="preserve">Theology nevertheless enters the printed </w:t>
      </w:r>
      <w:r w:rsidRPr="002D40C1">
        <w:rPr>
          <w:i/>
          <w:szCs w:val="28"/>
        </w:rPr>
        <w:t>Principia</w:t>
      </w:r>
      <w:r w:rsidRPr="002D40C1">
        <w:rPr>
          <w:szCs w:val="28"/>
        </w:rPr>
        <w:t>. The General Scholium rejects vortices, discusses the ordered system of sun, planets, and comets, and argues that such order proceeds from an intelligent and powerful being. God is known through dominion: not an abstract perfection alone, but a living lord who governs servants.</w:t>
      </w:r>
      <w:r w:rsidRPr="002D40C1">
        <w:rPr>
          <w:szCs w:val="28"/>
          <w:vertAlign w:val="superscript"/>
        </w:rPr>
        <w:t>38</w:t>
      </w:r>
    </w:p>
    <w:p w14:paraId="5DAE5CC7" w14:textId="77777777" w:rsidR="002D40C1" w:rsidRPr="002D40C1" w:rsidRDefault="002D40C1" w:rsidP="002D40C1">
      <w:pPr>
        <w:pStyle w:val="BookBody"/>
      </w:pPr>
      <w:r w:rsidRPr="002D40C1">
        <w:rPr>
          <w:szCs w:val="28"/>
        </w:rPr>
        <w:t>This God is not a mechanism’s absent designer. Divine omnipresence grounds a continuous relation to the universe. God perceives and governs all things without bodily organs. Newton’s analogy between the human sensorium and divine presence is qualified, but it makes agency central to cosmic order.</w:t>
      </w:r>
    </w:p>
    <w:p w14:paraId="052A2D6A" w14:textId="77777777" w:rsidR="002D40C1" w:rsidRPr="002D40C1" w:rsidRDefault="002D40C1" w:rsidP="002D40C1">
      <w:pPr>
        <w:pStyle w:val="BookBody"/>
      </w:pPr>
      <w:r w:rsidRPr="002D40C1">
        <w:rPr>
          <w:szCs w:val="28"/>
        </w:rPr>
        <w:t>Theology also protects contingency. Laws are not necessities to which God submits. The arrangement of the planetary system and the properties of matter depend on intelligent choice. Natural philosophy can infer order without exhausting the freedom of its source.</w:t>
      </w:r>
    </w:p>
    <w:p w14:paraId="3E1CFD4C" w14:textId="77777777" w:rsidR="002D40C1" w:rsidRPr="002D40C1" w:rsidRDefault="002D40C1" w:rsidP="002D40C1">
      <w:pPr>
        <w:pStyle w:val="BookBody"/>
      </w:pPr>
      <w:r w:rsidRPr="002D40C1">
        <w:rPr>
          <w:szCs w:val="28"/>
        </w:rPr>
        <w:t xml:space="preserve">Yet divine government does not erase secondary causes. Newton does not invoke God to calculate each orbit. The </w:t>
      </w:r>
      <w:r w:rsidRPr="002D40C1">
        <w:rPr>
          <w:i/>
          <w:szCs w:val="28"/>
        </w:rPr>
        <w:t>Principia</w:t>
      </w:r>
      <w:r w:rsidRPr="002D40C1">
        <w:rPr>
          <w:szCs w:val="28"/>
        </w:rPr>
        <w:t>’s achievement lies in showing how far mathematical law can proceed without inserting a miracle into every unexplained interval. Providence establishes and sustains an order intelligible through general relations.</w:t>
      </w:r>
    </w:p>
    <w:p w14:paraId="792E1284" w14:textId="77777777" w:rsidR="002D40C1" w:rsidRPr="002D40C1" w:rsidRDefault="002D40C1" w:rsidP="002D40C1">
      <w:pPr>
        <w:pStyle w:val="BookBody"/>
      </w:pPr>
      <w:r w:rsidRPr="002D40C1">
        <w:rPr>
          <w:szCs w:val="28"/>
        </w:rPr>
        <w:t>This balance distinguishes Newton from a crude occasionalism in which created bodies do nothing. It also distinguishes him from a self-sufficient mechanical deism. God is active, matter obeys stable laws, and forces operate throughout the system. The exact causal articulation among these levels remains incomplete.</w:t>
      </w:r>
    </w:p>
    <w:p w14:paraId="77893DD9" w14:textId="77777777" w:rsidR="002D40C1" w:rsidRPr="002D40C1" w:rsidRDefault="002D40C1" w:rsidP="002D40C1">
      <w:pPr>
        <w:pStyle w:val="BookBody"/>
      </w:pPr>
      <w:r w:rsidRPr="002D40C1">
        <w:rPr>
          <w:szCs w:val="28"/>
        </w:rPr>
        <w:t>Newton’s natural philosophy is therefore theologically saturated without being theologically substitutive. God does not replace the inverse-square relation; divine dominion explains why a lawful and purposive order exists at all. Readers may reject the inference while recognizing that it belongs to the architecture of Newton’s published thought.</w:t>
      </w:r>
    </w:p>
    <w:p w14:paraId="67169D40" w14:textId="77777777" w:rsidR="004A6C7A" w:rsidRDefault="007849EA">
      <w:pPr>
        <w:pStyle w:val="SectionHeading"/>
      </w:pPr>
      <w:r>
        <w:rPr>
          <w:rFonts w:cstheme="majorBidi"/>
          <w:bCs/>
          <w:color w:val="2E74B5"/>
          <w:szCs w:val="28"/>
        </w:rPr>
        <w:t>Force as a Public Relation</w:t>
      </w:r>
    </w:p>
    <w:p w14:paraId="699B7DFC" w14:textId="77777777" w:rsidR="004A6C7A" w:rsidRDefault="007849EA">
      <w:pPr>
        <w:pStyle w:val="BookBody"/>
      </w:pPr>
      <w:r>
        <w:rPr>
          <w:szCs w:val="28"/>
        </w:rPr>
        <w:t xml:space="preserve">The word </w:t>
      </w:r>
      <w:r>
        <w:rPr>
          <w:i/>
          <w:szCs w:val="28"/>
        </w:rPr>
        <w:t>force</w:t>
      </w:r>
      <w:r>
        <w:rPr>
          <w:szCs w:val="28"/>
        </w:rPr>
        <w:t xml:space="preserve"> is where Newton's achievement and the dissenters' questions meet. In the </w:t>
      </w:r>
      <w:r>
        <w:rPr>
          <w:i/>
          <w:szCs w:val="28"/>
        </w:rPr>
        <w:t>Principia</w:t>
      </w:r>
      <w:r>
        <w:rPr>
          <w:szCs w:val="28"/>
        </w:rPr>
        <w:t>, force is defined through measurable changes of motion and displayed through geometrical relations. It need not arrive with a picture of the substance or agent that produces it. This disciplined thinness is what lets the same mathematical expression connect a falling apple, the Moon's deflection, the orbit of a comet, and the tides. The law gains scope by refusing to narrate an interior life of bodies.</w:t>
      </w:r>
    </w:p>
    <w:p w14:paraId="0D3D0F4E" w14:textId="77777777" w:rsidR="004A6C7A" w:rsidRDefault="007849EA">
      <w:pPr>
        <w:pStyle w:val="BookBody"/>
      </w:pPr>
      <w:r>
        <w:rPr>
          <w:szCs w:val="28"/>
        </w:rPr>
        <w:t>Yet a relation that predicts is not thereby an ontological nothing. To say that a planet accelerates toward a center is to say something real about the pattern of its motion, something that survives changes of observer and permits new phenomena to be inferred. Newtonian force is public because its consequences can be calculated and checked. Its reality lies first in this network of determinate relations, not in resemblance to a hidden mechanical push.</w:t>
      </w:r>
    </w:p>
    <w:p w14:paraId="7A80E63E" w14:textId="77777777" w:rsidR="004A6C7A" w:rsidRDefault="007849EA">
      <w:pPr>
        <w:pStyle w:val="BookBody"/>
      </w:pPr>
      <w:r>
        <w:rPr>
          <w:szCs w:val="28"/>
        </w:rPr>
        <w:t>This is why the famous refusal to frame hypotheses must be read with care. Newton did not declare the cause of gravity meaningless. He refused to make an unestablished cause a premise of the demonstrated system. The distinction protects the proof from speculative fragility while leaving natural philosophy unfinished. Gravity may depend on an ether, a created active principle, divine mediation, or another cause not yet known; none is entitled to the authority earned by the mathematical deductions.</w:t>
      </w:r>
      <w:r>
        <w:rPr>
          <w:szCs w:val="28"/>
          <w:vertAlign w:val="superscript"/>
        </w:rPr>
        <w:t>28</w:t>
      </w:r>
    </w:p>
    <w:p w14:paraId="3E0DE098" w14:textId="77777777" w:rsidR="004A6C7A" w:rsidRDefault="007849EA">
      <w:pPr>
        <w:pStyle w:val="BookBody"/>
      </w:pPr>
      <w:r>
        <w:rPr>
          <w:szCs w:val="28"/>
        </w:rPr>
        <w:t>The separation transforms the meaning of explanation. Earlier mechanical philosophers often demanded intelligibility through contact, shape, and impact. Newtonian practice allows a law to count as explanatory when it unifies and predicts phenomena even before the mechanism is known. The gain is enormous. The cost is a recurring temptation to confuse operational closure with metaphysical closure. Once the equations work, the question of what acts can appear optional even when the symbols continue to name powers.</w:t>
      </w:r>
    </w:p>
    <w:p w14:paraId="356DFBAA" w14:textId="77777777" w:rsidR="004A6C7A" w:rsidRDefault="007849EA">
      <w:pPr>
        <w:pStyle w:val="BookBody"/>
      </w:pPr>
      <w:r>
        <w:rPr>
          <w:szCs w:val="28"/>
        </w:rPr>
        <w:t>Conway, Cavendish, and More make that cost visible from three directions. Conway asks whether a creation produced by living goodness can contain absolute deadness. Cavendish asks whether response can be explained when all activity is imported from outside the body. More asks how organized form arises from parts unable to apprehend a whole. Newton does not answer these questions by abolishing them. He creates a public physics capable of proceeding while they remain contested.</w:t>
      </w:r>
    </w:p>
    <w:p w14:paraId="575C776E" w14:textId="77777777" w:rsidR="002D40C1" w:rsidRPr="002D40C1" w:rsidRDefault="002D40C1" w:rsidP="002D40C1">
      <w:pPr>
        <w:pStyle w:val="SectionHeading"/>
      </w:pPr>
      <w:r w:rsidRPr="002D40C1">
        <w:rPr>
          <w:rFonts w:cstheme="majorBidi"/>
          <w:bCs/>
          <w:color w:val="2E74B5"/>
          <w:szCs w:val="28"/>
        </w:rPr>
        <w:t>An Ambiguous Completion</w:t>
      </w:r>
    </w:p>
    <w:p w14:paraId="115EAC87" w14:textId="77777777" w:rsidR="002D40C1" w:rsidRPr="002D40C1" w:rsidRDefault="002D40C1" w:rsidP="002D40C1">
      <w:pPr>
        <w:pStyle w:val="BookBody"/>
      </w:pPr>
      <w:r w:rsidRPr="002D40C1">
        <w:rPr>
          <w:szCs w:val="28"/>
        </w:rPr>
        <w:t>Did Newton complete the mechanical universe? If completion means mathematical unification of celestial and terrestrial motion, he came closer than any predecessor. If it means reduction of all causes to contact among inert particles, he did not. Gravity displaced vortices without supplying a public mechanism of transmission. Active principles exceeded passive impact. Absolute space carried metaphysical and theological commitments. The archive of alchemy and prophecy widened rather than closed the field.</w:t>
      </w:r>
      <w:r w:rsidRPr="002D40C1">
        <w:rPr>
          <w:szCs w:val="28"/>
          <w:vertAlign w:val="superscript"/>
        </w:rPr>
        <w:t>39</w:t>
      </w:r>
    </w:p>
    <w:p w14:paraId="780D6A4A" w14:textId="77777777" w:rsidR="002D40C1" w:rsidRPr="002D40C1" w:rsidRDefault="002D40C1" w:rsidP="002D40C1">
      <w:pPr>
        <w:pStyle w:val="BookBody"/>
      </w:pPr>
      <w:r w:rsidRPr="002D40C1">
        <w:rPr>
          <w:szCs w:val="28"/>
        </w:rPr>
        <w:t>The ambiguity is not a defect to be solved by choosing the “real Newton.” The mathematician, experimentalist, theologian, alchemist, and interpreter of prophecy were practices of one intellect operating under different evidential and social rules. Their relations were real without being reducible to a single key.</w:t>
      </w:r>
    </w:p>
    <w:p w14:paraId="35B3A261" w14:textId="77777777" w:rsidR="002D40C1" w:rsidRPr="002D40C1" w:rsidRDefault="002D40C1" w:rsidP="002D40C1">
      <w:pPr>
        <w:pStyle w:val="BookBody"/>
      </w:pPr>
      <w:r w:rsidRPr="002D40C1">
        <w:rPr>
          <w:szCs w:val="28"/>
        </w:rPr>
        <w:t>Nor should the private archive be used to demote public achievement. The equal-areas proof remains valid regardless of Newton’s chronology of kingdoms. Prism experiments can be repeated without accepting his theology. Historical integration does not imply logical dependence.</w:t>
      </w:r>
    </w:p>
    <w:p w14:paraId="476922B4" w14:textId="77777777" w:rsidR="002D40C1" w:rsidRPr="002D40C1" w:rsidRDefault="002D40C1" w:rsidP="002D40C1">
      <w:pPr>
        <w:pStyle w:val="BookBody"/>
      </w:pPr>
      <w:r w:rsidRPr="002D40C1">
        <w:rPr>
          <w:szCs w:val="28"/>
        </w:rPr>
        <w:t>The reverse separation is equally misleading. To treat theology and alchemy as irrelevant hobbies projects a later division of disciplines backward. Newton’s questions about active powers, divine presence, corruption, and restoration informed the range of realities he considered worthy of disciplined inquiry.</w:t>
      </w:r>
      <w:r w:rsidRPr="002D40C1">
        <w:rPr>
          <w:szCs w:val="28"/>
          <w:vertAlign w:val="superscript"/>
        </w:rPr>
        <w:t>40</w:t>
      </w:r>
    </w:p>
    <w:p w14:paraId="27652776" w14:textId="77777777" w:rsidR="002D40C1" w:rsidRPr="002D40C1" w:rsidRDefault="002D40C1" w:rsidP="002D40C1">
      <w:pPr>
        <w:pStyle w:val="BookBody"/>
      </w:pPr>
      <w:r w:rsidRPr="002D40C1">
        <w:rPr>
          <w:szCs w:val="28"/>
        </w:rPr>
        <w:t>Conway, Cavendish, and More reveal what Newtonianism did not settle. They ask whether activity belongs to created substance, corporeal matter, or spirit. Newtonian force allows physics to proceed without deciding fully among such ontologies. This is one reason the synthesis traveled. Users could adopt the mathematics while interpreting force through different metaphysical commitments.</w:t>
      </w:r>
    </w:p>
    <w:p w14:paraId="6EA7AC10" w14:textId="77777777" w:rsidR="002D40C1" w:rsidRPr="002D40C1" w:rsidRDefault="002D40C1" w:rsidP="002D40C1">
      <w:pPr>
        <w:pStyle w:val="BookBody"/>
      </w:pPr>
      <w:r w:rsidRPr="002D40C1">
        <w:rPr>
          <w:szCs w:val="28"/>
        </w:rPr>
        <w:t>The price of portability was a widening distance between public description and ontological fullness. Position, time, mass, and acceleration could circulate through tables, diagrams, classrooms, and institutions. Suffering, perceptive activity, value, and divine purpose could not be standardized so easily. What traveled became authoritative; what resisted travel became private, theological, literary, or subjective.</w:t>
      </w:r>
    </w:p>
    <w:p w14:paraId="3180C59E" w14:textId="77777777" w:rsidR="002D40C1" w:rsidRPr="002D40C1" w:rsidRDefault="002D40C1" w:rsidP="002D40C1">
      <w:pPr>
        <w:pStyle w:val="BookBody"/>
      </w:pPr>
      <w:r w:rsidRPr="002D40C1">
        <w:rPr>
          <w:szCs w:val="28"/>
        </w:rPr>
        <w:t xml:space="preserve">The contrast between Conway’s posthumous treatise and Newton’s </w:t>
      </w:r>
      <w:r w:rsidRPr="002D40C1">
        <w:rPr>
          <w:i/>
          <w:szCs w:val="28"/>
        </w:rPr>
        <w:t>Principia</w:t>
      </w:r>
      <w:r w:rsidRPr="002D40C1">
        <w:rPr>
          <w:szCs w:val="28"/>
        </w:rPr>
        <w:t xml:space="preserve"> makes the redistribution visible. Conway’s argument depended on a theological anthropology, an account of pain, and a metaphysics of transformation carried by a small network and belated print. Newton’s propositions entered institutions capable of teaching, correcting, and extending them. Intellectual survival followed not only truth or error but form, audience, and reproducibility.</w:t>
      </w:r>
    </w:p>
    <w:p w14:paraId="342A1624" w14:textId="77777777" w:rsidR="002D40C1" w:rsidRPr="002D40C1" w:rsidRDefault="002D40C1" w:rsidP="002D40C1">
      <w:pPr>
        <w:pStyle w:val="BookBody"/>
      </w:pPr>
      <w:r w:rsidRPr="002D40C1">
        <w:rPr>
          <w:szCs w:val="28"/>
        </w:rPr>
        <w:t>Cavendish understood this problem in advance. Her joined treatise and romance contested the community that would decide what counted as knowledge, while her self-moving matter challenged the ontology favored by its instruments. More’s learned spiritualism likewise possessed networks and readers but could not produce a comparable program of cumulative calculation. The winners of early modern natural philosophy were selected through material practices as well as arguments.</w:t>
      </w:r>
    </w:p>
    <w:p w14:paraId="4DA03174" w14:textId="77777777" w:rsidR="002D40C1" w:rsidRPr="002D40C1" w:rsidRDefault="002D40C1" w:rsidP="002D40C1">
      <w:pPr>
        <w:pStyle w:val="BookBody"/>
      </w:pPr>
      <w:r w:rsidRPr="002D40C1">
        <w:rPr>
          <w:szCs w:val="28"/>
        </w:rPr>
        <w:t>This does not mean law caused the exile of qualities. It means Newtonian success intensified the question of where qualities belong. The mathematical universe was not dead by proof. It was selective by method.</w:t>
      </w:r>
    </w:p>
    <w:p w14:paraId="159608D5" w14:textId="77777777" w:rsidR="004A6C7A" w:rsidRDefault="007849EA">
      <w:pPr>
        <w:pStyle w:val="SectionHeading"/>
      </w:pPr>
      <w:r>
        <w:rPr>
          <w:rFonts w:cstheme="majorBidi"/>
          <w:bCs/>
          <w:color w:val="2E74B5"/>
          <w:szCs w:val="28"/>
        </w:rPr>
        <w:t>Completion without Closure</w:t>
      </w:r>
    </w:p>
    <w:p w14:paraId="37DD971D" w14:textId="77777777" w:rsidR="004A6C7A" w:rsidRDefault="007849EA">
      <w:pPr>
        <w:pStyle w:val="BookBody"/>
      </w:pPr>
      <w:r>
        <w:rPr>
          <w:szCs w:val="28"/>
        </w:rPr>
        <w:t>Newton's place at the end of the early modern sequence is therefore exact but limited. He completes a unification of celestial and terrestrial motion at the level of mathematical law. He does not complete a demonstration that nature is composed only of passive extended bodies. The distinction is not a concession made after the physics. It belongs to the form of the achievement: the proofs succeed while questions about the bearer and cause of force remain open.</w:t>
      </w:r>
    </w:p>
    <w:p w14:paraId="4AFB152B" w14:textId="77777777" w:rsidR="004A6C7A" w:rsidRDefault="007849EA">
      <w:pPr>
        <w:pStyle w:val="BookBody"/>
      </w:pPr>
      <w:r>
        <w:rPr>
          <w:szCs w:val="28"/>
        </w:rPr>
        <w:t>A later mechanistic culture could inherit the laws and forget the openness. It could picture the universe as a clock because the trajectories were calculable, the diagrams spare, and the divine or alchemical contexts dispensable to many later users. Historical sequence then masqueraded as logical necessity. What could be detached from Newton's work was treated as what Newton must really have meant.</w:t>
      </w:r>
    </w:p>
    <w:p w14:paraId="1D67E019" w14:textId="77777777" w:rsidR="004A6C7A" w:rsidRDefault="007849EA">
      <w:pPr>
        <w:pStyle w:val="BookBody"/>
      </w:pPr>
      <w:r>
        <w:rPr>
          <w:szCs w:val="28"/>
        </w:rPr>
        <w:t>The dissenters prevent that retrospective simplification. Conway shows that modern substance could be continuous, living, and perfectible. Cavendish shows that a rigorous materialism could reject passivity and make perception corporeal. More shows that an advocate of experimental inquiry could defend an extended spiritual causation. Newton shows that mathematical power could outrun agreement among all three alternatives without resolving their deepest dispute.</w:t>
      </w:r>
    </w:p>
    <w:p w14:paraId="350CF1E1" w14:textId="77777777" w:rsidR="004A6C7A" w:rsidRDefault="007849EA">
      <w:pPr>
        <w:pStyle w:val="BookBody"/>
      </w:pPr>
      <w:r>
        <w:rPr>
          <w:szCs w:val="28"/>
        </w:rPr>
        <w:t>The result is not indecision but a more accurate map of modernity. Public physics narrows the propositions that must be shared in order for inquiry to advance. Metaphysics, theology, and accounts of life remain plural around that shared core. The modern universe becomes more lawful and more institutionally unified at the same moment that the ontological meaning of its forces becomes less publicly settled.</w:t>
      </w:r>
    </w:p>
    <w:p w14:paraId="4CA81390" w14:textId="77777777" w:rsidR="004A6C7A" w:rsidRDefault="007849EA">
      <w:pPr>
        <w:pStyle w:val="BookBody"/>
      </w:pPr>
      <w:r>
        <w:rPr>
          <w:szCs w:val="28"/>
        </w:rPr>
        <w:t>To preserve this ambiguity is not to weaken Newton's science. It is to distinguish the authority earned by mathematical demonstration from the authority later philosophies claimed in its name. The laws altered what any adequate ontology had to explain: stable quantitative relations, universal gravitation, and the success of idealization. They did not dictate whether the world answering those laws was dead extension, created activity, self-moving matter, spiritually administered nature, or an order still awaiting better concepts. Modern physics begins in that disciplined excess of achievement over metaphysical settlement.</w:t>
      </w:r>
    </w:p>
    <w:p w14:paraId="67035872" w14:textId="77777777" w:rsidR="004A6C7A" w:rsidRDefault="007849EA">
      <w:pPr>
        <w:pStyle w:val="BookBody"/>
      </w:pPr>
      <w:r>
        <w:rPr>
          <w:szCs w:val="28"/>
        </w:rPr>
        <w:t>That settlement also changes the burden of dissent. After Newton, an alternative philosophy of nature cannot succeed merely by announcing that matter lives or spirit acts. It must explain why mathematical abstraction predicts so well and how its richer ontology connects with measured relations. Conway, Cavendish, and More remain important because they preserve the question of activity; Newton remains decisive because he raises the evidentiary standard any future answer must meet.</w:t>
      </w:r>
    </w:p>
    <w:p w14:paraId="06650527" w14:textId="77777777" w:rsidR="002D40C1" w:rsidRPr="002D40C1" w:rsidRDefault="002D40C1" w:rsidP="002D40C1">
      <w:pPr>
        <w:pStyle w:val="SectionHeading"/>
      </w:pPr>
      <w:r w:rsidRPr="002D40C1">
        <w:rPr>
          <w:rFonts w:cstheme="majorBidi"/>
          <w:bCs/>
          <w:color w:val="2E74B5"/>
          <w:szCs w:val="28"/>
        </w:rPr>
        <w:t>What Law Leaves Behind</w:t>
      </w:r>
    </w:p>
    <w:p w14:paraId="6C8366AF" w14:textId="77777777" w:rsidR="002D40C1" w:rsidRPr="002D40C1" w:rsidRDefault="002D40C1" w:rsidP="002D40C1">
      <w:pPr>
        <w:pStyle w:val="BookBody"/>
      </w:pPr>
      <w:r w:rsidRPr="002D40C1">
        <w:rPr>
          <w:szCs w:val="28"/>
        </w:rPr>
        <w:t>The early modern contest ends without a metaphysical verdict. Conway makes creation a perfectible continuum of life. Cavendish makes matter self-moving and perceptive. More assigns formative activity to spirit. Newton demonstrates laws whose success does not depend on resolving the ultimate nature of force. Four worlds overlap historically without collapsing into one.</w:t>
      </w:r>
    </w:p>
    <w:p w14:paraId="0807264A" w14:textId="77777777" w:rsidR="002D40C1" w:rsidRPr="002D40C1" w:rsidRDefault="002D40C1" w:rsidP="002D40C1">
      <w:pPr>
        <w:pStyle w:val="BookBody"/>
      </w:pPr>
      <w:r w:rsidRPr="002D40C1">
        <w:rPr>
          <w:szCs w:val="28"/>
        </w:rPr>
        <w:t>Their differences establish a crucial distinction between agency and animism. A body may have causal powers without possessing intention. A living nature may be ordered toward perfection without every part deliberating. A spiritual principle may organize matter without being conscious. A mathematical force may structure motion while its cause remains unknown. “Living” and “dead” are arguments about kinds of activity, not self-evident labels.</w:t>
      </w:r>
    </w:p>
    <w:p w14:paraId="155488C7" w14:textId="77777777" w:rsidR="002D40C1" w:rsidRPr="002D40C1" w:rsidRDefault="002D40C1" w:rsidP="002D40C1">
      <w:pPr>
        <w:pStyle w:val="BookBody"/>
      </w:pPr>
      <w:r w:rsidRPr="002D40C1">
        <w:rPr>
          <w:szCs w:val="28"/>
        </w:rPr>
        <w:t>The dissenters also expose what mechanism made easy to forget. Organisms regulate and repair. Perceivers actively pattern appearances. Bodies suffer. Parts depend on wholes. Form persists through material exchange. Mechanical and mathematical models can explain many of these processes, but explanatory success in one register does not settle what claims the modeled being possesses in another.</w:t>
      </w:r>
    </w:p>
    <w:p w14:paraId="670FEDFE" w14:textId="77777777" w:rsidR="002D40C1" w:rsidRPr="002D40C1" w:rsidRDefault="002D40C1" w:rsidP="002D40C1">
      <w:pPr>
        <w:pStyle w:val="BookBody"/>
      </w:pPr>
      <w:r w:rsidRPr="002D40C1">
        <w:rPr>
          <w:szCs w:val="28"/>
        </w:rPr>
        <w:t>Newton exposes the opposite danger. A philosophy may speak richly of life and still fail to predict. The orbit, prism, and tide place demands on metaphysics. A living cosmos that cannot distinguish reliable from unreliable effects offers reverence without discipline. Mathematical physics earns authority by answering the world with precision.</w:t>
      </w:r>
      <w:r w:rsidRPr="002D40C1">
        <w:rPr>
          <w:szCs w:val="28"/>
          <w:vertAlign w:val="superscript"/>
        </w:rPr>
        <w:t>41</w:t>
      </w:r>
    </w:p>
    <w:p w14:paraId="692A0FD9" w14:textId="77777777" w:rsidR="002D40C1" w:rsidRPr="002D40C1" w:rsidRDefault="002D40C1" w:rsidP="002D40C1">
      <w:pPr>
        <w:pStyle w:val="BookBody"/>
      </w:pPr>
      <w:r w:rsidRPr="002D40C1">
        <w:rPr>
          <w:szCs w:val="28"/>
        </w:rPr>
        <w:t>The task is therefore not to choose life against law. It is to prevent law from becoming a metaphysical monopoly. Conway, Cavendish, and More preserve questions of inward activity, organization, and value. Newton preserves the demand that general claims survive mathematical and experimental test. A responsible history needs both achievements in view.</w:t>
      </w:r>
    </w:p>
    <w:p w14:paraId="0DAEEB3A" w14:textId="77777777" w:rsidR="002D40C1" w:rsidRPr="002D40C1" w:rsidRDefault="002D40C1" w:rsidP="002D40C1">
      <w:pPr>
        <w:pStyle w:val="BookBody"/>
      </w:pPr>
      <w:r w:rsidRPr="002D40C1">
        <w:rPr>
          <w:szCs w:val="28"/>
        </w:rPr>
        <w:t>It also needs to distinguish explanatory permission from moral permission. A force law may accurately predict what an intervention will do without deciding whether the intervention ought to occur. A vitalist ontology may attribute activity to a creature without telling us how conflicts among creatures should be judged. Neither mathematics nor metaphysics supplies an ethics automatically. They change what an ethics can see.</w:t>
      </w:r>
    </w:p>
    <w:p w14:paraId="0A82B90F" w14:textId="77777777" w:rsidR="002D40C1" w:rsidRPr="002D40C1" w:rsidRDefault="002D40C1" w:rsidP="002D40C1">
      <w:pPr>
        <w:pStyle w:val="BookBody"/>
      </w:pPr>
      <w:r w:rsidRPr="002D40C1">
        <w:rPr>
          <w:szCs w:val="28"/>
        </w:rPr>
        <w:t>Conway makes suffering ontologically significant, Cavendish makes response materially immanent, More makes order spiritually administered, and Newton makes motion quantitatively accountable. Each selection illuminates and obscures. The history of nature is partly the history of which selection acquired the right to define the whole.</w:t>
      </w:r>
    </w:p>
    <w:p w14:paraId="540235A3" w14:textId="77777777" w:rsidR="002D40C1" w:rsidRPr="002D40C1" w:rsidRDefault="002D40C1" w:rsidP="002D40C1">
      <w:pPr>
        <w:pStyle w:val="BookBody"/>
      </w:pPr>
      <w:r w:rsidRPr="002D40C1">
        <w:rPr>
          <w:szCs w:val="28"/>
        </w:rPr>
        <w:t>By the beginning of the eighteenth century, the public balance had shifted. Law and quantity possessed institutions, pedagogies, diagrams, instruments, and predictive successes that rival ontologies could not match. Theories of living matter remained philosophically available, but they no longer defined the common language of exact natural knowledge.</w:t>
      </w:r>
    </w:p>
    <w:p w14:paraId="73D0891A" w14:textId="77777777" w:rsidR="002D40C1" w:rsidRPr="002D40C1" w:rsidRDefault="002D40C1" w:rsidP="002D40C1">
      <w:pPr>
        <w:pStyle w:val="BookBody"/>
      </w:pPr>
      <w:r w:rsidRPr="002D40C1">
        <w:rPr>
          <w:szCs w:val="28"/>
        </w:rPr>
        <w:t>Qualities did not vanish. Colors still appeared, sounds resounded, organisms strove, pain mattered, and beauty ordered attention. Their explanatory location changed. Once physics defined the object through measurable primary relations, color, sound, purpose, and value increasingly required an account of the perceiver and judge.</w:t>
      </w:r>
      <w:r w:rsidRPr="002D40C1">
        <w:rPr>
          <w:szCs w:val="28"/>
          <w:vertAlign w:val="superscript"/>
        </w:rPr>
        <w:t>42</w:t>
      </w:r>
    </w:p>
    <w:p w14:paraId="222890F3" w14:textId="77777777" w:rsidR="002D40C1" w:rsidRPr="002D40C1" w:rsidRDefault="002D40C1" w:rsidP="002D40C1">
      <w:pPr>
        <w:pStyle w:val="BookBody"/>
      </w:pPr>
      <w:r w:rsidRPr="002D40C1">
        <w:rPr>
          <w:szCs w:val="28"/>
        </w:rPr>
        <w:t>The next part follows that migration. Locke will distinguish qualities attributed to bodies from ideas produced in perceivers. Hume will place necessary connection under the pressure of habit. Kant will locate conditions of possible experience within the subject. Objectivity will expand by narrowing what may confidently be said to belong to things themselves.</w:t>
      </w:r>
    </w:p>
    <w:p w14:paraId="094D8057" w14:textId="77777777" w:rsidR="002D40C1" w:rsidRPr="002D40C1" w:rsidRDefault="002D40C1" w:rsidP="002D40C1">
      <w:pPr>
        <w:pStyle w:val="BookBody"/>
      </w:pPr>
      <w:r w:rsidRPr="002D40C1">
        <w:rPr>
          <w:szCs w:val="28"/>
        </w:rPr>
        <w:t>Newton’s prism stands at the threshold. It makes color more publicly intelligible by dividing the ray, arranging the apparatus, and measuring refraction. Yet the red seen is not exhausted by the line drawn. Law has made the world exact. The qualities through which the world is lived are about to become epistemically homeless.</w:t>
      </w:r>
    </w:p>
    <w:p w14:paraId="7D4136B5" w14:textId="77777777" w:rsidR="002D40C1" w:rsidRPr="002D40C1" w:rsidRDefault="002D40C1" w:rsidP="002D40C1">
      <w:pPr>
        <w:pStyle w:val="NotesHeading"/>
      </w:pPr>
      <w:r w:rsidRPr="002D40C1">
        <w:rPr>
          <w:rFonts w:cstheme="majorBidi"/>
          <w:bCs/>
          <w:color w:val="2E74B5"/>
          <w:szCs w:val="28"/>
        </w:rPr>
        <w:t>Notes</w:t>
      </w:r>
    </w:p>
    <w:p w14:paraId="49DCCB4B" w14:textId="77777777" w:rsidR="002D40C1" w:rsidRPr="002D40C1" w:rsidRDefault="002D40C1" w:rsidP="002D40C1">
      <w:pPr>
        <w:pStyle w:val="NoteEntry"/>
      </w:pPr>
      <w:r w:rsidRPr="002D40C1">
        <w:rPr>
          <w:szCs w:val="28"/>
        </w:rPr>
        <w:t xml:space="preserve">1. Jessica Riskin, </w:t>
      </w:r>
      <w:r w:rsidRPr="002D40C1">
        <w:rPr>
          <w:i/>
          <w:szCs w:val="28"/>
        </w:rPr>
        <w:t>The Restless Clock: A History of the Centuries-Long Argument over What Makes Living Things Tick</w:t>
      </w:r>
      <w:r w:rsidRPr="002D40C1">
        <w:rPr>
          <w:szCs w:val="28"/>
        </w:rPr>
        <w:t xml:space="preserve"> (Chicago: University of Chicago Press, 2016), 77–112; Carolyn Merchant, </w:t>
      </w:r>
      <w:r w:rsidRPr="002D40C1">
        <w:rPr>
          <w:i/>
          <w:szCs w:val="28"/>
        </w:rPr>
        <w:t>The Death of Nature: Women, Ecology, and the Scientific Revolution</w:t>
      </w:r>
      <w:r w:rsidRPr="002D40C1">
        <w:rPr>
          <w:szCs w:val="28"/>
        </w:rPr>
        <w:t xml:space="preserve"> (San Francisco: Harper &amp; Row, 1980), 253–90.</w:t>
      </w:r>
    </w:p>
    <w:p w14:paraId="366FDABB" w14:textId="77777777" w:rsidR="002D40C1" w:rsidRPr="002D40C1" w:rsidRDefault="002D40C1" w:rsidP="002D40C1">
      <w:pPr>
        <w:pStyle w:val="NoteEntry"/>
      </w:pPr>
      <w:r w:rsidRPr="002D40C1">
        <w:rPr>
          <w:szCs w:val="28"/>
        </w:rPr>
        <w:t xml:space="preserve">2. Anne Conway, </w:t>
      </w:r>
      <w:r w:rsidRPr="002D40C1">
        <w:rPr>
          <w:i/>
          <w:szCs w:val="28"/>
        </w:rPr>
        <w:t>The Principles of the Most Ancient and Modern Philosophy</w:t>
      </w:r>
      <w:r w:rsidRPr="002D40C1">
        <w:rPr>
          <w:szCs w:val="28"/>
        </w:rPr>
        <w:t xml:space="preserve">, ed. and trans. Allison P. Coudert and Taylor Corse (Cambridge: Cambridge University Press, 1996), vii–xxxii, 3–15; Sarah Hutton, </w:t>
      </w:r>
      <w:r w:rsidRPr="002D40C1">
        <w:rPr>
          <w:i/>
          <w:szCs w:val="28"/>
        </w:rPr>
        <w:t>Anne Conway: A Woman Philosopher</w:t>
      </w:r>
      <w:r w:rsidRPr="002D40C1">
        <w:rPr>
          <w:szCs w:val="28"/>
        </w:rPr>
        <w:t xml:space="preserve"> (Cambridge: Cambridge University Press, 2004), 1–22.</w:t>
      </w:r>
    </w:p>
    <w:p w14:paraId="7C2713A4" w14:textId="77777777" w:rsidR="002D40C1" w:rsidRPr="002D40C1" w:rsidRDefault="002D40C1" w:rsidP="002D40C1">
      <w:pPr>
        <w:pStyle w:val="NoteEntry"/>
      </w:pPr>
      <w:r w:rsidRPr="002D40C1">
        <w:rPr>
          <w:szCs w:val="28"/>
        </w:rPr>
        <w:t xml:space="preserve">3. Conway, </w:t>
      </w:r>
      <w:r w:rsidRPr="002D40C1">
        <w:rPr>
          <w:i/>
          <w:szCs w:val="28"/>
        </w:rPr>
        <w:t>Principles</w:t>
      </w:r>
      <w:r w:rsidRPr="002D40C1">
        <w:rPr>
          <w:szCs w:val="28"/>
        </w:rPr>
        <w:t>, chapters I–III, 9–20.</w:t>
      </w:r>
    </w:p>
    <w:p w14:paraId="0229875F" w14:textId="77777777" w:rsidR="002D40C1" w:rsidRPr="002D40C1" w:rsidRDefault="002D40C1" w:rsidP="002D40C1">
      <w:pPr>
        <w:pStyle w:val="NoteEntry"/>
      </w:pPr>
      <w:r w:rsidRPr="002D40C1">
        <w:rPr>
          <w:szCs w:val="28"/>
        </w:rPr>
        <w:t xml:space="preserve">4. Conway, </w:t>
      </w:r>
      <w:r w:rsidRPr="002D40C1">
        <w:rPr>
          <w:i/>
          <w:szCs w:val="28"/>
        </w:rPr>
        <w:t>Principles</w:t>
      </w:r>
      <w:r w:rsidRPr="002D40C1">
        <w:rPr>
          <w:szCs w:val="28"/>
        </w:rPr>
        <w:t xml:space="preserve">, chapters VI–VII, 28–55; Hutton, </w:t>
      </w:r>
      <w:r w:rsidRPr="002D40C1">
        <w:rPr>
          <w:i/>
          <w:szCs w:val="28"/>
        </w:rPr>
        <w:t>Anne Conway</w:t>
      </w:r>
      <w:r w:rsidRPr="002D40C1">
        <w:rPr>
          <w:szCs w:val="28"/>
        </w:rPr>
        <w:t>, 1–13, 220–43.</w:t>
      </w:r>
    </w:p>
    <w:p w14:paraId="0E3B06AE" w14:textId="77777777" w:rsidR="002D40C1" w:rsidRPr="002D40C1" w:rsidRDefault="002D40C1" w:rsidP="002D40C1">
      <w:pPr>
        <w:pStyle w:val="NoteEntry"/>
      </w:pPr>
      <w:r w:rsidRPr="002D40C1">
        <w:rPr>
          <w:szCs w:val="28"/>
        </w:rPr>
        <w:t xml:space="preserve">5. Conway, </w:t>
      </w:r>
      <w:r w:rsidRPr="002D40C1">
        <w:rPr>
          <w:i/>
          <w:szCs w:val="28"/>
        </w:rPr>
        <w:t>Principles</w:t>
      </w:r>
      <w:r w:rsidRPr="002D40C1">
        <w:rPr>
          <w:szCs w:val="28"/>
        </w:rPr>
        <w:t>, 28–40, especially 32 on the horse as more than a machine.</w:t>
      </w:r>
    </w:p>
    <w:p w14:paraId="097BF96A" w14:textId="77777777" w:rsidR="002D40C1" w:rsidRPr="002D40C1" w:rsidRDefault="002D40C1" w:rsidP="002D40C1">
      <w:pPr>
        <w:pStyle w:val="NoteEntry"/>
      </w:pPr>
      <w:r w:rsidRPr="002D40C1">
        <w:rPr>
          <w:szCs w:val="28"/>
        </w:rPr>
        <w:t xml:space="preserve">6. Conway, </w:t>
      </w:r>
      <w:r w:rsidRPr="002D40C1">
        <w:rPr>
          <w:i/>
          <w:szCs w:val="28"/>
        </w:rPr>
        <w:t>Principles</w:t>
      </w:r>
      <w:r w:rsidRPr="002D40C1">
        <w:rPr>
          <w:szCs w:val="28"/>
        </w:rPr>
        <w:t>, 43–46.</w:t>
      </w:r>
    </w:p>
    <w:p w14:paraId="741C0476" w14:textId="77777777" w:rsidR="002D40C1" w:rsidRPr="002D40C1" w:rsidRDefault="002D40C1" w:rsidP="002D40C1">
      <w:pPr>
        <w:pStyle w:val="NoteEntry"/>
      </w:pPr>
      <w:r w:rsidRPr="002D40C1">
        <w:rPr>
          <w:szCs w:val="28"/>
        </w:rPr>
        <w:t xml:space="preserve">7. Hutton, </w:t>
      </w:r>
      <w:r w:rsidRPr="002D40C1">
        <w:rPr>
          <w:i/>
          <w:szCs w:val="28"/>
        </w:rPr>
        <w:t>Anne Conway</w:t>
      </w:r>
      <w:r w:rsidRPr="002D40C1">
        <w:rPr>
          <w:szCs w:val="28"/>
        </w:rPr>
        <w:t xml:space="preserve">, 30–32, 62–63, 116–76; Conway, </w:t>
      </w:r>
      <w:r w:rsidRPr="002D40C1">
        <w:rPr>
          <w:i/>
          <w:szCs w:val="28"/>
        </w:rPr>
        <w:t>Principles</w:t>
      </w:r>
      <w:r w:rsidRPr="002D40C1">
        <w:rPr>
          <w:szCs w:val="28"/>
        </w:rPr>
        <w:t>, 41–43.</w:t>
      </w:r>
    </w:p>
    <w:p w14:paraId="71E42278" w14:textId="77777777" w:rsidR="002D40C1" w:rsidRPr="002D40C1" w:rsidRDefault="002D40C1" w:rsidP="002D40C1">
      <w:pPr>
        <w:pStyle w:val="NoteEntry"/>
      </w:pPr>
      <w:r w:rsidRPr="002D40C1">
        <w:rPr>
          <w:szCs w:val="28"/>
        </w:rPr>
        <w:t xml:space="preserve">8. Hutton, </w:t>
      </w:r>
      <w:r w:rsidRPr="002D40C1">
        <w:rPr>
          <w:i/>
          <w:szCs w:val="28"/>
        </w:rPr>
        <w:t>Anne Conway</w:t>
      </w:r>
      <w:r w:rsidRPr="002D40C1">
        <w:rPr>
          <w:szCs w:val="28"/>
        </w:rPr>
        <w:t xml:space="preserve">, 177–219, 220–43; Coudert and Corse, introduction to Conway, </w:t>
      </w:r>
      <w:r w:rsidRPr="002D40C1">
        <w:rPr>
          <w:i/>
          <w:szCs w:val="28"/>
        </w:rPr>
        <w:t>Principles</w:t>
      </w:r>
      <w:r w:rsidRPr="002D40C1">
        <w:rPr>
          <w:szCs w:val="28"/>
        </w:rPr>
        <w:t>, vii–xxxii.</w:t>
      </w:r>
    </w:p>
    <w:p w14:paraId="580B3C52" w14:textId="77777777" w:rsidR="002D40C1" w:rsidRPr="002D40C1" w:rsidRDefault="002D40C1" w:rsidP="002D40C1">
      <w:pPr>
        <w:pStyle w:val="NoteEntry"/>
      </w:pPr>
      <w:r w:rsidRPr="002D40C1">
        <w:rPr>
          <w:szCs w:val="28"/>
        </w:rPr>
        <w:t xml:space="preserve">9. Margaret Cavendish, </w:t>
      </w:r>
      <w:r w:rsidRPr="002D40C1">
        <w:rPr>
          <w:i/>
          <w:szCs w:val="28"/>
        </w:rPr>
        <w:t>Observations upon Experimental Philosophy</w:t>
      </w:r>
      <w:r w:rsidRPr="002D40C1">
        <w:rPr>
          <w:szCs w:val="28"/>
        </w:rPr>
        <w:t>, ed. Eileen O’Neill (Cambridge: Cambridge University Press, 2001), xv–xxxviii, 18–35.</w:t>
      </w:r>
    </w:p>
    <w:p w14:paraId="4215F0D4" w14:textId="77777777" w:rsidR="002D40C1" w:rsidRPr="002D40C1" w:rsidRDefault="002D40C1" w:rsidP="002D40C1">
      <w:pPr>
        <w:pStyle w:val="NoteEntry"/>
      </w:pPr>
      <w:r w:rsidRPr="002D40C1">
        <w:rPr>
          <w:szCs w:val="28"/>
        </w:rPr>
        <w:t xml:space="preserve">10. Cavendish, </w:t>
      </w:r>
      <w:r w:rsidRPr="002D40C1">
        <w:rPr>
          <w:i/>
          <w:szCs w:val="28"/>
        </w:rPr>
        <w:t>Observations</w:t>
      </w:r>
      <w:r w:rsidRPr="002D40C1">
        <w:rPr>
          <w:szCs w:val="28"/>
        </w:rPr>
        <w:t xml:space="preserve">, 18–35, 126–38; Lisa T. Sarasohn, </w:t>
      </w:r>
      <w:r w:rsidRPr="002D40C1">
        <w:rPr>
          <w:i/>
          <w:szCs w:val="28"/>
        </w:rPr>
        <w:t>The Natural Philosophy of Margaret Cavendish: Reason and Fancy during the Scientific Revolution</w:t>
      </w:r>
      <w:r w:rsidRPr="002D40C1">
        <w:rPr>
          <w:szCs w:val="28"/>
        </w:rPr>
        <w:t xml:space="preserve"> (Baltimore: Johns Hopkins University Press, 2010), 54–75, 100–125.</w:t>
      </w:r>
    </w:p>
    <w:p w14:paraId="5EC4C317" w14:textId="77777777" w:rsidR="002D40C1" w:rsidRPr="002D40C1" w:rsidRDefault="002D40C1" w:rsidP="002D40C1">
      <w:pPr>
        <w:pStyle w:val="NoteEntry"/>
      </w:pPr>
      <w:r w:rsidRPr="002D40C1">
        <w:rPr>
          <w:szCs w:val="28"/>
        </w:rPr>
        <w:t xml:space="preserve">11. Cavendish, </w:t>
      </w:r>
      <w:r w:rsidRPr="002D40C1">
        <w:rPr>
          <w:i/>
          <w:szCs w:val="28"/>
        </w:rPr>
        <w:t>Observations</w:t>
      </w:r>
      <w:r w:rsidRPr="002D40C1">
        <w:rPr>
          <w:szCs w:val="28"/>
        </w:rPr>
        <w:t>, 138–54.</w:t>
      </w:r>
    </w:p>
    <w:p w14:paraId="3D7D2D89" w14:textId="77777777" w:rsidR="002D40C1" w:rsidRPr="002D40C1" w:rsidRDefault="002D40C1" w:rsidP="002D40C1">
      <w:pPr>
        <w:pStyle w:val="NoteEntry"/>
      </w:pPr>
      <w:r w:rsidRPr="002D40C1">
        <w:rPr>
          <w:szCs w:val="28"/>
        </w:rPr>
        <w:t xml:space="preserve">12. Cavendish, </w:t>
      </w:r>
      <w:r w:rsidRPr="002D40C1">
        <w:rPr>
          <w:i/>
          <w:szCs w:val="28"/>
        </w:rPr>
        <w:t>Observations</w:t>
      </w:r>
      <w:r w:rsidRPr="002D40C1">
        <w:rPr>
          <w:szCs w:val="28"/>
        </w:rPr>
        <w:t>, 126–38; O’Neill, introduction, xxiii–xxxviii.</w:t>
      </w:r>
    </w:p>
    <w:p w14:paraId="0648B4FE" w14:textId="77777777" w:rsidR="002D40C1" w:rsidRPr="002D40C1" w:rsidRDefault="002D40C1" w:rsidP="002D40C1">
      <w:pPr>
        <w:pStyle w:val="NoteEntry"/>
      </w:pPr>
      <w:r w:rsidRPr="002D40C1">
        <w:rPr>
          <w:szCs w:val="28"/>
        </w:rPr>
        <w:t xml:space="preserve">13. Deborah Boyle, </w:t>
      </w:r>
      <w:r w:rsidRPr="002D40C1">
        <w:rPr>
          <w:i/>
          <w:szCs w:val="28"/>
        </w:rPr>
        <w:t>The Well-Ordered Universe: The Philosophy of Margaret Cavendish</w:t>
      </w:r>
      <w:r w:rsidRPr="002D40C1">
        <w:rPr>
          <w:szCs w:val="28"/>
        </w:rPr>
        <w:t xml:space="preserve"> (New York: Oxford University Press, 2018), 10–39, 62–87.</w:t>
      </w:r>
    </w:p>
    <w:p w14:paraId="2E542E0B" w14:textId="77777777" w:rsidR="002D40C1" w:rsidRPr="002D40C1" w:rsidRDefault="002D40C1" w:rsidP="002D40C1">
      <w:pPr>
        <w:pStyle w:val="NoteEntry"/>
      </w:pPr>
      <w:r w:rsidRPr="002D40C1">
        <w:rPr>
          <w:szCs w:val="28"/>
        </w:rPr>
        <w:t xml:space="preserve">14. Boyle, </w:t>
      </w:r>
      <w:r w:rsidRPr="002D40C1">
        <w:rPr>
          <w:i/>
          <w:szCs w:val="28"/>
        </w:rPr>
        <w:t>Well-Ordered Universe</w:t>
      </w:r>
      <w:r w:rsidRPr="002D40C1">
        <w:rPr>
          <w:szCs w:val="28"/>
        </w:rPr>
        <w:t xml:space="preserve">, 118–88; Sarasohn, </w:t>
      </w:r>
      <w:r w:rsidRPr="002D40C1">
        <w:rPr>
          <w:i/>
          <w:szCs w:val="28"/>
        </w:rPr>
        <w:t>Natural Philosophy of Margaret Cavendish</w:t>
      </w:r>
      <w:r w:rsidRPr="002D40C1">
        <w:rPr>
          <w:szCs w:val="28"/>
        </w:rPr>
        <w:t>, 100–25.</w:t>
      </w:r>
    </w:p>
    <w:p w14:paraId="6E77378E" w14:textId="77777777" w:rsidR="002D40C1" w:rsidRPr="002D40C1" w:rsidRDefault="002D40C1" w:rsidP="002D40C1">
      <w:pPr>
        <w:pStyle w:val="NoteEntry"/>
      </w:pPr>
      <w:r w:rsidRPr="002D40C1">
        <w:rPr>
          <w:szCs w:val="28"/>
        </w:rPr>
        <w:t xml:space="preserve">15. Cavendish, </w:t>
      </w:r>
      <w:r w:rsidRPr="002D40C1">
        <w:rPr>
          <w:i/>
          <w:szCs w:val="28"/>
        </w:rPr>
        <w:t>Observations</w:t>
      </w:r>
      <w:r w:rsidRPr="002D40C1">
        <w:rPr>
          <w:szCs w:val="28"/>
        </w:rPr>
        <w:t xml:space="preserve">, 50–53; Sarasohn, </w:t>
      </w:r>
      <w:r w:rsidRPr="002D40C1">
        <w:rPr>
          <w:i/>
          <w:szCs w:val="28"/>
        </w:rPr>
        <w:t>Natural Philosophy of Margaret Cavendish</w:t>
      </w:r>
      <w:r w:rsidRPr="002D40C1">
        <w:rPr>
          <w:szCs w:val="28"/>
        </w:rPr>
        <w:t>, 149–72.</w:t>
      </w:r>
    </w:p>
    <w:p w14:paraId="6E9B4170" w14:textId="77777777" w:rsidR="002D40C1" w:rsidRPr="002D40C1" w:rsidRDefault="002D40C1" w:rsidP="002D40C1">
      <w:pPr>
        <w:pStyle w:val="NoteEntry"/>
      </w:pPr>
      <w:r w:rsidRPr="002D40C1">
        <w:rPr>
          <w:szCs w:val="28"/>
        </w:rPr>
        <w:t xml:space="preserve">16. Margaret Cavendish, </w:t>
      </w:r>
      <w:r w:rsidRPr="002D40C1">
        <w:rPr>
          <w:i/>
          <w:szCs w:val="28"/>
        </w:rPr>
        <w:t>The Description of a New World, Called The Blazing World</w:t>
      </w:r>
      <w:r w:rsidRPr="002D40C1">
        <w:rPr>
          <w:szCs w:val="28"/>
        </w:rPr>
        <w:t xml:space="preserve">, in </w:t>
      </w:r>
      <w:r w:rsidRPr="002D40C1">
        <w:rPr>
          <w:i/>
          <w:szCs w:val="28"/>
        </w:rPr>
        <w:t>The Blazing World and Other Writings</w:t>
      </w:r>
      <w:r w:rsidRPr="002D40C1">
        <w:rPr>
          <w:szCs w:val="28"/>
        </w:rPr>
        <w:t>, ed. Kate Lilley (London: Penguin, 1992), 127–43.</w:t>
      </w:r>
    </w:p>
    <w:p w14:paraId="552A5375" w14:textId="77777777" w:rsidR="002D40C1" w:rsidRPr="002D40C1" w:rsidRDefault="002D40C1" w:rsidP="002D40C1">
      <w:pPr>
        <w:pStyle w:val="NoteEntry"/>
      </w:pPr>
      <w:r w:rsidRPr="002D40C1">
        <w:rPr>
          <w:szCs w:val="28"/>
        </w:rPr>
        <w:t xml:space="preserve">17. Henry More, </w:t>
      </w:r>
      <w:r w:rsidRPr="002D40C1">
        <w:rPr>
          <w:i/>
          <w:szCs w:val="28"/>
        </w:rPr>
        <w:t>The Immortality of the Soul</w:t>
      </w:r>
      <w:r w:rsidRPr="002D40C1">
        <w:rPr>
          <w:szCs w:val="28"/>
        </w:rPr>
        <w:t xml:space="preserve">, ed. Alexander Jacob (Dordrecht: Martinus Nijhoff, 1987), introduction, xiii–lxxxv; Jasper Reid, </w:t>
      </w:r>
      <w:r w:rsidRPr="002D40C1">
        <w:rPr>
          <w:i/>
          <w:szCs w:val="28"/>
        </w:rPr>
        <w:t>The Metaphysics of Henry More</w:t>
      </w:r>
      <w:r w:rsidRPr="002D40C1">
        <w:rPr>
          <w:szCs w:val="28"/>
        </w:rPr>
        <w:t xml:space="preserve"> (Dordrecht: Springer, 2012), 185–226.</w:t>
      </w:r>
    </w:p>
    <w:p w14:paraId="53D08D63" w14:textId="77777777" w:rsidR="002D40C1" w:rsidRPr="002D40C1" w:rsidRDefault="002D40C1" w:rsidP="002D40C1">
      <w:pPr>
        <w:pStyle w:val="NoteEntry"/>
      </w:pPr>
      <w:r w:rsidRPr="002D40C1">
        <w:rPr>
          <w:szCs w:val="28"/>
        </w:rPr>
        <w:t xml:space="preserve">18. More, </w:t>
      </w:r>
      <w:r w:rsidRPr="002D40C1">
        <w:rPr>
          <w:i/>
          <w:szCs w:val="28"/>
        </w:rPr>
        <w:t>Immortality of the Soul</w:t>
      </w:r>
      <w:r w:rsidRPr="002D40C1">
        <w:rPr>
          <w:szCs w:val="28"/>
        </w:rPr>
        <w:t>, Book III, chapters 12–13, 254–59.</w:t>
      </w:r>
    </w:p>
    <w:p w14:paraId="02CCFFA9" w14:textId="77777777" w:rsidR="002D40C1" w:rsidRPr="002D40C1" w:rsidRDefault="002D40C1" w:rsidP="002D40C1">
      <w:pPr>
        <w:pStyle w:val="NoteEntry"/>
      </w:pPr>
      <w:r w:rsidRPr="002D40C1">
        <w:rPr>
          <w:szCs w:val="28"/>
        </w:rPr>
        <w:t xml:space="preserve">19. Reid, </w:t>
      </w:r>
      <w:r w:rsidRPr="002D40C1">
        <w:rPr>
          <w:i/>
          <w:szCs w:val="28"/>
        </w:rPr>
        <w:t>Metaphysics of Henry More</w:t>
      </w:r>
      <w:r w:rsidRPr="002D40C1">
        <w:rPr>
          <w:szCs w:val="28"/>
        </w:rPr>
        <w:t xml:space="preserve">, 313–44; Hutton, </w:t>
      </w:r>
      <w:r w:rsidRPr="002D40C1">
        <w:rPr>
          <w:i/>
          <w:szCs w:val="28"/>
        </w:rPr>
        <w:t>Anne Conway</w:t>
      </w:r>
      <w:r w:rsidRPr="002D40C1">
        <w:rPr>
          <w:szCs w:val="28"/>
        </w:rPr>
        <w:t>, 1–13.</w:t>
      </w:r>
    </w:p>
    <w:p w14:paraId="0D78B111" w14:textId="77777777" w:rsidR="002D40C1" w:rsidRPr="002D40C1" w:rsidRDefault="002D40C1" w:rsidP="002D40C1">
      <w:pPr>
        <w:pStyle w:val="NoteEntry"/>
      </w:pPr>
      <w:r w:rsidRPr="002D40C1">
        <w:rPr>
          <w:szCs w:val="28"/>
        </w:rPr>
        <w:t xml:space="preserve">20. Reid, </w:t>
      </w:r>
      <w:r w:rsidRPr="002D40C1">
        <w:rPr>
          <w:i/>
          <w:szCs w:val="28"/>
        </w:rPr>
        <w:t>Metaphysics of Henry More</w:t>
      </w:r>
      <w:r w:rsidRPr="002D40C1">
        <w:rPr>
          <w:szCs w:val="28"/>
        </w:rPr>
        <w:t xml:space="preserve">, 91–132; Andrew Janiak, </w:t>
      </w:r>
      <w:r w:rsidRPr="002D40C1">
        <w:rPr>
          <w:i/>
          <w:szCs w:val="28"/>
        </w:rPr>
        <w:t>Newton as Philosopher</w:t>
      </w:r>
      <w:r w:rsidRPr="002D40C1">
        <w:rPr>
          <w:szCs w:val="28"/>
        </w:rPr>
        <w:t xml:space="preserve"> (Cambridge: Cambridge University Press, 2008), 144–80.</w:t>
      </w:r>
    </w:p>
    <w:p w14:paraId="6A2D9545" w14:textId="77777777" w:rsidR="002D40C1" w:rsidRPr="002D40C1" w:rsidRDefault="002D40C1" w:rsidP="002D40C1">
      <w:pPr>
        <w:pStyle w:val="NoteEntry"/>
      </w:pPr>
      <w:r w:rsidRPr="002D40C1">
        <w:rPr>
          <w:szCs w:val="28"/>
        </w:rPr>
        <w:t xml:space="preserve">21. Riskin, </w:t>
      </w:r>
      <w:r w:rsidRPr="002D40C1">
        <w:rPr>
          <w:i/>
          <w:szCs w:val="28"/>
        </w:rPr>
        <w:t>Restless Clock</w:t>
      </w:r>
      <w:r w:rsidRPr="002D40C1">
        <w:rPr>
          <w:szCs w:val="28"/>
        </w:rPr>
        <w:t xml:space="preserve">, 77–112; Boyle, </w:t>
      </w:r>
      <w:r w:rsidRPr="002D40C1">
        <w:rPr>
          <w:i/>
          <w:szCs w:val="28"/>
        </w:rPr>
        <w:t>Well-Ordered Universe</w:t>
      </w:r>
      <w:r w:rsidRPr="002D40C1">
        <w:rPr>
          <w:szCs w:val="28"/>
        </w:rPr>
        <w:t xml:space="preserve">, 62–117; Hutton, </w:t>
      </w:r>
      <w:r w:rsidRPr="002D40C1">
        <w:rPr>
          <w:i/>
          <w:szCs w:val="28"/>
        </w:rPr>
        <w:t>Anne Conway</w:t>
      </w:r>
      <w:r w:rsidRPr="002D40C1">
        <w:rPr>
          <w:szCs w:val="28"/>
        </w:rPr>
        <w:t>, 220–43.</w:t>
      </w:r>
    </w:p>
    <w:p w14:paraId="71C45C78" w14:textId="77777777" w:rsidR="002D40C1" w:rsidRPr="002D40C1" w:rsidRDefault="002D40C1" w:rsidP="002D40C1">
      <w:pPr>
        <w:pStyle w:val="NoteEntry"/>
      </w:pPr>
      <w:r w:rsidRPr="002D40C1">
        <w:rPr>
          <w:szCs w:val="28"/>
        </w:rPr>
        <w:t xml:space="preserve">22. Isaac Newton, </w:t>
      </w:r>
      <w:r w:rsidRPr="002D40C1">
        <w:rPr>
          <w:i/>
          <w:szCs w:val="28"/>
        </w:rPr>
        <w:t>The Mathematical Principles of Natural Philosophy</w:t>
      </w:r>
      <w:r w:rsidRPr="002D40C1">
        <w:rPr>
          <w:szCs w:val="28"/>
        </w:rPr>
        <w:t>, trans. Andrew Motte, rev. Florian Cajori (New York: Daniel Adee, 1846), Book I, Proposition 1, 103–5.</w:t>
      </w:r>
    </w:p>
    <w:p w14:paraId="151C50B9" w14:textId="77777777" w:rsidR="002D40C1" w:rsidRPr="002D40C1" w:rsidRDefault="002D40C1" w:rsidP="002D40C1">
      <w:pPr>
        <w:pStyle w:val="NoteEntry"/>
      </w:pPr>
      <w:r w:rsidRPr="002D40C1">
        <w:rPr>
          <w:szCs w:val="28"/>
        </w:rPr>
        <w:t xml:space="preserve">23. Andrew Janiak, ed., </w:t>
      </w:r>
      <w:r w:rsidRPr="002D40C1">
        <w:rPr>
          <w:i/>
          <w:szCs w:val="28"/>
        </w:rPr>
        <w:t>Isaac Newton: Philosophical Writings</w:t>
      </w:r>
      <w:r w:rsidRPr="002D40C1">
        <w:rPr>
          <w:szCs w:val="28"/>
        </w:rPr>
        <w:t xml:space="preserve"> (Cambridge: Cambridge University Press, 2004), ix–xxxi, 40–93; Janiak, </w:t>
      </w:r>
      <w:r w:rsidRPr="002D40C1">
        <w:rPr>
          <w:i/>
          <w:szCs w:val="28"/>
        </w:rPr>
        <w:t>Newton as Philosopher</w:t>
      </w:r>
      <w:r w:rsidRPr="002D40C1">
        <w:rPr>
          <w:szCs w:val="28"/>
        </w:rPr>
        <w:t>, 1–24, 57–102.</w:t>
      </w:r>
    </w:p>
    <w:p w14:paraId="7A5176AF" w14:textId="77777777" w:rsidR="002D40C1" w:rsidRPr="002D40C1" w:rsidRDefault="002D40C1" w:rsidP="002D40C1">
      <w:pPr>
        <w:pStyle w:val="NoteEntry"/>
      </w:pPr>
      <w:r w:rsidRPr="002D40C1">
        <w:rPr>
          <w:szCs w:val="28"/>
        </w:rPr>
        <w:t xml:space="preserve">24. Newton, </w:t>
      </w:r>
      <w:r w:rsidRPr="002D40C1">
        <w:rPr>
          <w:i/>
          <w:szCs w:val="28"/>
        </w:rPr>
        <w:t>Mathematical Principles</w:t>
      </w:r>
      <w:r w:rsidRPr="002D40C1">
        <w:rPr>
          <w:szCs w:val="28"/>
        </w:rPr>
        <w:t>, Book III, 390–507.</w:t>
      </w:r>
    </w:p>
    <w:p w14:paraId="22432198" w14:textId="77777777" w:rsidR="002D40C1" w:rsidRPr="002D40C1" w:rsidRDefault="002D40C1" w:rsidP="002D40C1">
      <w:pPr>
        <w:pStyle w:val="NoteEntry"/>
      </w:pPr>
      <w:r w:rsidRPr="002D40C1">
        <w:rPr>
          <w:szCs w:val="28"/>
        </w:rPr>
        <w:t xml:space="preserve">25. Newton, </w:t>
      </w:r>
      <w:r w:rsidRPr="002D40C1">
        <w:rPr>
          <w:i/>
          <w:szCs w:val="28"/>
        </w:rPr>
        <w:t>Mathematical Principles</w:t>
      </w:r>
      <w:r w:rsidRPr="002D40C1">
        <w:rPr>
          <w:szCs w:val="28"/>
        </w:rPr>
        <w:t>, General Scholium, 503–7.</w:t>
      </w:r>
    </w:p>
    <w:p w14:paraId="046C8E2D" w14:textId="77777777" w:rsidR="002D40C1" w:rsidRPr="002D40C1" w:rsidRDefault="002D40C1" w:rsidP="002D40C1">
      <w:pPr>
        <w:pStyle w:val="NoteEntry"/>
      </w:pPr>
      <w:r w:rsidRPr="002D40C1">
        <w:rPr>
          <w:szCs w:val="28"/>
        </w:rPr>
        <w:t xml:space="preserve">26. Janiak, </w:t>
      </w:r>
      <w:r w:rsidRPr="002D40C1">
        <w:rPr>
          <w:i/>
          <w:szCs w:val="28"/>
        </w:rPr>
        <w:t>Newton as Philosopher</w:t>
      </w:r>
      <w:r w:rsidRPr="002D40C1">
        <w:rPr>
          <w:szCs w:val="28"/>
        </w:rPr>
        <w:t>, 15–56, 57–143.</w:t>
      </w:r>
    </w:p>
    <w:p w14:paraId="5397128A" w14:textId="77777777" w:rsidR="002D40C1" w:rsidRPr="002D40C1" w:rsidRDefault="002D40C1" w:rsidP="002D40C1">
      <w:pPr>
        <w:pStyle w:val="NoteEntry"/>
      </w:pPr>
      <w:r w:rsidRPr="002D40C1">
        <w:rPr>
          <w:szCs w:val="28"/>
        </w:rPr>
        <w:t xml:space="preserve">27. Newton, </w:t>
      </w:r>
      <w:r w:rsidRPr="002D40C1">
        <w:rPr>
          <w:i/>
          <w:szCs w:val="28"/>
        </w:rPr>
        <w:t>Mathematical Principles</w:t>
      </w:r>
      <w:r w:rsidRPr="002D40C1">
        <w:rPr>
          <w:szCs w:val="28"/>
        </w:rPr>
        <w:t xml:space="preserve">, Scholium to the definitions, 77–85; Newton, </w:t>
      </w:r>
      <w:r w:rsidRPr="002D40C1">
        <w:rPr>
          <w:i/>
          <w:szCs w:val="28"/>
        </w:rPr>
        <w:t>Philosophical Writings</w:t>
      </w:r>
      <w:r w:rsidRPr="002D40C1">
        <w:rPr>
          <w:szCs w:val="28"/>
        </w:rPr>
        <w:t>, 64–70.</w:t>
      </w:r>
    </w:p>
    <w:p w14:paraId="65AF08D4" w14:textId="77777777" w:rsidR="002D40C1" w:rsidRPr="002D40C1" w:rsidRDefault="002D40C1" w:rsidP="002D40C1">
      <w:pPr>
        <w:pStyle w:val="NoteEntry"/>
      </w:pPr>
      <w:r w:rsidRPr="002D40C1">
        <w:rPr>
          <w:szCs w:val="28"/>
        </w:rPr>
        <w:t xml:space="preserve">28. Newton, </w:t>
      </w:r>
      <w:r w:rsidRPr="002D40C1">
        <w:rPr>
          <w:i/>
          <w:szCs w:val="28"/>
        </w:rPr>
        <w:t>Philosophical Writings</w:t>
      </w:r>
      <w:r w:rsidRPr="002D40C1">
        <w:rPr>
          <w:szCs w:val="28"/>
        </w:rPr>
        <w:t xml:space="preserve">, 20–36, 127–38; Janiak, </w:t>
      </w:r>
      <w:r w:rsidRPr="002D40C1">
        <w:rPr>
          <w:i/>
          <w:szCs w:val="28"/>
        </w:rPr>
        <w:t>Newton as Philosopher</w:t>
      </w:r>
      <w:r w:rsidRPr="002D40C1">
        <w:rPr>
          <w:szCs w:val="28"/>
        </w:rPr>
        <w:t>, 144–80.</w:t>
      </w:r>
    </w:p>
    <w:p w14:paraId="06F29EE9" w14:textId="77777777" w:rsidR="002D40C1" w:rsidRPr="002D40C1" w:rsidRDefault="002D40C1" w:rsidP="002D40C1">
      <w:pPr>
        <w:pStyle w:val="NoteEntry"/>
      </w:pPr>
      <w:r w:rsidRPr="002D40C1">
        <w:rPr>
          <w:szCs w:val="28"/>
        </w:rPr>
        <w:t xml:space="preserve">29. Reid, </w:t>
      </w:r>
      <w:r w:rsidRPr="002D40C1">
        <w:rPr>
          <w:i/>
          <w:szCs w:val="28"/>
        </w:rPr>
        <w:t>Metaphysics of Henry More</w:t>
      </w:r>
      <w:r w:rsidRPr="002D40C1">
        <w:rPr>
          <w:szCs w:val="28"/>
        </w:rPr>
        <w:t xml:space="preserve">, 91–145; Janiak, </w:t>
      </w:r>
      <w:r w:rsidRPr="002D40C1">
        <w:rPr>
          <w:i/>
          <w:szCs w:val="28"/>
        </w:rPr>
        <w:t>Newton as Philosopher</w:t>
      </w:r>
      <w:r w:rsidRPr="002D40C1">
        <w:rPr>
          <w:szCs w:val="28"/>
        </w:rPr>
        <w:t>, 144–80.</w:t>
      </w:r>
    </w:p>
    <w:p w14:paraId="24C707B8" w14:textId="77777777" w:rsidR="002D40C1" w:rsidRPr="002D40C1" w:rsidRDefault="002D40C1" w:rsidP="002D40C1">
      <w:pPr>
        <w:pStyle w:val="NoteEntry"/>
      </w:pPr>
      <w:r w:rsidRPr="002D40C1">
        <w:rPr>
          <w:szCs w:val="28"/>
        </w:rPr>
        <w:t xml:space="preserve">30. Isaac Newton, </w:t>
      </w:r>
      <w:r w:rsidRPr="002D40C1">
        <w:rPr>
          <w:i/>
          <w:szCs w:val="28"/>
        </w:rPr>
        <w:t>Opticks: or, A Treatise of the Reflections, Refractions, Inflections and Colours of Light</w:t>
      </w:r>
      <w:r w:rsidRPr="002D40C1">
        <w:rPr>
          <w:szCs w:val="28"/>
        </w:rPr>
        <w:t xml:space="preserve"> (London, 1704), Book I, Part I, propositions and experiments 1–6, and Plate III, fig. 13.</w:t>
      </w:r>
    </w:p>
    <w:p w14:paraId="027FE4BB" w14:textId="77777777" w:rsidR="002D40C1" w:rsidRPr="002D40C1" w:rsidRDefault="002D40C1" w:rsidP="002D40C1">
      <w:pPr>
        <w:pStyle w:val="NoteEntry"/>
      </w:pPr>
      <w:r w:rsidRPr="002D40C1">
        <w:rPr>
          <w:szCs w:val="28"/>
        </w:rPr>
        <w:t xml:space="preserve">31. Newton, “Queries to the </w:t>
      </w:r>
      <w:r w:rsidRPr="002D40C1">
        <w:rPr>
          <w:i/>
          <w:szCs w:val="28"/>
        </w:rPr>
        <w:t>Opticks</w:t>
      </w:r>
      <w:r w:rsidRPr="002D40C1">
        <w:rPr>
          <w:szCs w:val="28"/>
        </w:rPr>
        <w:t xml:space="preserve">,” in </w:t>
      </w:r>
      <w:r w:rsidRPr="002D40C1">
        <w:rPr>
          <w:i/>
          <w:szCs w:val="28"/>
        </w:rPr>
        <w:t>Philosophical Writings</w:t>
      </w:r>
      <w:r w:rsidRPr="002D40C1">
        <w:rPr>
          <w:szCs w:val="28"/>
        </w:rPr>
        <w:t>, 127–38.</w:t>
      </w:r>
    </w:p>
    <w:p w14:paraId="7F7686F6" w14:textId="77777777" w:rsidR="002D40C1" w:rsidRPr="002D40C1" w:rsidRDefault="002D40C1" w:rsidP="002D40C1">
      <w:pPr>
        <w:pStyle w:val="NoteEntry"/>
      </w:pPr>
      <w:r w:rsidRPr="002D40C1">
        <w:rPr>
          <w:szCs w:val="28"/>
        </w:rPr>
        <w:t xml:space="preserve">32. Newton, “Queries to the </w:t>
      </w:r>
      <w:r w:rsidRPr="002D40C1">
        <w:rPr>
          <w:i/>
          <w:szCs w:val="28"/>
        </w:rPr>
        <w:t>Opticks</w:t>
      </w:r>
      <w:r w:rsidRPr="002D40C1">
        <w:rPr>
          <w:szCs w:val="28"/>
        </w:rPr>
        <w:t>,” 136–38.</w:t>
      </w:r>
    </w:p>
    <w:p w14:paraId="012491F2" w14:textId="77777777" w:rsidR="002D40C1" w:rsidRPr="002D40C1" w:rsidRDefault="002D40C1" w:rsidP="002D40C1">
      <w:pPr>
        <w:pStyle w:val="NoteEntry"/>
      </w:pPr>
      <w:r w:rsidRPr="002D40C1">
        <w:rPr>
          <w:szCs w:val="28"/>
        </w:rPr>
        <w:t xml:space="preserve">33. Newton, </w:t>
      </w:r>
      <w:r w:rsidRPr="002D40C1">
        <w:rPr>
          <w:i/>
          <w:szCs w:val="28"/>
        </w:rPr>
        <w:t>Philosophical Writings</w:t>
      </w:r>
      <w:r w:rsidRPr="002D40C1">
        <w:rPr>
          <w:szCs w:val="28"/>
        </w:rPr>
        <w:t xml:space="preserve">, 1–11, 127–38; Janiak, </w:t>
      </w:r>
      <w:r w:rsidRPr="002D40C1">
        <w:rPr>
          <w:i/>
          <w:szCs w:val="28"/>
        </w:rPr>
        <w:t>Newton as Philosopher</w:t>
      </w:r>
      <w:r w:rsidRPr="002D40C1">
        <w:rPr>
          <w:szCs w:val="28"/>
        </w:rPr>
        <w:t>, 57–143.</w:t>
      </w:r>
    </w:p>
    <w:p w14:paraId="72FF9DCB" w14:textId="77777777" w:rsidR="002D40C1" w:rsidRPr="002D40C1" w:rsidRDefault="002D40C1" w:rsidP="002D40C1">
      <w:pPr>
        <w:pStyle w:val="NoteEntry"/>
      </w:pPr>
      <w:r w:rsidRPr="002D40C1">
        <w:rPr>
          <w:szCs w:val="28"/>
        </w:rPr>
        <w:t xml:space="preserve">34. Betty Jo Teeter Dobbs, </w:t>
      </w:r>
      <w:r w:rsidRPr="002D40C1">
        <w:rPr>
          <w:i/>
          <w:szCs w:val="28"/>
        </w:rPr>
        <w:t>The Foundations of Newton’s Alchemy; or, “The Hunting of the Greene Lyon”</w:t>
      </w:r>
      <w:r w:rsidRPr="002D40C1">
        <w:rPr>
          <w:szCs w:val="28"/>
        </w:rPr>
        <w:t xml:space="preserve"> (Cambridge: Cambridge University Press, 1975), 1–14, 139–222.</w:t>
      </w:r>
    </w:p>
    <w:p w14:paraId="53556D62" w14:textId="77777777" w:rsidR="002D40C1" w:rsidRPr="002D40C1" w:rsidRDefault="002D40C1" w:rsidP="002D40C1">
      <w:pPr>
        <w:pStyle w:val="NoteEntry"/>
      </w:pPr>
      <w:r w:rsidRPr="002D40C1">
        <w:rPr>
          <w:szCs w:val="28"/>
        </w:rPr>
        <w:t xml:space="preserve">35. Rob Iliffe, </w:t>
      </w:r>
      <w:r w:rsidRPr="002D40C1">
        <w:rPr>
          <w:i/>
          <w:szCs w:val="28"/>
        </w:rPr>
        <w:t>Priest of Nature: The Religious Worlds of Isaac Newton</w:t>
      </w:r>
      <w:r w:rsidRPr="002D40C1">
        <w:rPr>
          <w:szCs w:val="28"/>
        </w:rPr>
        <w:t xml:space="preserve"> (New York: Oxford University Press, 2017), 3–23, 219–314.</w:t>
      </w:r>
    </w:p>
    <w:p w14:paraId="0F52188E" w14:textId="77777777" w:rsidR="002D40C1" w:rsidRPr="002D40C1" w:rsidRDefault="002D40C1" w:rsidP="002D40C1">
      <w:pPr>
        <w:pStyle w:val="NoteEntry"/>
      </w:pPr>
      <w:r w:rsidRPr="002D40C1">
        <w:rPr>
          <w:szCs w:val="28"/>
        </w:rPr>
        <w:t xml:space="preserve">36. Iliffe, </w:t>
      </w:r>
      <w:r w:rsidRPr="002D40C1">
        <w:rPr>
          <w:i/>
          <w:szCs w:val="28"/>
        </w:rPr>
        <w:t>Priest of Nature</w:t>
      </w:r>
      <w:r w:rsidRPr="002D40C1">
        <w:rPr>
          <w:szCs w:val="28"/>
        </w:rPr>
        <w:t>, 189–218.</w:t>
      </w:r>
    </w:p>
    <w:p w14:paraId="5B84ABCB" w14:textId="77777777" w:rsidR="002D40C1" w:rsidRPr="002D40C1" w:rsidRDefault="002D40C1" w:rsidP="002D40C1">
      <w:pPr>
        <w:pStyle w:val="NoteEntry"/>
      </w:pPr>
      <w:r w:rsidRPr="002D40C1">
        <w:rPr>
          <w:szCs w:val="28"/>
        </w:rPr>
        <w:t xml:space="preserve">37. Iliffe, </w:t>
      </w:r>
      <w:r w:rsidRPr="002D40C1">
        <w:rPr>
          <w:i/>
          <w:szCs w:val="28"/>
        </w:rPr>
        <w:t>Priest of Nature</w:t>
      </w:r>
      <w:r w:rsidRPr="002D40C1">
        <w:rPr>
          <w:szCs w:val="28"/>
        </w:rPr>
        <w:t>, 123–88, 315–89.</w:t>
      </w:r>
    </w:p>
    <w:p w14:paraId="0BBF6B08" w14:textId="77777777" w:rsidR="002D40C1" w:rsidRPr="002D40C1" w:rsidRDefault="002D40C1" w:rsidP="002D40C1">
      <w:pPr>
        <w:pStyle w:val="NoteEntry"/>
      </w:pPr>
      <w:r w:rsidRPr="002D40C1">
        <w:rPr>
          <w:szCs w:val="28"/>
        </w:rPr>
        <w:t xml:space="preserve">38. Newton, </w:t>
      </w:r>
      <w:r w:rsidRPr="002D40C1">
        <w:rPr>
          <w:i/>
          <w:szCs w:val="28"/>
        </w:rPr>
        <w:t>Mathematical Principles</w:t>
      </w:r>
      <w:r w:rsidRPr="002D40C1">
        <w:rPr>
          <w:szCs w:val="28"/>
        </w:rPr>
        <w:t xml:space="preserve">, General Scholium, 503–7; Newton, </w:t>
      </w:r>
      <w:r w:rsidRPr="002D40C1">
        <w:rPr>
          <w:i/>
          <w:szCs w:val="28"/>
        </w:rPr>
        <w:t>Philosophical Writings</w:t>
      </w:r>
      <w:r w:rsidRPr="002D40C1">
        <w:rPr>
          <w:szCs w:val="28"/>
        </w:rPr>
        <w:t>, 127–38.</w:t>
      </w:r>
    </w:p>
    <w:p w14:paraId="4979D50B" w14:textId="77777777" w:rsidR="002D40C1" w:rsidRPr="002D40C1" w:rsidRDefault="002D40C1" w:rsidP="002D40C1">
      <w:pPr>
        <w:pStyle w:val="NoteEntry"/>
      </w:pPr>
      <w:r w:rsidRPr="002D40C1">
        <w:rPr>
          <w:szCs w:val="28"/>
        </w:rPr>
        <w:t xml:space="preserve">39. Janiak, </w:t>
      </w:r>
      <w:r w:rsidRPr="002D40C1">
        <w:rPr>
          <w:i/>
          <w:szCs w:val="28"/>
        </w:rPr>
        <w:t>Newton as Philosopher</w:t>
      </w:r>
      <w:r w:rsidRPr="002D40C1">
        <w:rPr>
          <w:szCs w:val="28"/>
        </w:rPr>
        <w:t>, 1–24, 57–180.</w:t>
      </w:r>
    </w:p>
    <w:p w14:paraId="61EED73E" w14:textId="77777777" w:rsidR="002D40C1" w:rsidRPr="002D40C1" w:rsidRDefault="002D40C1" w:rsidP="002D40C1">
      <w:pPr>
        <w:pStyle w:val="NoteEntry"/>
      </w:pPr>
      <w:r w:rsidRPr="002D40C1">
        <w:rPr>
          <w:szCs w:val="28"/>
        </w:rPr>
        <w:t xml:space="preserve">40. Dobbs, </w:t>
      </w:r>
      <w:r w:rsidRPr="002D40C1">
        <w:rPr>
          <w:i/>
          <w:szCs w:val="28"/>
        </w:rPr>
        <w:t>Foundations of Newton’s Alchemy</w:t>
      </w:r>
      <w:r w:rsidRPr="002D40C1">
        <w:rPr>
          <w:szCs w:val="28"/>
        </w:rPr>
        <w:t xml:space="preserve">, 1–14, 197–221; Iliffe, </w:t>
      </w:r>
      <w:r w:rsidRPr="002D40C1">
        <w:rPr>
          <w:i/>
          <w:szCs w:val="28"/>
        </w:rPr>
        <w:t>Priest of Nature</w:t>
      </w:r>
      <w:r w:rsidRPr="002D40C1">
        <w:rPr>
          <w:szCs w:val="28"/>
        </w:rPr>
        <w:t>, 3–23.</w:t>
      </w:r>
    </w:p>
    <w:p w14:paraId="22C453F8" w14:textId="77777777" w:rsidR="002D40C1" w:rsidRPr="002D40C1" w:rsidRDefault="002D40C1" w:rsidP="002D40C1">
      <w:pPr>
        <w:pStyle w:val="NoteEntry"/>
      </w:pPr>
      <w:r w:rsidRPr="002D40C1">
        <w:rPr>
          <w:szCs w:val="28"/>
        </w:rPr>
        <w:t xml:space="preserve">41. Janiak, introduction to Newton, </w:t>
      </w:r>
      <w:r w:rsidRPr="002D40C1">
        <w:rPr>
          <w:i/>
          <w:szCs w:val="28"/>
        </w:rPr>
        <w:t>Philosophical Writings</w:t>
      </w:r>
      <w:r w:rsidRPr="002D40C1">
        <w:rPr>
          <w:szCs w:val="28"/>
        </w:rPr>
        <w:t xml:space="preserve">, ix–xxxi; Riskin, </w:t>
      </w:r>
      <w:r w:rsidRPr="002D40C1">
        <w:rPr>
          <w:i/>
          <w:szCs w:val="28"/>
        </w:rPr>
        <w:t>Restless Clock</w:t>
      </w:r>
      <w:r w:rsidRPr="002D40C1">
        <w:rPr>
          <w:szCs w:val="28"/>
        </w:rPr>
        <w:t>, 77–112.</w:t>
      </w:r>
    </w:p>
    <w:p w14:paraId="60D620E4" w14:textId="77777777" w:rsidR="002D40C1" w:rsidRPr="002D40C1" w:rsidRDefault="002D40C1" w:rsidP="002D40C1">
      <w:pPr>
        <w:pStyle w:val="NoteEntry"/>
      </w:pPr>
      <w:r w:rsidRPr="002D40C1">
        <w:rPr>
          <w:szCs w:val="28"/>
        </w:rPr>
        <w:t xml:space="preserve">42. Newton, </w:t>
      </w:r>
      <w:r w:rsidRPr="002D40C1">
        <w:rPr>
          <w:i/>
          <w:szCs w:val="28"/>
        </w:rPr>
        <w:t>Opticks</w:t>
      </w:r>
      <w:r w:rsidRPr="002D40C1">
        <w:rPr>
          <w:szCs w:val="28"/>
        </w:rPr>
        <w:t xml:space="preserve">, Book I; Newton, “Queries,” in </w:t>
      </w:r>
      <w:r w:rsidRPr="002D40C1">
        <w:rPr>
          <w:i/>
          <w:szCs w:val="28"/>
        </w:rPr>
        <w:t>Philosophical Writings</w:t>
      </w:r>
      <w:r w:rsidRPr="002D40C1">
        <w:rPr>
          <w:szCs w:val="28"/>
        </w:rPr>
        <w:t>, 127–38. The primary–secondary quality problem becomes the governing field of Chapter 17.</w:t>
      </w:r>
    </w:p>
    <w:p w14:paraId="11B8B5D4" w14:textId="77777777" w:rsidR="00F93551" w:rsidRDefault="00DD7D58">
      <w:pPr>
        <w:pStyle w:val="PartHeading"/>
      </w:pPr>
      <w:bookmarkStart w:id="21" w:name="toc_part_17"/>
      <w:r>
        <w:t>Part V</w:t>
      </w:r>
      <w:r>
        <w:br/>
      </w:r>
      <w:r>
        <w:rPr>
          <w:sz w:val="40"/>
        </w:rPr>
        <w:t>The Exile of Qualities</w:t>
      </w:r>
      <w:bookmarkEnd w:id="21"/>
    </w:p>
    <w:p w14:paraId="7624482D" w14:textId="77777777" w:rsidR="00A04EE8" w:rsidRDefault="003E50B9">
      <w:pPr>
        <w:pStyle w:val="ChapterHeading"/>
      </w:pPr>
      <w:bookmarkStart w:id="22" w:name="toc_chapter_17"/>
      <w:r>
        <w:rPr>
          <w:sz w:val="28"/>
        </w:rPr>
        <w:t>Chapter 17</w:t>
      </w:r>
      <w:r>
        <w:rPr>
          <w:sz w:val="28"/>
        </w:rPr>
        <w:br/>
      </w:r>
      <w:r>
        <w:t>The Exile of Qualities</w:t>
      </w:r>
      <w:bookmarkEnd w:id="22"/>
    </w:p>
    <w:p w14:paraId="68F1CF18" w14:textId="77777777" w:rsidR="00A04EE8" w:rsidRDefault="003E50B9">
      <w:pPr>
        <w:pStyle w:val="BookBody"/>
      </w:pPr>
      <w:r>
        <w:t>Newton's prism stands at a threshold. On one side is the colored world as it appears: a red cloth, a blue shadow, the green of a leaf, the pearly margin of a cloud. On the other is an apparatus that admits a narrow beam, bends it through glass, and distributes it along a measurable interval. The instrument does not make color disappear. It makes color answer to a different kind of question. Instead of asking what red is like, or what it means, it asks where the ray falls, how far it is refracted, and whether another observer can reproduce the result. A quality once taken as a feature of a visible thing becomes an event whose public structure can be specified without reproducing the experience itself.</w:t>
      </w:r>
    </w:p>
    <w:p w14:paraId="1FA2C987" w14:textId="77777777" w:rsidR="00A04EE8" w:rsidRDefault="003E50B9">
      <w:pPr>
        <w:pStyle w:val="BookBody"/>
      </w:pPr>
      <w:r>
        <w:t>That rearrangement was one of the decisive achievements of early modern natural philosophy. It was also an exile. Color, sound, warmth, flavor, odor, beauty, pain, purpose, and value did not cease to exist. They remained among the most immediate and consequential facts of life. But as the object of exact knowledge was rebuilt from figure, motion, number, and law, qualities became more difficult to locate in things themselves. They migrated toward sense organs, nervous systems, habits, judgments, and forms of cognition. The more confidently natural philosophers described a public world, the less confidently they could say that the lived character of that world belonged to objects in the same way as extension or motion.</w:t>
      </w:r>
    </w:p>
    <w:p w14:paraId="4319F28B" w14:textId="77777777" w:rsidR="00A04EE8" w:rsidRDefault="003E50B9">
      <w:pPr>
        <w:pStyle w:val="BookBody"/>
      </w:pPr>
      <w:r>
        <w:t>The history is therefore not a simple victory of reality over illusion. It is a history of jurisdiction: which claims may be attributed to objects, which must be assigned to perceivers, and which require an account of the relation between them. Locke gave this jurisdiction a durable vocabulary. Hume exposed the habits that sustain even the most austere claims about causation. Kant then argued that experience has conditions supplied by the knowing subject, while insisting that those conditions make objective knowledge possible rather than arbitrary. Across these transformations, objectivity expanded by becoming selective. It gained authority over what could be measured, compared, and judged under common rules. It left other dimensions of the real scientifically present but ontologically unsettled.</w:t>
      </w:r>
      <w:r>
        <w:rPr>
          <w:vertAlign w:val="superscript"/>
        </w:rPr>
        <w:t>1</w:t>
      </w:r>
    </w:p>
    <w:p w14:paraId="557AA8AB" w14:textId="77777777" w:rsidR="00A04EE8" w:rsidRDefault="003E50B9">
      <w:pPr>
        <w:pStyle w:val="SectionHeading"/>
      </w:pPr>
      <w:r>
        <w:rPr>
          <w:color w:val="2E74B5"/>
        </w:rPr>
        <w:t>Qualities Relocated, Not Abolished</w:t>
      </w:r>
    </w:p>
    <w:p w14:paraId="5DA590B8" w14:textId="77777777" w:rsidR="00A04EE8" w:rsidRDefault="003E50B9">
      <w:pPr>
        <w:pStyle w:val="BookBody"/>
      </w:pPr>
      <w:r>
        <w:t>The distinction between primary and secondary qualities is often narrated as a purge. Bodies retain extension, solidity, shape, number, and motion; color and sound are expelled as subjective appearances. That formulation is too blunt. It confuses several different questions: how a quality is physically produced, how it is perceived, whether the perception resembles its cause, and whether judgments about the quality can be shared. Locke's account is not that colors are nothing. It is that the color experienced is not a miniature copy of something colored in the corpuscles. The body possesses a power, grounded in the arrangement and motion of its parts, to produce an idea in a suitably constituted perceiver.</w:t>
      </w:r>
      <w:r>
        <w:rPr>
          <w:vertAlign w:val="superscript"/>
        </w:rPr>
        <w:t>2</w:t>
      </w:r>
    </w:p>
    <w:p w14:paraId="33ADD290" w14:textId="77777777" w:rsidR="00A04EE8" w:rsidRDefault="003E50B9">
      <w:pPr>
        <w:pStyle w:val="BookBody"/>
      </w:pPr>
      <w:r>
        <w:t>This is relocation, not annihilation. A violet still differs from a lemon; a coal still warms the hand; opium still produces sleep. The differences are neither imaginary nor voluntary. They arise from real interactions. Yet their manifest character - purple, sour, hot, soporific - cannot be read directly from the geometry of matter. The physical cause and the experienced effect belong to one transaction without being the same kind of item. Locke's distinction creates an explanatory asymmetry inside ordinary experience.</w:t>
      </w:r>
    </w:p>
    <w:p w14:paraId="2E73B17C" w14:textId="77777777" w:rsidR="00A04EE8" w:rsidRDefault="003E50B9">
      <w:pPr>
        <w:pStyle w:val="BookBody"/>
      </w:pPr>
      <w:r>
        <w:t>The asymmetry is powerful because it permits agreement about bodies even when sensations vary. Observers may dispute the exact hue of a surface under changing light, but they can measure its dimensions. They may experience heat differently, but they can compare expansion in a calibrated tube. A public object is stabilized by privileging properties that can survive changes of observer, circumstance, and vocabulary. What varies with the perceiver does not become unimportant. It becomes evidentially dependent.</w:t>
      </w:r>
    </w:p>
    <w:p w14:paraId="276CAD5A" w14:textId="77777777" w:rsidR="00A04EE8" w:rsidRDefault="003E50B9">
      <w:pPr>
        <w:pStyle w:val="BookBody"/>
      </w:pPr>
      <w:r>
        <w:t>The cost appears only when evidential dependence is treated as inferiority in being. Color can be explained through light, surface, eye, and nervous response without becoming unreal. Pain can depend on a body without becoming fictitious. Aesthetic judgment can involve a subject without becoming meaningless. The early modern settlement did not logically require the conclusion that only measurable properties exist. But its institutions, instruments, and successes repeatedly made that conclusion tempting.</w:t>
      </w:r>
    </w:p>
    <w:p w14:paraId="0F431E3B" w14:textId="77777777" w:rsidR="004A6C7A" w:rsidRDefault="007849EA">
      <w:pPr>
        <w:pStyle w:val="SectionHeading"/>
      </w:pPr>
      <w:r>
        <w:rPr>
          <w:rFonts w:cstheme="majorBidi"/>
          <w:bCs/>
          <w:color w:val="2E74B5"/>
          <w:szCs w:val="28"/>
        </w:rPr>
        <w:t>A Table of Colors</w:t>
      </w:r>
    </w:p>
    <w:p w14:paraId="1CEB6A51" w14:textId="77777777" w:rsidR="004A6C7A" w:rsidRDefault="007849EA">
      <w:pPr>
        <w:pStyle w:val="BookBody"/>
      </w:pPr>
      <w:r>
        <w:rPr>
          <w:szCs w:val="28"/>
        </w:rPr>
        <w:t>Richard Waller's 1686 color table appears at first to be a modest artifact: rows of painted circles, handwritten names, Latin and vernacular equivalents, and an ordering that moves through whites, blues, greens, yellows, reds, purples, browns, grays, and blacks. Yet the table attempts something philosophically bold. A sensation that seems inseparable from the present act of seeing is deposited on paper so that absent observers may compare, name, and correct it. Color becomes a witness that can travel.</w:t>
      </w:r>
      <w:r>
        <w:rPr>
          <w:szCs w:val="28"/>
          <w:vertAlign w:val="superscript"/>
        </w:rPr>
        <w:t>8</w:t>
      </w:r>
    </w:p>
    <w:p w14:paraId="0E5A77B3" w14:textId="77777777" w:rsidR="004A6C7A" w:rsidRDefault="007849EA">
      <w:pPr>
        <w:pStyle w:val="BookBody"/>
      </w:pPr>
      <w:r>
        <w:rPr>
          <w:szCs w:val="28"/>
        </w:rPr>
        <w:t>The painted samples do not eliminate perception. They organize it. A reader must look under some illumination, possess a functioning visual system, and learn where one patch ends and another begins. The chart therefore does not turn secondary qualities into primary ones. It constructs a public meeting place between material sample, embodied observer, and linguistic convention. Its authority is relational rather than viewless.</w:t>
      </w:r>
    </w:p>
    <w:p w14:paraId="3FAED270" w14:textId="77777777" w:rsidR="004A6C7A" w:rsidRDefault="007849EA">
      <w:pPr>
        <w:pStyle w:val="BookBody"/>
      </w:pPr>
      <w:r>
        <w:rPr>
          <w:szCs w:val="28"/>
        </w:rPr>
        <w:t>That relation explains both the power and fragility of color standards. Pigments fade, paper yellows, illumination changes, and different hands apply mixtures unevenly. Two surviving copies may no longer present identical hues. The imperfections are not incidental embarrassments. They reveal what standardization requires: chosen materials, controlled comparison, maintenance, and a record of conditions. A standard is not a pure idea but a practice for keeping differences within acceptable bounds.</w:t>
      </w:r>
    </w:p>
    <w:p w14:paraId="30CBE64F" w14:textId="77777777" w:rsidR="004A6C7A" w:rsidRDefault="007849EA">
      <w:pPr>
        <w:pStyle w:val="BookBody"/>
      </w:pPr>
      <w:r>
        <w:rPr>
          <w:szCs w:val="28"/>
        </w:rPr>
        <w:t>Waller's multilingual labels also show that classification does more than attach words to ready-made divisions. Color vocabularies group and separate continua differently. By placing names beside visible samples, the table makes disagreement inspectable. One can ask whether two names designate one range, whether a sample belongs nearer blue or green, and whether a mixed color deserves an independent term. The chart converts a private impression into a negotiable public object without pretending that negotiation has disappeared.</w:t>
      </w:r>
    </w:p>
    <w:p w14:paraId="194F3374" w14:textId="77777777" w:rsidR="004A6C7A" w:rsidRDefault="007849EA">
      <w:pPr>
        <w:pStyle w:val="BookBody"/>
      </w:pPr>
      <w:r>
        <w:rPr>
          <w:szCs w:val="28"/>
        </w:rPr>
        <w:t>This is the epistemic transformation at the center of the chapter. Qualities are not simply expelled from reality; they are redistributed among causal powers, perceptual events, samples, languages, and practices of comparison. The modern object becomes more stable as the relations producing appearance are specified. But the stability is purchased by dividing what an older language could name at once: the colored thing, the experienced color, the physical cause, and the shared name.</w:t>
      </w:r>
    </w:p>
    <w:p w14:paraId="0E7598F3" w14:textId="77777777" w:rsidR="00A04EE8" w:rsidRDefault="003E50B9">
      <w:pPr>
        <w:pStyle w:val="SectionHeading"/>
      </w:pPr>
      <w:r>
        <w:rPr>
          <w:color w:val="2E74B5"/>
        </w:rPr>
        <w:t>Locke's Powers</w:t>
      </w:r>
    </w:p>
    <w:p w14:paraId="50795168" w14:textId="77777777" w:rsidR="00A04EE8" w:rsidRDefault="003E50B9">
      <w:pPr>
        <w:pStyle w:val="BookBody"/>
      </w:pPr>
      <w:r>
        <w:t xml:space="preserve">In Book II of the </w:t>
      </w:r>
      <w:r>
        <w:rPr>
          <w:i/>
        </w:rPr>
        <w:t>Essay Concerning Human Understanding</w:t>
      </w:r>
      <w:r>
        <w:t>, Locke begins with ideas. The mind does not inspect the inner substance of things; it receives and combines the materials supplied by sensation and reflection. When he turns to qualities, he defines them as powers in objects to produce ideas in us. Some qualities are inseparable from bodies under every division: solidity, extension, figure, motion or rest, and number. Others are powers arising from the texture and motion of imperceptible parts: colors, sounds, tastes, smells, and sensible temperatures.</w:t>
      </w:r>
      <w:r>
        <w:rPr>
          <w:vertAlign w:val="superscript"/>
        </w:rPr>
        <w:t>3</w:t>
      </w:r>
    </w:p>
    <w:p w14:paraId="5934E649" w14:textId="77777777" w:rsidR="00A04EE8" w:rsidRDefault="003E50B9">
      <w:pPr>
        <w:pStyle w:val="BookBody"/>
      </w:pPr>
      <w:r>
        <w:t xml:space="preserve">The word </w:t>
      </w:r>
      <w:r>
        <w:rPr>
          <w:i/>
        </w:rPr>
        <w:t>power</w:t>
      </w:r>
      <w:r>
        <w:t xml:space="preserve"> matters. It prevents the relation between object and perceiver from collapsing into either naive resemblance or private fantasy. The redness of an apple is not a red film hidden among its corpuscles. Neither is it a free creation of the observer. The apple reflects and modifies light because of its material constitution; the eye and mind respond in a characteristic way. Color is relationally real. It belongs to an ordered capacity for producing effects.</w:t>
      </w:r>
    </w:p>
    <w:p w14:paraId="5D7360C0" w14:textId="77777777" w:rsidR="00A04EE8" w:rsidRDefault="003E50B9">
      <w:pPr>
        <w:pStyle w:val="BookBody"/>
      </w:pPr>
      <w:r>
        <w:t>Locke dramatizes the point with familiar cases. Pound an almond and its clear color becomes dirty, its sweet taste oily. Add water and the qualities shift again. The almond's minute parts have been rearranged, and with that rearrangement its powers change. Place one hand in cold water and the other in hot, then move both into lukewarm water: the same water can feel warm to one hand and cool to the other. The contradiction lies not in the water but in treating sensations as simple replicas of an intrinsic thermal quality.</w:t>
      </w:r>
      <w:r>
        <w:rPr>
          <w:vertAlign w:val="superscript"/>
        </w:rPr>
        <w:t>4</w:t>
      </w:r>
    </w:p>
    <w:p w14:paraId="2E53849C" w14:textId="77777777" w:rsidR="00A04EE8" w:rsidRDefault="003E50B9">
      <w:pPr>
        <w:pStyle w:val="BookBody"/>
      </w:pPr>
      <w:r>
        <w:t>Such examples do not isolate the mind from nature. They multiply the connections that an explanation must trace. The manifest world becomes the surface expression of interactions among imperceptible structures, transmitted motions, organs, and ideas. This account made corpuscular natural philosophy epistemically attractive even where corpuscles could not yet be seen. It promised to explain variability without surrendering order.</w:t>
      </w:r>
    </w:p>
    <w:p w14:paraId="55132CDD" w14:textId="77777777" w:rsidR="00A04EE8" w:rsidRDefault="003E50B9">
      <w:pPr>
        <w:pStyle w:val="BookBody"/>
      </w:pPr>
      <w:r>
        <w:t>Locke also complicates the distinction he has made. The so-called primary qualities produce ideas too, and access to them is also perceptual. A round object appears oval from an angle; a distant tower looks small. Primary qualities are not simply those encountered without mediation. They are those whose ideas are taken to resemble stable features required by the mechanical account of matter. The distinction is therefore at once metaphysical and methodological. It identifies what bodies must possess for corpuscular explanation to work and what observers can most reliably compare across changing conditions.</w:t>
      </w:r>
      <w:r>
        <w:rPr>
          <w:vertAlign w:val="superscript"/>
        </w:rPr>
        <w:t>5</w:t>
      </w:r>
    </w:p>
    <w:p w14:paraId="5BACEC1B" w14:textId="77777777" w:rsidR="00A04EE8" w:rsidRDefault="003E50B9">
      <w:pPr>
        <w:pStyle w:val="SectionHeading"/>
      </w:pPr>
      <w:r>
        <w:rPr>
          <w:color w:val="2E74B5"/>
        </w:rPr>
        <w:t>The Corpuscular Image</w:t>
      </w:r>
    </w:p>
    <w:p w14:paraId="13EAAF23" w14:textId="77777777" w:rsidR="00A04EE8" w:rsidRDefault="003E50B9">
      <w:pPr>
        <w:pStyle w:val="BookBody"/>
      </w:pPr>
      <w:r>
        <w:t>Locke's natural philosophy grew within the world of Boyle. Boyle's corpuscularianism offered a disciplined way to speak about hidden structure without claiming a complete mechanical system. Bodies consisted of matter in motion, diversified by size, shape, texture, and arrangement. Their sensible qualities followed from how these configurations acted on other bodies and on the organs of perception. Explanations should descend from occult labels - a stone falls because it has gravity, opium sleeps because it has a dormitive virtue - toward intelligible dispositions of parts.</w:t>
      </w:r>
      <w:r>
        <w:rPr>
          <w:vertAlign w:val="superscript"/>
        </w:rPr>
        <w:t>6</w:t>
      </w:r>
    </w:p>
    <w:p w14:paraId="2D4D97B3" w14:textId="77777777" w:rsidR="00A04EE8" w:rsidRDefault="003E50B9">
      <w:pPr>
        <w:pStyle w:val="BookBody"/>
      </w:pPr>
      <w:r>
        <w:t>Yet the corpuscular image was an image before it was an observation. Its legitimacy rested on analogies, experiments, explanatory reach, and the hope that microscopes and chemical operations would expose deeper textures. That is why Locke could adopt Boyle's account while remaining modest about substance. We know nominal essences assembled from observable qualities; we do not ordinarily grasp the real constitutions that produce them. Gold is identified through color, weight, fusibility, malleability, and other tested features, even though its minute constitution remains hidden.</w:t>
      </w:r>
      <w:r>
        <w:rPr>
          <w:vertAlign w:val="superscript"/>
        </w:rPr>
        <w:t>7</w:t>
      </w:r>
    </w:p>
    <w:p w14:paraId="14C17A88" w14:textId="77777777" w:rsidR="00A04EE8" w:rsidRDefault="003E50B9">
      <w:pPr>
        <w:pStyle w:val="BookBody"/>
      </w:pPr>
      <w:r>
        <w:t>This modesty matters for the exile of qualities. The mechanical philosophy did not immediately replace a richly qualitative world with a fully known quantitative one. It replaced confidence in manifest qualities with confidence in a program. The program said that stable differences would ultimately be explained by structures beneath appearance. Sensible qualities remained indispensable for classification, experiment, craft, medicine, and daily life. They were demoted as ultimate explanations while retained as signs.</w:t>
      </w:r>
    </w:p>
    <w:p w14:paraId="5D867857" w14:textId="77777777" w:rsidR="00A04EE8" w:rsidRDefault="003E50B9">
      <w:pPr>
        <w:pStyle w:val="BookBody"/>
      </w:pPr>
      <w:r>
        <w:t>The resulting object had two faces. To sense, it offered color, texture, weight, taste, and resistance. To theory, it was a configuration of imperceptible parts. Natural philosophy increasingly treated the second face as the causal truth of the first. The relation was fruitful but never transparent. It required rules for moving from appearances to hidden causes and for deciding which appearances deserved trust.</w:t>
      </w:r>
    </w:p>
    <w:p w14:paraId="0AC37FA5" w14:textId="77777777" w:rsidR="00A04EE8" w:rsidRDefault="003E50B9">
      <w:pPr>
        <w:pStyle w:val="SectionHeading"/>
      </w:pPr>
      <w:r>
        <w:rPr>
          <w:color w:val="2E74B5"/>
        </w:rPr>
        <w:t>Color Made Comparable</w:t>
      </w:r>
    </w:p>
    <w:p w14:paraId="09048ED9" w14:textId="77777777" w:rsidR="00A04EE8" w:rsidRDefault="003E50B9">
      <w:pPr>
        <w:pStyle w:val="BookBody"/>
      </w:pPr>
      <w:r>
        <w:t xml:space="preserve">Richard Waller's 1686 </w:t>
      </w:r>
      <w:r>
        <w:rPr>
          <w:i/>
        </w:rPr>
        <w:t>Catalogue of Simple and Mixt Colours</w:t>
      </w:r>
      <w:r>
        <w:t xml:space="preserve"> is a material witness to this intermediate world. It is not a Newtonian spectrum, nor a modern color space. It is a hand-painted table whose named samples are arranged for comparison. Latin, English, and Greek terms coexist beside circles of pigment. Whites, yellows, greens, blues, reds, purples, browns, grays, and blacks occupy ordered cells. The chart attempts to make a notoriously unstable quality portable.</w:t>
      </w:r>
      <w:r>
        <w:rPr>
          <w:vertAlign w:val="superscript"/>
        </w:rPr>
        <w:t>8</w:t>
      </w:r>
    </w:p>
    <w:p w14:paraId="0EE8CD43" w14:textId="77777777" w:rsidR="00A04EE8" w:rsidRDefault="003E50B9">
      <w:pPr>
        <w:pStyle w:val="FigureImage"/>
      </w:pPr>
      <w:r>
        <w:rPr>
          <w:noProof/>
        </w:rPr>
        <w:drawing>
          <wp:inline distT="0" distB="0" distL="0" distR="0" wp14:anchorId="019726A2" wp14:editId="1EB1C4F5">
            <wp:extent cx="5806440" cy="3654831"/>
            <wp:effectExtent l="0" t="0" r="0" b="0"/>
            <wp:docPr id="1866470652" name="Picture 1866470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ller.jpg"/>
                    <pic:cNvPicPr/>
                  </pic:nvPicPr>
                  <pic:blipFill>
                    <a:blip r:embed="rId23"/>
                    <a:stretch>
                      <a:fillRect/>
                    </a:stretch>
                  </pic:blipFill>
                  <pic:spPr>
                    <a:xfrm>
                      <a:off x="0" y="0"/>
                      <a:ext cx="5806440" cy="3654831"/>
                    </a:xfrm>
                    <a:prstGeom prst="rect">
                      <a:avLst/>
                    </a:prstGeom>
                  </pic:spPr>
                </pic:pic>
              </a:graphicData>
            </a:graphic>
          </wp:inline>
        </w:drawing>
      </w:r>
    </w:p>
    <w:p w14:paraId="1417402F" w14:textId="77777777" w:rsidR="00A04EE8" w:rsidRDefault="003E50B9">
      <w:pPr>
        <w:pStyle w:val="FigureCaption"/>
      </w:pPr>
      <w:r>
        <w:t>Figure 17.1. Richard Waller, A Catalogue of Simple and Mixt Colours (1686), a hand-painted table prepared for the Royal Society. The chart makes named colors comparable without reducing them to a single numerical scale. Working high-resolution facsimile; final repository credit and reproduction terms to be verified.</w:t>
      </w:r>
    </w:p>
    <w:p w14:paraId="5B06116E" w14:textId="77777777" w:rsidR="00A04EE8" w:rsidRDefault="003E50B9">
      <w:pPr>
        <w:pStyle w:val="BookBody"/>
      </w:pPr>
      <w:r>
        <w:t>The difficulty is visible in the object. A color standard made from pigment ages, fades, stains, and changes under illumination. Copies produced by hand differ. Names shift among trades and languages. The table's materiality refuses the fantasy that comparison can occur without conditions. Yet it also shows why comparison mattered. A shared sample could discipline description more effectively than a word alone. One observer's "sea green" could be checked against another's by pointing to a prepared patch.</w:t>
      </w:r>
    </w:p>
    <w:p w14:paraId="12D7984F" w14:textId="77777777" w:rsidR="00A04EE8" w:rsidRDefault="003E50B9">
      <w:pPr>
        <w:pStyle w:val="BookBody"/>
      </w:pPr>
      <w:r>
        <w:t>Waller's chart thus occupies the space between quality and quantity. It does not transform each hue into coordinates. It builds a public order through adjacency, naming, and exemplars. The table makes sensory judgment less private by giving observers a common artifact. It acknowledges variation while constraining it.</w:t>
      </w:r>
    </w:p>
    <w:p w14:paraId="73FABF06" w14:textId="77777777" w:rsidR="00A04EE8" w:rsidRDefault="003E50B9">
      <w:pPr>
        <w:pStyle w:val="BookBody"/>
      </w:pPr>
      <w:r>
        <w:t>Newton's optics pushed further. The prism linked spectral color to refrangibility, producing an ordered relation between position and ray. But even Newton did not eliminate the perceiver. Light rays were not themselves colored in the way objects appear colored. They had dispositions to excite sensations. The spectrum coordinated physical difference and perceptual response without making them identical.</w:t>
      </w:r>
      <w:r>
        <w:rPr>
          <w:vertAlign w:val="superscript"/>
        </w:rPr>
        <w:t>9</w:t>
      </w:r>
    </w:p>
    <w:p w14:paraId="757F4F73" w14:textId="77777777" w:rsidR="00A04EE8" w:rsidRDefault="003E50B9">
      <w:pPr>
        <w:pStyle w:val="BookBody"/>
      </w:pPr>
      <w:r>
        <w:t>This distinction is easily lost when the history is viewed backward through modern instrumentation. A wavelength is not a sensation, though wavelength strongly structures color experience. A pigment formula is not a hue as seen, though it helps reproduce one. Color science advances by establishing lawful relations across heterogeneous domains: radiation, surface, eye, nervous system, illumination, language, and judgment. The quality survives precisely as the problem that requires these domains to be connected.</w:t>
      </w:r>
    </w:p>
    <w:p w14:paraId="3017DBCD" w14:textId="77777777" w:rsidR="004A6C7A" w:rsidRDefault="007849EA">
      <w:pPr>
        <w:pStyle w:val="SectionHeading"/>
      </w:pPr>
      <w:r>
        <w:rPr>
          <w:rFonts w:cstheme="majorBidi"/>
          <w:bCs/>
          <w:color w:val="2E74B5"/>
          <w:szCs w:val="28"/>
        </w:rPr>
        <w:t>The Graduated World</w:t>
      </w:r>
    </w:p>
    <w:p w14:paraId="1E58060A" w14:textId="77777777" w:rsidR="004A6C7A" w:rsidRDefault="007849EA">
      <w:pPr>
        <w:pStyle w:val="BookBody"/>
      </w:pPr>
      <w:r>
        <w:rPr>
          <w:szCs w:val="28"/>
        </w:rPr>
        <w:t>A graduated thermometer makes the same transformation along a vertical line. Warmth that had been judged by skin, season, bodily comfort, or the behavior of materials becomes the position of a column against numbered intervals. The instrument does not merely report more carefully what the hand already knows. It defines a repeatable operation and produces a quantity that can be copied into a ledger, compared across days, and carried into a table of climate.</w:t>
      </w:r>
    </w:p>
    <w:p w14:paraId="31EC7ACF" w14:textId="77777777" w:rsidR="004A6C7A" w:rsidRDefault="007849EA">
      <w:pPr>
        <w:pStyle w:val="BookBody"/>
      </w:pPr>
      <w:r>
        <w:rPr>
          <w:szCs w:val="28"/>
        </w:rPr>
        <w:t>The scale is an achievement of abstraction. It must select fixed points, divide the interval, control the glass bore, choose a responsive substance, and specify how the eye should read the meniscus. Each choice removes local ambiguity while introducing a convention. Fahrenheit, Celsius, and other scales can register the same thermal state with different numbers because the physical regularity and the coordinate system are not identical. The fact that conversion is possible is evidence of objectivity, not proof that convention is unreal.</w:t>
      </w:r>
    </w:p>
    <w:p w14:paraId="5830347C" w14:textId="77777777" w:rsidR="004A6C7A" w:rsidRDefault="007849EA">
      <w:pPr>
        <w:pStyle w:val="BookBody"/>
      </w:pPr>
      <w:r>
        <w:rPr>
          <w:szCs w:val="28"/>
        </w:rPr>
        <w:t>Calibration therefore joins artifact to community. An instrument is not trustworthy because brass and glass are morally neutral. It is trustworthy when its response has been compared with standards, its errors characterized, and its use taught. The user must wait for equilibrium, avoid parallax, protect the instrument, and record circumstances. Disciplined subjectivity is built into the production of an impersonal reading.</w:t>
      </w:r>
    </w:p>
    <w:p w14:paraId="4C5A585B" w14:textId="77777777" w:rsidR="004A6C7A" w:rsidRDefault="007849EA">
      <w:pPr>
        <w:pStyle w:val="BookBody"/>
      </w:pPr>
      <w:r>
        <w:rPr>
          <w:szCs w:val="28"/>
        </w:rPr>
        <w:t>The standard rule performs a related work on space. A body, board, field, or meridian is translated into repeated units whose meaning does not depend on the span of a particular hand or the stride of a particular surveyor. This emancipation from local bodies enables engineering, taxation, trade, and science to coordinate across distance. It also gives institutions new power to override customary measures embedded in communities and crafts.</w:t>
      </w:r>
    </w:p>
    <w:p w14:paraId="40FC76B2" w14:textId="77777777" w:rsidR="004A6C7A" w:rsidRDefault="007849EA">
      <w:pPr>
        <w:pStyle w:val="BookBody"/>
      </w:pPr>
      <w:r>
        <w:rPr>
          <w:szCs w:val="28"/>
        </w:rPr>
        <w:t>Objectivity thus expands by producing equivalence. Distinct observers can treat their readings as instances of one quantity; distant places can enter one comparison; qualities become data when the procedure specifying them is stable. The process is never purely intellectual. It requires workshops, instruments, reference artifacts, inspectors, and political decisions about which unit will govern. What appears as the neutrality of number rests on a material and social architecture that must continually be maintained.</w:t>
      </w:r>
      <w:r>
        <w:rPr>
          <w:szCs w:val="28"/>
          <w:vertAlign w:val="superscript"/>
        </w:rPr>
        <w:t>11</w:t>
      </w:r>
    </w:p>
    <w:p w14:paraId="30626A20" w14:textId="77777777" w:rsidR="00A04EE8" w:rsidRDefault="003E50B9">
      <w:pPr>
        <w:pStyle w:val="SectionHeading"/>
      </w:pPr>
      <w:r>
        <w:rPr>
          <w:color w:val="2E74B5"/>
        </w:rPr>
        <w:t>Calibration and the Public World</w:t>
      </w:r>
    </w:p>
    <w:p w14:paraId="4A8E10D6" w14:textId="77777777" w:rsidR="00A04EE8" w:rsidRDefault="003E50B9">
      <w:pPr>
        <w:pStyle w:val="BookBody"/>
      </w:pPr>
      <w:r>
        <w:t>What color charts attempted through samples, thermometers attempted through graduated response. Heat presents itself as a quality: warmth on the skin, burning pain, the oppressive weight of humid air. A thermometer does not feel warmer or colder. Its material expands or contracts under specified conditions, and that change is compared with a marked scale. The instrument converts a variable sensation into a public indication.</w:t>
      </w:r>
      <w:r>
        <w:rPr>
          <w:vertAlign w:val="superscript"/>
        </w:rPr>
        <w:t>10</w:t>
      </w:r>
    </w:p>
    <w:p w14:paraId="4728B8F5" w14:textId="77777777" w:rsidR="00A04EE8" w:rsidRDefault="003E50B9">
      <w:pPr>
        <w:pStyle w:val="FigureImage"/>
      </w:pPr>
      <w:r>
        <w:rPr>
          <w:noProof/>
        </w:rPr>
        <w:drawing>
          <wp:inline distT="0" distB="0" distL="0" distR="0" wp14:anchorId="24DDB603" wp14:editId="689C493F">
            <wp:extent cx="4160520" cy="5162003"/>
            <wp:effectExtent l="0" t="0" r="0" b="0"/>
            <wp:docPr id="1866470653" name="Picture 1866470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rmometer.jpg"/>
                    <pic:cNvPicPr/>
                  </pic:nvPicPr>
                  <pic:blipFill>
                    <a:blip r:embed="rId24"/>
                    <a:stretch>
                      <a:fillRect/>
                    </a:stretch>
                  </pic:blipFill>
                  <pic:spPr>
                    <a:xfrm>
                      <a:off x="0" y="0"/>
                      <a:ext cx="4160520" cy="5162003"/>
                    </a:xfrm>
                    <a:prstGeom prst="rect">
                      <a:avLst/>
                    </a:prstGeom>
                  </pic:spPr>
                </pic:pic>
              </a:graphicData>
            </a:graphic>
          </wp:inline>
        </w:drawing>
      </w:r>
    </w:p>
    <w:p w14:paraId="004C7955" w14:textId="77777777" w:rsidR="00A04EE8" w:rsidRDefault="003E50B9">
      <w:pPr>
        <w:pStyle w:val="FigureCaption"/>
      </w:pPr>
      <w:r>
        <w:t>Figure 17.2. A clearly graduated early modern thermometer, showing the visual discipline of a fixed scale. Calibration made temperature readings comparable across observers and places even though thermal sensation remained bodily and variable. Working image supplied for composition; the object's precise date, maker, repository, and reproduction terms should be verified before publication.</w:t>
      </w:r>
    </w:p>
    <w:p w14:paraId="10D75BB1" w14:textId="77777777" w:rsidR="00A04EE8" w:rsidRDefault="003E50B9">
      <w:pPr>
        <w:pStyle w:val="BookBody"/>
      </w:pPr>
      <w:r>
        <w:t>The conversion depends on an entire practical order. The substance in the tube must behave regularly. Fixed points must be selected and reproduced. The scale must be divided. The instrument must be placed, read, transported, and corrected. Different instruments must be compared against one another. Calibration is therefore not the discovery of a number already printed inside nature. It is the construction of a reliable relation between physical process and inscription.</w:t>
      </w:r>
    </w:p>
    <w:p w14:paraId="30E5566B" w14:textId="77777777" w:rsidR="00A04EE8" w:rsidRDefault="003E50B9">
      <w:pPr>
        <w:pStyle w:val="BookBody"/>
      </w:pPr>
      <w:r>
        <w:t>Once stabilized, that relation can travel. Temperature observations made by people with different sensitivities can enter a shared table. Readings from different days and places can be averaged. Instruments make phenomena commensurable by narrowing the circumstances under which a report counts. "It feels cold" remains intelligible, but "the thermometer reads 5 degrees on this scale" enters a different evidentiary economy.</w:t>
      </w:r>
    </w:p>
    <w:p w14:paraId="693102CB" w14:textId="77777777" w:rsidR="00A04EE8" w:rsidRDefault="003E50B9">
      <w:pPr>
        <w:pStyle w:val="BookBody"/>
      </w:pPr>
      <w:r>
        <w:t>The new economy does not remove judgment. Someone still decides where the column ends, whether the instrument is faulty, whether the exposure was proper, whether the scale is comparable, and whether an anomalous reading should be retained. Standardization relocates judgment from the unregulated report toward the controlled procedure. The public world is not judgment-free. It is a world in which judgment is trained, distributed, and made answerable to rules.</w:t>
      </w:r>
      <w:r>
        <w:rPr>
          <w:vertAlign w:val="superscript"/>
        </w:rPr>
        <w:t>11</w:t>
      </w:r>
    </w:p>
    <w:p w14:paraId="18451372" w14:textId="77777777" w:rsidR="00A04EE8" w:rsidRDefault="003E50B9">
      <w:pPr>
        <w:pStyle w:val="SectionHeading"/>
      </w:pPr>
      <w:r>
        <w:rPr>
          <w:color w:val="2E74B5"/>
        </w:rPr>
        <w:t>The Modern Fact</w:t>
      </w:r>
    </w:p>
    <w:p w14:paraId="2D07ACE5" w14:textId="77777777" w:rsidR="00A04EE8" w:rsidRDefault="003E50B9">
      <w:pPr>
        <w:pStyle w:val="BookBody"/>
      </w:pPr>
      <w:r>
        <w:t xml:space="preserve">The word </w:t>
      </w:r>
      <w:r>
        <w:rPr>
          <w:i/>
        </w:rPr>
        <w:t>fact</w:t>
      </w:r>
      <w:r>
        <w:t xml:space="preserve"> acquired authority within this same transformation. A fact came to appear as a modest unit of knowledge, stripped of speculative excess and available to any competent witness. Yet facts were not found in isolation. They were produced through genres, institutions, tables, instruments, bookkeeping practices, and conventions of testimony. The more a report effaced the peculiarities of its maker, the more objective it appeared.</w:t>
      </w:r>
      <w:r>
        <w:rPr>
          <w:vertAlign w:val="superscript"/>
        </w:rPr>
        <w:t>12</w:t>
      </w:r>
    </w:p>
    <w:p w14:paraId="1A8094AD" w14:textId="77777777" w:rsidR="00A04EE8" w:rsidRDefault="003E50B9">
      <w:pPr>
        <w:pStyle w:val="BookBody"/>
      </w:pPr>
      <w:r>
        <w:t>This ideal had social as well as philosophical conditions. Learned societies cultivated forms of credible witnessing. Printed transactions multiplied access. Numerical tables detached observations from the narrative of their acquisition. Bureaucracies and commercial institutions learned to aggregate particulars. The fact became powerful because it could circulate without carrying the whole person of the observer with it.</w:t>
      </w:r>
    </w:p>
    <w:p w14:paraId="51D46F43" w14:textId="77777777" w:rsidR="00A04EE8" w:rsidRDefault="003E50B9">
      <w:pPr>
        <w:pStyle w:val="BookBody"/>
      </w:pPr>
      <w:r>
        <w:t>Qualities posed a special challenge to this circulation. A color sample might travel, but its appearance could change. A report of pain could be sincere but not independently reproduced. An aesthetic response might be communicable without being measurable. The public authority of knowledge therefore grew around claims that could be made invariant under controlled changes of subject.</w:t>
      </w:r>
    </w:p>
    <w:p w14:paraId="5DBD42F1" w14:textId="77777777" w:rsidR="00A04EE8" w:rsidRDefault="003E50B9">
      <w:pPr>
        <w:pStyle w:val="BookBody"/>
      </w:pPr>
      <w:r>
        <w:t>Mary Poovey has shown that descriptive particulars and systematic knowledge developed together rather than as enemies. Numbers acquired a special rhetorical force because they seemed to record without interpreting. But a numerical fact always depended on classifications, units, and purposes that the number itself did not disclose.</w:t>
      </w:r>
      <w:r>
        <w:rPr>
          <w:vertAlign w:val="superscript"/>
        </w:rPr>
        <w:t>13</w:t>
      </w:r>
      <w:r>
        <w:t xml:space="preserve"> The exile of qualities was partly produced by this rhetoric. What could be counted looked independent; what depended visibly on judgment looked suspect.</w:t>
      </w:r>
    </w:p>
    <w:p w14:paraId="40BDFD14" w14:textId="77777777" w:rsidR="00A04EE8" w:rsidRDefault="003E50B9">
      <w:pPr>
        <w:pStyle w:val="SectionHeading"/>
      </w:pPr>
      <w:r>
        <w:rPr>
          <w:color w:val="2E74B5"/>
        </w:rPr>
        <w:t>Hume's Missing Connection</w:t>
      </w:r>
    </w:p>
    <w:p w14:paraId="53A2C6D3" w14:textId="77777777" w:rsidR="00A04EE8" w:rsidRDefault="003E50B9">
      <w:pPr>
        <w:pStyle w:val="BookBody"/>
      </w:pPr>
      <w:r>
        <w:t>Hume turns the pressure inward. Suppose the world has been purified into measurable events. What authorizes the move from one event to another? We see one billiard ball strike a second and the second move. We observe flame followed by heat, food by nourishment, unsupported bodies by falling. We do not perceive a necessary connection binding cause to effect. We perceive succession, contiguity, and repeated conjunction.</w:t>
      </w:r>
      <w:r>
        <w:rPr>
          <w:vertAlign w:val="superscript"/>
        </w:rPr>
        <w:t>14</w:t>
      </w:r>
    </w:p>
    <w:p w14:paraId="26B26F56" w14:textId="77777777" w:rsidR="00A04EE8" w:rsidRDefault="003E50B9">
      <w:pPr>
        <w:pStyle w:val="BookBody"/>
      </w:pPr>
      <w:r>
        <w:t>The problem is not that causal reasoning fails in practice. It is that reason cannot justify its own projection from observed cases to unobserved ones without assuming the regularity it seeks to prove. No contradiction is involved in imagining that bread will cease to nourish or that the sun will not rise. Demonstrative reasoning cannot establish matters of fact; probable reasoning already depends on experience. The inference from past to future cannot be grounded by a further inference without circularity.</w:t>
      </w:r>
      <w:r>
        <w:rPr>
          <w:vertAlign w:val="superscript"/>
        </w:rPr>
        <w:t>15</w:t>
      </w:r>
    </w:p>
    <w:p w14:paraId="2665F230" w14:textId="77777777" w:rsidR="00A04EE8" w:rsidRDefault="003E50B9">
      <w:pPr>
        <w:pStyle w:val="BookBody"/>
      </w:pPr>
      <w:r>
        <w:t>Hume's skepticism is therefore diagnostic. It exposes an unacknowledged operation within empirical knowledge. Exact measurements can accumulate indefinitely, yet no measurement alone contains the necessity that licenses prediction. A table records what has occurred. It does not command nature to repeat itself.</w:t>
      </w:r>
    </w:p>
    <w:p w14:paraId="3008DAE7" w14:textId="77777777" w:rsidR="00A04EE8" w:rsidRDefault="003E50B9">
      <w:pPr>
        <w:pStyle w:val="BookBody"/>
      </w:pPr>
      <w:r>
        <w:t>This is the point at which the exile of qualities reaches even the austere properties of mechanics. Causal necessity had seemed more objective than color because it belonged to the structure of events rather than the response of a perceiver. Hume shows that the experienced force of necessity is also connected to the constitution of the mind. We feel the transition because repeated conjunction forms an expectation.</w:t>
      </w:r>
    </w:p>
    <w:p w14:paraId="5EC2A3FC" w14:textId="77777777" w:rsidR="00A04EE8" w:rsidRDefault="003E50B9">
      <w:pPr>
        <w:pStyle w:val="SectionHeading"/>
      </w:pPr>
      <w:r>
        <w:rPr>
          <w:color w:val="2E74B5"/>
        </w:rPr>
        <w:t>Custom as an Architecture of Expectation</w:t>
      </w:r>
    </w:p>
    <w:p w14:paraId="6C19F31B" w14:textId="77777777" w:rsidR="00A04EE8" w:rsidRDefault="003E50B9">
      <w:pPr>
        <w:pStyle w:val="BookBody"/>
      </w:pPr>
      <w:r>
        <w:t>Hume names the principle custom or habit. After repeated experience of A followed by B, the appearance of A carries the mind toward B. Belief is not a new idea added by proof; it is a more forceful manner of conceiving an idea under the pressure of custom. Nature has arranged human beings so that they expect regularity before philosophy can justify it.</w:t>
      </w:r>
      <w:r>
        <w:rPr>
          <w:vertAlign w:val="superscript"/>
        </w:rPr>
        <w:t>16</w:t>
      </w:r>
    </w:p>
    <w:p w14:paraId="3A90369D" w14:textId="77777777" w:rsidR="00A04EE8" w:rsidRDefault="003E50B9">
      <w:pPr>
        <w:pStyle w:val="BookBody"/>
      </w:pPr>
      <w:r>
        <w:t>Custom is not mere prejudice. It is the architecture that makes action possible. A person who refused to infer from experience could not navigate a room, eat, trade, experiment, or survive. Hume's naturalism protects ordinary and scientific practice from total skepticism by locating their basis in human nature rather than demonstrative certainty.</w:t>
      </w:r>
    </w:p>
    <w:p w14:paraId="498BFCC7" w14:textId="77777777" w:rsidR="00A04EE8" w:rsidRDefault="003E50B9">
      <w:pPr>
        <w:pStyle w:val="BookBody"/>
      </w:pPr>
      <w:r>
        <w:t>Yet this rescue alters the status of objectivity. The regularity of the world and the habit of the mind become entwined in every causal judgment. Scientists can refine expectations through experiment, probability, and correction. They can distinguish a well-confirmed regularity from a superstition. But they cannot step outside all habits of inference to compare them with necessity as it exists in itself.</w:t>
      </w:r>
    </w:p>
    <w:p w14:paraId="1A6D2CAC" w14:textId="77777777" w:rsidR="00A04EE8" w:rsidRDefault="003E50B9">
      <w:pPr>
        <w:pStyle w:val="BookBody"/>
      </w:pPr>
      <w:r>
        <w:t>Hume's account also illuminates instruments. A calibrated instrument is trusted because it has behaved regularly under tests, because similar instruments agree, and because communities preserve procedures that have produced reliable expectations. Calibration does not escape induction. It organizes induction socially and materially. The instrument embodies accumulated habit in glass, metal, marks, and routine.</w:t>
      </w:r>
    </w:p>
    <w:p w14:paraId="695775CF" w14:textId="77777777" w:rsidR="00A04EE8" w:rsidRDefault="003E50B9">
      <w:pPr>
        <w:pStyle w:val="SectionHeading"/>
      </w:pPr>
      <w:r>
        <w:rPr>
          <w:color w:val="2E74B5"/>
        </w:rPr>
        <w:t>From Judgment to Rule</w:t>
      </w:r>
    </w:p>
    <w:p w14:paraId="5B4F704C" w14:textId="77777777" w:rsidR="00A04EE8" w:rsidRDefault="003E50B9">
      <w:pPr>
        <w:pStyle w:val="BookBody"/>
      </w:pPr>
      <w:r>
        <w:t>If habit is unavoidable, the question becomes how habits are disciplined. Scientific communities do not merely repeat; they design occasions for surprise. Controls separate variables. Replications test whether a result travels. Error estimates record the limits of instruments. Tables expose anomalies that memory might smooth away. Rules attempt to distinguish productive expectations from accidental associations.</w:t>
      </w:r>
    </w:p>
    <w:p w14:paraId="1193F53E" w14:textId="77777777" w:rsidR="00A04EE8" w:rsidRDefault="003E50B9">
      <w:pPr>
        <w:pStyle w:val="BookBody"/>
      </w:pPr>
      <w:r>
        <w:t>This discipline explains why objectivity cannot mean the absence of a subject. Observation requires attention, selection, and interpretation. The stronger ideal is that the subject's contribution be constrained in ways that other subjects can inspect. Public knowledge is made when individual judgment enters a procedure capable of correction.</w:t>
      </w:r>
    </w:p>
    <w:p w14:paraId="743418FF" w14:textId="77777777" w:rsidR="00A04EE8" w:rsidRDefault="003E50B9">
      <w:pPr>
        <w:pStyle w:val="BookBody"/>
      </w:pPr>
      <w:r>
        <w:t>Theodore Porter has described the authority of quantification as a response to distrust. Numbers are especially attractive where personal judgment is contested or institutions must justify decisions at a distance. A numerical rule can appear impersonal even when its categories encode political and professional choices.</w:t>
      </w:r>
      <w:r>
        <w:rPr>
          <w:vertAlign w:val="superscript"/>
        </w:rPr>
        <w:t>17</w:t>
      </w:r>
      <w:r>
        <w:t xml:space="preserve"> Quantification does not merely describe a world already divided into measurable units. It creates standardized paths through disagreement.</w:t>
      </w:r>
    </w:p>
    <w:p w14:paraId="0DAFE7CD" w14:textId="77777777" w:rsidR="00A04EE8" w:rsidRDefault="003E50B9">
      <w:pPr>
        <w:pStyle w:val="BookBody"/>
      </w:pPr>
      <w:r>
        <w:t>That path can be emancipating. A common measure can expose fraud, compare unequal treatment, or permit coordination among strangers. It can also conceal. What receives no place in the table may become administratively invisible. The history of objectivity is therefore inseparable from the history of exclusion: not only who is allowed to observe, but what kinds of reality are allowed to count as observations.</w:t>
      </w:r>
    </w:p>
    <w:p w14:paraId="305C4C03" w14:textId="77777777" w:rsidR="004A6C7A" w:rsidRDefault="007849EA">
      <w:pPr>
        <w:pStyle w:val="SectionHeading"/>
      </w:pPr>
      <w:r>
        <w:rPr>
          <w:rFonts w:cstheme="majorBidi"/>
          <w:bCs/>
          <w:color w:val="2E74B5"/>
          <w:szCs w:val="28"/>
        </w:rPr>
        <w:t>Habit, Number, and the Measured Future</w:t>
      </w:r>
    </w:p>
    <w:p w14:paraId="5FDCCCD4" w14:textId="77777777" w:rsidR="004A6C7A" w:rsidRDefault="007849EA">
      <w:pPr>
        <w:pStyle w:val="BookBody"/>
      </w:pPr>
      <w:r>
        <w:rPr>
          <w:szCs w:val="28"/>
        </w:rPr>
        <w:t>Hume's account of custom becomes clearer when placed beside these instruments. A scale can make repeated observations commensurable, but it cannot logically guarantee that tomorrow's column will respond as yesterday's did or that an unobserved region obeys the same regularities. The instrument disciplines experience; habit connects experienced sequences to expectation. Modern prediction depends on both.</w:t>
      </w:r>
    </w:p>
    <w:p w14:paraId="34AAD4A2" w14:textId="77777777" w:rsidR="004A6C7A" w:rsidRDefault="007849EA">
      <w:pPr>
        <w:pStyle w:val="BookBody"/>
      </w:pPr>
      <w:r>
        <w:rPr>
          <w:szCs w:val="28"/>
        </w:rPr>
        <w:t>This dependence is not a confession that science is irrational. Custom is the natural operation by which a finite being learns from recurrence. Without it, no creature could act between demonstration and blind accident. Hume's point is that the felt necessity of a causal connection does not arrive as one more sensory quality. It is formed as the mind moves from repeated conjunction toward confident anticipation.</w:t>
      </w:r>
    </w:p>
    <w:p w14:paraId="18AC08BF" w14:textId="77777777" w:rsidR="004A6C7A" w:rsidRDefault="007849EA">
      <w:pPr>
        <w:pStyle w:val="BookBody"/>
      </w:pPr>
      <w:r>
        <w:rPr>
          <w:szCs w:val="28"/>
        </w:rPr>
        <w:t>Quantification intensifies rather than removes this structure. Ten readings can be averaged; a hundred can reveal a distribution; uncertainty can be assigned an interval. Yet the inference from the observed series to the next case remains an inference. Statistics disciplines confidence by showing how much variation the evidence contains. It does not convert history into logical necessity.</w:t>
      </w:r>
    </w:p>
    <w:p w14:paraId="1AD83C37" w14:textId="77777777" w:rsidR="004A6C7A" w:rsidRDefault="007849EA">
      <w:pPr>
        <w:pStyle w:val="BookBody"/>
      </w:pPr>
      <w:r>
        <w:rPr>
          <w:szCs w:val="28"/>
        </w:rPr>
        <w:t>The philosophical result is a more modest public world. Knowledge can be strong, corrigible, and shared without claiming access to an invisible bond behind events. Laws become warranted expectations articulated through models and tests. Their authority grows when failed predictions can be registered, not when the possibility of failure is denied.</w:t>
      </w:r>
    </w:p>
    <w:p w14:paraId="748ABFA0" w14:textId="77777777" w:rsidR="004A6C7A" w:rsidRDefault="007849EA">
      <w:pPr>
        <w:pStyle w:val="BookBody"/>
      </w:pPr>
      <w:r>
        <w:rPr>
          <w:szCs w:val="28"/>
        </w:rPr>
        <w:t>Kant's response will retain this humility about things in themselves while rejecting the idea that causality is merely an expectation contingently produced by repetition. For an event to be experienced as occurring in one objective temporal order, appearances must be organized under rules. The subject does not invent the event at pleasure; the conditions of experience make an event available as something about which subjects can disagree and inquire.</w:t>
      </w:r>
    </w:p>
    <w:p w14:paraId="09E65F6E" w14:textId="77777777" w:rsidR="00A04EE8" w:rsidRDefault="003E50B9">
      <w:pPr>
        <w:pStyle w:val="SectionHeading"/>
      </w:pPr>
      <w:r>
        <w:rPr>
          <w:color w:val="2E74B5"/>
        </w:rPr>
        <w:t>Kant's Reversal</w:t>
      </w:r>
    </w:p>
    <w:p w14:paraId="65E7ADA4" w14:textId="77777777" w:rsidR="00A04EE8" w:rsidRDefault="003E50B9">
      <w:pPr>
        <w:pStyle w:val="BookBody"/>
      </w:pPr>
      <w:r>
        <w:t>Kant accepts the force of Hume's challenge and changes the question. Instead of asking how the mind can copy a fully formed world, he asks what must be true for experience of objects to be possible at all. The result is his famous reversal: objects of experience must conform to the conditions of human cognition, not because the mind invents them at will, but because anything that appears as an object must be ordered through those conditions.</w:t>
      </w:r>
      <w:r>
        <w:rPr>
          <w:vertAlign w:val="superscript"/>
        </w:rPr>
        <w:t>18</w:t>
      </w:r>
    </w:p>
    <w:p w14:paraId="03FD4CA4" w14:textId="77777777" w:rsidR="00A04EE8" w:rsidRDefault="003E50B9">
      <w:pPr>
        <w:pStyle w:val="BookBody"/>
      </w:pPr>
      <w:r>
        <w:t>This is not the claim that the external world is imaginary. Kant distinguishes appearances from things as they may be in themselves. Appearances are empirically real: they are the only objects that can be encountered, investigated, and known. Space and time are not deceptive veils; they are forms through which sensible intuition is organized. The categories, including substance and causality, are not optional stories; they are rules required for a manifold of sensation to be synthesized into coherent experience.</w:t>
      </w:r>
      <w:r>
        <w:rPr>
          <w:vertAlign w:val="superscript"/>
        </w:rPr>
        <w:t>19</w:t>
      </w:r>
    </w:p>
    <w:p w14:paraId="2771DDD0" w14:textId="77777777" w:rsidR="00A04EE8" w:rsidRDefault="003E50B9">
      <w:pPr>
        <w:pStyle w:val="BookBody"/>
      </w:pPr>
      <w:r>
        <w:t>Kant thus recovers objective necessity without returning to dogmatic metaphysics. Hume had shown that necessity is not seen between events. Kant agrees. Causality is contributed as a condition under which a sequence can be experienced as an objective event rather than as a merely subjective succession of impressions. The category is valid for every possible object of experience precisely because it is a condition of objectivity.</w:t>
      </w:r>
      <w:r>
        <w:rPr>
          <w:vertAlign w:val="superscript"/>
        </w:rPr>
        <w:t>20</w:t>
      </w:r>
    </w:p>
    <w:p w14:paraId="56572ACF" w14:textId="77777777" w:rsidR="00A04EE8" w:rsidRDefault="003E50B9">
      <w:pPr>
        <w:pStyle w:val="BookBody"/>
      </w:pPr>
      <w:r>
        <w:t>The price is restriction. Categories that legitimately organize possible experience cannot be extended without limit to the soul, the world as a completed whole, or God. Reason naturally seeks the unconditioned, but when it treats its own ideas as objects of possible knowledge, it generates paralogisms and antinomies. Critical philosophy secures science by policing the border of its use.</w:t>
      </w:r>
    </w:p>
    <w:p w14:paraId="69123484" w14:textId="77777777" w:rsidR="00A04EE8" w:rsidRDefault="003E50B9">
      <w:pPr>
        <w:pStyle w:val="SectionHeading"/>
      </w:pPr>
      <w:r>
        <w:rPr>
          <w:color w:val="2E74B5"/>
        </w:rPr>
        <w:t>Space, Time, and the Object of Experience</w:t>
      </w:r>
    </w:p>
    <w:p w14:paraId="7A75ACAD" w14:textId="77777777" w:rsidR="00A04EE8" w:rsidRDefault="003E50B9">
      <w:pPr>
        <w:pStyle w:val="BookBody"/>
      </w:pPr>
      <w:r>
        <w:t>The mathematical sciences occupy a privileged place in Kant's account. Geometry is possible because space is the form of outer intuition; arithmetic depends on the ordered synthesis of time. Newtonian natural science is possible because appearances are subject to quantitative determination and causal law. Nature, in the formal sense, is not a collection of things encountered prior to all cognition. It is the law-governed order of appearances.</w:t>
      </w:r>
      <w:r>
        <w:rPr>
          <w:vertAlign w:val="superscript"/>
        </w:rPr>
        <w:t>21</w:t>
      </w:r>
    </w:p>
    <w:p w14:paraId="0F6E6B4D" w14:textId="77777777" w:rsidR="00A04EE8" w:rsidRDefault="003E50B9">
      <w:pPr>
        <w:pStyle w:val="BookBody"/>
      </w:pPr>
      <w:r>
        <w:t>This formulation completes a movement already visible in measurement. A reading becomes objective when it can be placed within a common spatiotemporal and causal order. The scale, the table, and the diagram are not incidental aids. They materialize the forms under which phenomena can be compared.</w:t>
      </w:r>
    </w:p>
    <w:p w14:paraId="1A172598" w14:textId="77777777" w:rsidR="00A04EE8" w:rsidRDefault="003E50B9">
      <w:pPr>
        <w:pStyle w:val="BookBody"/>
      </w:pPr>
      <w:r>
        <w:t>Kant does not reduce all experience to number. Sensation supplies matter; without it, concepts are empty. But sensation as such does not furnish the rule of its own organization. The object emerges when the manifold is synthesized under concepts. A color patch is given in intuition, located in space and time, attributed to an object under conditions, and related causally to other appearances. Its experienced quality remains irreducible to the category that orders it.</w:t>
      </w:r>
    </w:p>
    <w:p w14:paraId="0509E9AD" w14:textId="77777777" w:rsidR="00A04EE8" w:rsidRDefault="003E50B9">
      <w:pPr>
        <w:pStyle w:val="BookBody"/>
      </w:pPr>
      <w:r>
        <w:t>This distinction helps prevent a common mistake. To say that the conditions of objectivity lie partly in the subject is not to say that every claim is equally subjective. The transcendental subject is not a private personality. It names structures that any finite human knower must employ. Kant's project is an account of shared constraint, not individual preference.</w:t>
      </w:r>
    </w:p>
    <w:p w14:paraId="685640D3" w14:textId="77777777" w:rsidR="00A04EE8" w:rsidRDefault="003E50B9">
      <w:pPr>
        <w:pStyle w:val="SectionHeading"/>
      </w:pPr>
      <w:r>
        <w:rPr>
          <w:color w:val="2E74B5"/>
        </w:rPr>
        <w:t>Causality Recovered, Metaphysics Restricted</w:t>
      </w:r>
    </w:p>
    <w:p w14:paraId="5001DA95" w14:textId="77777777" w:rsidR="00A04EE8" w:rsidRDefault="003E50B9">
      <w:pPr>
        <w:pStyle w:val="BookBody"/>
      </w:pPr>
      <w:r>
        <w:t>The recovery of causality changes the status of scientific laws. They are neither impressions copied from nature nor habits that happen to grip the imagination. They express rules under which appearances can be experienced as events in one nature. This gives Newtonian science a philosophical foundation Hume had denied it.</w:t>
      </w:r>
      <w:r>
        <w:rPr>
          <w:vertAlign w:val="superscript"/>
        </w:rPr>
        <w:t>22</w:t>
      </w:r>
    </w:p>
    <w:p w14:paraId="722B7099" w14:textId="77777777" w:rsidR="00A04EE8" w:rsidRDefault="003E50B9">
      <w:pPr>
        <w:pStyle w:val="BookBody"/>
      </w:pPr>
      <w:r>
        <w:t>But Kant refuses to turn Newtonian success into knowledge of ultimate reality. Forces can be used in lawful explanation without revealing the inner essence of matter. The system of nature as an object of possible experience is secure; the universe as a completed metaphysical totality is not. Questions about a first beginning, an outer boundary, freedom, immortality, and divine purpose cannot be settled by extending empirical concepts beyond their domain.</w:t>
      </w:r>
    </w:p>
    <w:p w14:paraId="078BA20F" w14:textId="77777777" w:rsidR="00A04EE8" w:rsidRDefault="003E50B9">
      <w:pPr>
        <w:pStyle w:val="BookBody"/>
      </w:pPr>
      <w:r>
        <w:t>The restriction preserves a place for practical reason and aesthetic judgment, but not by smuggling them back into physics. Moral obligation has a different ground from natural causation. Beauty concerns a reflective judgment that claims communicability without determining its object through a concept. Purposiveness may guide the study of organisms as a regulative principle without becoming proof that nature was designed for human ends.</w:t>
      </w:r>
      <w:r>
        <w:rPr>
          <w:vertAlign w:val="superscript"/>
        </w:rPr>
        <w:t>23</w:t>
      </w:r>
    </w:p>
    <w:p w14:paraId="12D4D253" w14:textId="77777777" w:rsidR="00A04EE8" w:rsidRDefault="003E50B9">
      <w:pPr>
        <w:pStyle w:val="BookBody"/>
      </w:pPr>
      <w:r>
        <w:t>Here the exile of qualities becomes plural rather than absolute. Color is related to sensation and physical cause. Beauty is related to reflective judgment. Value is grounded in practical reason. Organic purpose is treated with special caution in judgment. None is simply nothing; none belongs to objects in the same straightforward manner as measurable extension within experience.</w:t>
      </w:r>
    </w:p>
    <w:p w14:paraId="09956876" w14:textId="77777777" w:rsidR="00A04EE8" w:rsidRDefault="003E50B9">
      <w:pPr>
        <w:pStyle w:val="SectionHeading"/>
      </w:pPr>
      <w:r>
        <w:rPr>
          <w:color w:val="2E74B5"/>
        </w:rPr>
        <w:t>Exact Science and Constructed Nature</w:t>
      </w:r>
    </w:p>
    <w:p w14:paraId="43D53415" w14:textId="77777777" w:rsidR="00A04EE8" w:rsidRDefault="003E50B9">
      <w:pPr>
        <w:pStyle w:val="BookBody"/>
      </w:pPr>
      <w:r>
        <w:t>Kant is sometimes treated as the philosopher who imprisoned the world inside the mind. A better description is that he explained why exact science requires construction. To know nature mathematically is not merely to stare more carefully. It is to bring phenomena under forms, concepts, and experimental arrangements that make determination possible.</w:t>
      </w:r>
    </w:p>
    <w:p w14:paraId="653BF2D4" w14:textId="77777777" w:rsidR="00A04EE8" w:rsidRDefault="003E50B9">
      <w:pPr>
        <w:pStyle w:val="BookBody"/>
      </w:pPr>
      <w:r>
        <w:t xml:space="preserve">Michael Friedman has emphasized the historical intimacy between Kant's critical philosophy and the mathematical natural science of his age. The </w:t>
      </w:r>
      <w:r>
        <w:rPr>
          <w:i/>
        </w:rPr>
        <w:t>Critique</w:t>
      </w:r>
      <w:r>
        <w:t xml:space="preserve"> does not float above scientific practice. It responds to the achievement of Newtonian mechanics and to problems of space, motion, force, and law. Its account of synthetic a priori cognition sought to explain how mathematics could apply necessarily to experience.</w:t>
      </w:r>
      <w:r>
        <w:rPr>
          <w:vertAlign w:val="superscript"/>
        </w:rPr>
        <w:t>24</w:t>
      </w:r>
    </w:p>
    <w:p w14:paraId="47DF89C1" w14:textId="77777777" w:rsidR="00A04EE8" w:rsidRDefault="003E50B9">
      <w:pPr>
        <w:pStyle w:val="BookBody"/>
      </w:pPr>
      <w:r>
        <w:t>The later history of science would alter the particular framework. Non-Euclidean geometry, relativity, and new physical theories transformed claims Kant had treated as fixed. But the deeper insight survived: observation is structured by conditions that are not simply read from isolated sensations. Instruments, mathematical formalisms, and conceptual schemes participate in producing objects of knowledge.</w:t>
      </w:r>
    </w:p>
    <w:p w14:paraId="65B489AD" w14:textId="77777777" w:rsidR="00A04EE8" w:rsidRDefault="003E50B9">
      <w:pPr>
        <w:pStyle w:val="BookBody"/>
      </w:pPr>
      <w:r>
        <w:t>To call this production a construction is not to call it fabrication in the sense of fraud. A bridge is constructed and must still bear weight. An experimental object is constructed and must still resist, recur, and surprise. Nature answers, but it answers questions posed through apparatus and form.</w:t>
      </w:r>
    </w:p>
    <w:p w14:paraId="5A12A682" w14:textId="77777777" w:rsidR="00A04EE8" w:rsidRDefault="003E50B9">
      <w:pPr>
        <w:pStyle w:val="SectionHeading"/>
      </w:pPr>
      <w:r>
        <w:rPr>
          <w:color w:val="2E74B5"/>
        </w:rPr>
        <w:t>Objectivity as an Epistemic Virtue</w:t>
      </w:r>
    </w:p>
    <w:p w14:paraId="188AC250" w14:textId="77777777" w:rsidR="00A04EE8" w:rsidRDefault="003E50B9">
      <w:pPr>
        <w:pStyle w:val="BookBody"/>
      </w:pPr>
      <w:r>
        <w:t xml:space="preserve">The modern word </w:t>
      </w:r>
      <w:r>
        <w:rPr>
          <w:i/>
        </w:rPr>
        <w:t>objectivity</w:t>
      </w:r>
      <w:r>
        <w:t xml:space="preserve"> gained its familiar authority after Locke, Hume, and Kant, but the philosophical movement they represent helped make that authority conceivable. Lorraine Daston and Peter Galison have shown that objectivity is not a timeless command to see what is there. It is a historically specific epistemic virtue, one that took shape alongside earlier ideals such as truth-to-nature and later practices of trained judgment.</w:t>
      </w:r>
      <w:r>
        <w:rPr>
          <w:vertAlign w:val="superscript"/>
        </w:rPr>
        <w:t>25</w:t>
      </w:r>
    </w:p>
    <w:p w14:paraId="1E4D3EEC" w14:textId="77777777" w:rsidR="00A04EE8" w:rsidRDefault="003E50B9">
      <w:pPr>
        <w:pStyle w:val="BookBody"/>
      </w:pPr>
      <w:r>
        <w:t>Truth-to-nature asked the learned observer to select the typical, essential, or ideal form from variable specimens. Mechanical objectivity later distrusted this intervention and sought images produced with minimal personal judgment. Cameras, tracings, self-registering instruments, and rule-bound atlases promised to let nature speak for itself. Yet no image was literally self-interpreting. The virtues accumulated. Trained judgment returned where mechanical records were too noisy or ambiguous.</w:t>
      </w:r>
    </w:p>
    <w:p w14:paraId="14739EA2" w14:textId="77777777" w:rsidR="00A04EE8" w:rsidRDefault="003E50B9">
      <w:pPr>
        <w:pStyle w:val="BookBody"/>
      </w:pPr>
      <w:r>
        <w:t>This layered history matters because it prevents the exile of qualities from becoming a morality play about subjective error. A skilled observer may see more accurately than an automatic device. A colorist may distinguish changes a coarse scale misses. A physician's attention to pain may disclose realities absent from a laboratory value. Objectivity requires deciding when to restrain judgment and when to cultivate it.</w:t>
      </w:r>
    </w:p>
    <w:p w14:paraId="3299577D" w14:textId="77777777" w:rsidR="00A04EE8" w:rsidRDefault="003E50B9">
      <w:pPr>
        <w:pStyle w:val="BookBody"/>
      </w:pPr>
      <w:r>
        <w:t>The self demanded by objectivity was an ethical achievement: patient, modest, disciplined, willing to submit impressions to procedure. But it could also become a mask for unacknowledged authority. The claim to have eliminated perspective often elevated one trained perspective into a universal norm.</w:t>
      </w:r>
    </w:p>
    <w:p w14:paraId="3FBE1773" w14:textId="77777777" w:rsidR="00A04EE8" w:rsidRDefault="003E50B9">
      <w:pPr>
        <w:pStyle w:val="SectionHeading"/>
      </w:pPr>
      <w:r>
        <w:rPr>
          <w:color w:val="2E74B5"/>
        </w:rPr>
        <w:t>What the Public Object Excludes</w:t>
      </w:r>
    </w:p>
    <w:p w14:paraId="7A9663BA" w14:textId="77777777" w:rsidR="00A04EE8" w:rsidRDefault="003E50B9">
      <w:pPr>
        <w:pStyle w:val="BookBody"/>
      </w:pPr>
      <w:r>
        <w:t>The public object is powerful because it is thin. It retains what can be carried across observers and discards, brackets, or translates what cannot. A temperature reading travels better than the bodily experience of cold. A wavelength travels better than the felt saturation of blue. A mortality table travels better than grief.</w:t>
      </w:r>
    </w:p>
    <w:p w14:paraId="767CC550" w14:textId="77777777" w:rsidR="00A04EE8" w:rsidRDefault="003E50B9">
      <w:pPr>
        <w:pStyle w:val="BookBody"/>
      </w:pPr>
      <w:r>
        <w:t>Thinness permits coordination among strangers. It also creates a recurrent illusion: that what travels is more real than what does not. The illusion is reinforced by administrative success. Numbers can be filed, averaged, graphed, and acted upon. Qualities that resist standardization appear anecdotal even when they are decisive to the people who experience them.</w:t>
      </w:r>
    </w:p>
    <w:p w14:paraId="2BAA79E3" w14:textId="77777777" w:rsidR="00A04EE8" w:rsidRDefault="003E50B9">
      <w:pPr>
        <w:pStyle w:val="BookBody"/>
      </w:pPr>
      <w:r>
        <w:t>The problem becomes moral when evidentiary dependence is mistaken for dispensability. Pain depends on a sufferer's report, yet medicine would be monstrous if it treated pain as unreal. Value depends on forms of judgment, yet policy cannot avoid valuing by refusing the word. Landscapes have measurable yields and temperatures, but they are also homes, sacred places, memories, and sources of beauty.</w:t>
      </w:r>
    </w:p>
    <w:p w14:paraId="4612BBA0" w14:textId="77777777" w:rsidR="00A04EE8" w:rsidRDefault="003E50B9">
      <w:pPr>
        <w:pStyle w:val="BookBody"/>
      </w:pPr>
      <w:r>
        <w:t>The exile of qualities therefore names a structural risk within objectivity, not an argument against exact knowledge. The risk arises when a method designed for limited questions expands into an ontology of everything that matters. A rule for public evidence becomes a theory of being.</w:t>
      </w:r>
    </w:p>
    <w:p w14:paraId="57B4D1E0" w14:textId="77777777" w:rsidR="00A04EE8" w:rsidRDefault="003E50B9">
      <w:pPr>
        <w:pStyle w:val="SectionHeading"/>
      </w:pPr>
      <w:r>
        <w:rPr>
          <w:color w:val="2E74B5"/>
        </w:rPr>
        <w:t>Sound, Heat, and Pain</w:t>
      </w:r>
    </w:p>
    <w:p w14:paraId="4EE455AA" w14:textId="77777777" w:rsidR="00A04EE8" w:rsidRDefault="003E50B9">
      <w:pPr>
        <w:pStyle w:val="BookBody"/>
      </w:pPr>
      <w:r>
        <w:t>Color dominates philosophical examples because it makes the problem visible, but the same relocation took different forms across the senses. Sound offered an especially persuasive mechanical case. A vibrating string moves the air; the motion reaches the ear; pitch varies with frequency, tension, length, and material. The acoustic event can be diagrammed and measured even when no one is present to hear it. Yet the heard note - piercing, warm, consonant, mournful - does not appear in the diagram. The physical account specifies conditions of audibility without reproducing auditory presence.</w:t>
      </w:r>
    </w:p>
    <w:p w14:paraId="28B74C0D" w14:textId="77777777" w:rsidR="00A04EE8" w:rsidRDefault="003E50B9">
      <w:pPr>
        <w:pStyle w:val="BookBody"/>
      </w:pPr>
      <w:r>
        <w:t>This difference is not a defect in acoustics. It is the achievement that permits instruments to be tuned, rooms designed, and vibrations predicted. Trouble begins only when explanatory success is converted into the claim that the heard note adds nothing real. Music makes that claim difficult to sustain. Rhythm and harmony can be described through ratios, but their temporal tension depends on memory and anticipation. The measurable structure is necessary to the experience without being sufficient for it.</w:t>
      </w:r>
    </w:p>
    <w:p w14:paraId="1AED5AC7" w14:textId="77777777" w:rsidR="00A04EE8" w:rsidRDefault="003E50B9">
      <w:pPr>
        <w:pStyle w:val="BookBody"/>
      </w:pPr>
      <w:r>
        <w:t>Heat moved along a similar path. Corpuscular philosophers described it through agitation; thermometry replaced bodily report with expansion on a scale; later theories would redescribe it through energy and statistical motion. At each stage, thermal sensation remained a genuine effect of bodily interaction. The person shivering in a room and the thermometer are not rival witnesses to one undifferentiated property. They answer different questions. The instrument reports a standardized physical condition; the body reports what that condition does to an organism with a history, metabolism, clothing, expectations, and vulnerabilities.</w:t>
      </w:r>
    </w:p>
    <w:p w14:paraId="1EC045C8" w14:textId="77777777" w:rsidR="00A04EE8" w:rsidRDefault="003E50B9">
      <w:pPr>
        <w:pStyle w:val="BookBody"/>
      </w:pPr>
      <w:r>
        <w:t>Pain makes the ethical stakes unmistakable. It is dependent on a sufferer in the strongest sense: without a sentient subject there is no pain. That dependence does not weaken its reality. Indeed, it helps define the kind of reality pain possesses. The demand for objectivity becomes perverse when it asks pain to exist independently of the person whose pain it is. In clinical life, numerical scales may help compare changes, but no number makes the first-person report dispensable.</w:t>
      </w:r>
      <w:r>
        <w:rPr>
          <w:vertAlign w:val="superscript"/>
        </w:rPr>
        <w:t>26</w:t>
      </w:r>
    </w:p>
    <w:p w14:paraId="5141DA0E" w14:textId="77777777" w:rsidR="00A04EE8" w:rsidRDefault="003E50B9">
      <w:pPr>
        <w:pStyle w:val="BookBody"/>
      </w:pPr>
      <w:r>
        <w:t>The primary-secondary distinction is therefore safest when treated as a map of explanatory relations. It becomes dangerous when used as a ladder of being. Extension, wavelength, temperature, and tissue damage can be publicly measured. Color, tone, warmth, and pain disclose how bodies meet worlds. A complete account needs both sides and a theory of their connection.</w:t>
      </w:r>
    </w:p>
    <w:p w14:paraId="6657211A" w14:textId="77777777" w:rsidR="00A04EE8" w:rsidRDefault="003E50B9">
      <w:pPr>
        <w:pStyle w:val="SectionHeading"/>
      </w:pPr>
      <w:r>
        <w:rPr>
          <w:color w:val="2E74B5"/>
        </w:rPr>
        <w:t>Standards and Unequal Bodies</w:t>
      </w:r>
    </w:p>
    <w:p w14:paraId="379DD05E" w14:textId="77777777" w:rsidR="00A04EE8" w:rsidRDefault="003E50B9">
      <w:pPr>
        <w:pStyle w:val="BookBody"/>
      </w:pPr>
      <w:r>
        <w:t>A standard claims to be the same for everyone. A meter bar does not lengthen because its reader is tall; a clock does not slow because its observer is impatient. This independence is indispensable to public knowledge. It also creates a question: whose circumstances were used when the standard was made, and whose differences are treated as noise?</w:t>
      </w:r>
    </w:p>
    <w:p w14:paraId="3C4F6B88" w14:textId="77777777" w:rsidR="00A04EE8" w:rsidRDefault="003E50B9">
      <w:pPr>
        <w:pStyle w:val="BookBody"/>
      </w:pPr>
      <w:r>
        <w:t>The late eighteenth-century project of the metric system made the political promise of standardization explicit. Measures inherited from towns, trades, bodies, and rulers would be replaced by units derived from nature and valid for all people. The meter was to be a fraction of the earth's meridian. Surveyors carried instruments across revolutionary France and Spain to translate the globe into a universal rule.</w:t>
      </w:r>
      <w:r>
        <w:rPr>
          <w:vertAlign w:val="superscript"/>
        </w:rPr>
        <w:t>27</w:t>
      </w:r>
      <w:r>
        <w:t xml:space="preserve"> The ambition joined republican equality to geodesy.</w:t>
      </w:r>
    </w:p>
    <w:p w14:paraId="4DDD21E3" w14:textId="77777777" w:rsidR="00A04EE8" w:rsidRDefault="003E50B9">
      <w:pPr>
        <w:pStyle w:val="BookBody"/>
      </w:pPr>
      <w:r>
        <w:t>Yet the universal measure had to be realized in particular artifacts, expeditions, calculations, and institutions. Weather bent rays. Mountains obstructed sight lines. Political borders and war interrupted surveys. Artisans manufactured copies. Governments enforced conversion. The meter's universality was not less real for being constructed, but it was achieved through labor and power rather than simply received from the planet.</w:t>
      </w:r>
    </w:p>
    <w:p w14:paraId="3769E75E" w14:textId="77777777" w:rsidR="00A04EE8" w:rsidRDefault="003E50B9">
      <w:pPr>
        <w:pStyle w:val="BookBody"/>
      </w:pPr>
      <w:r>
        <w:t>The same tension appears whenever a human body enters a standard. A "normal" visual observer, a standard temperature, an average worker, or a typical patient can stabilize comparison. It can also turn variation into deficiency. Qualities that reveal differences among bodies are often precisely those most easily dismissed as subjective. Light is constant; glare is personal. Decibels are public; distress is personal. A threshold established on one population may fail another while retaining the prestige of neutrality.</w:t>
      </w:r>
    </w:p>
    <w:p w14:paraId="74DDDC2F" w14:textId="77777777" w:rsidR="00A04EE8" w:rsidRDefault="003E50B9">
      <w:pPr>
        <w:pStyle w:val="BookBody"/>
      </w:pPr>
      <w:r>
        <w:t>The lesson is not that standards are secretly arbitrary. It is that universality must be maintained by testing the range over which a standard works. Objectivity is strengthened, not weakened, when it records the bodies and conditions its procedures assume. A rule that acknowledges its domain travels more honestly than one that mistakes local success for a view from nowhere.</w:t>
      </w:r>
    </w:p>
    <w:p w14:paraId="7E54EB82" w14:textId="77777777" w:rsidR="00A04EE8" w:rsidRDefault="003E50B9">
      <w:pPr>
        <w:pStyle w:val="SectionHeading"/>
      </w:pPr>
      <w:r>
        <w:rPr>
          <w:color w:val="2E74B5"/>
        </w:rPr>
        <w:t>Color Trades and Material Knowledge</w:t>
      </w:r>
    </w:p>
    <w:p w14:paraId="1ADBE4EC" w14:textId="77777777" w:rsidR="00A04EE8" w:rsidRDefault="003E50B9">
      <w:pPr>
        <w:pStyle w:val="BookBody"/>
      </w:pPr>
      <w:r>
        <w:t>Waller's chart also belongs to a world of dyers, painters, glassmakers, apothecaries, printers, miners, and merchants. Their knowledge of color was neither merely subjective nor reducible to optics. They knew how pigments changed in oil, how cloth accepted a dye, how heat altered a glaze, how mixtures muddied, and how lightfastness failed over time. The quality of a color was inseparable from a material history.</w:t>
      </w:r>
      <w:r>
        <w:rPr>
          <w:vertAlign w:val="superscript"/>
        </w:rPr>
        <w:t>28</w:t>
      </w:r>
    </w:p>
    <w:p w14:paraId="00E9ED9B" w14:textId="77777777" w:rsidR="00A04EE8" w:rsidRDefault="003E50B9">
      <w:pPr>
        <w:pStyle w:val="BookBody"/>
      </w:pPr>
      <w:r>
        <w:t>Natural philosophers depended on this history even when their theories abstracted from it. Prisms needed clear glass. Color samples required stable pigments and paper. Printed illustrations demanded collaboration among authors, engravers, colorists, and publishers. The reproducibility of a visual claim rested on skills that rarely appeared in the philosophical argument.</w:t>
      </w:r>
    </w:p>
    <w:p w14:paraId="294D0BCE" w14:textId="77777777" w:rsidR="00A04EE8" w:rsidRDefault="003E50B9">
      <w:pPr>
        <w:pStyle w:val="BookBody"/>
      </w:pPr>
      <w:r>
        <w:t>This is why eighteenth-century color systems proliferated rather than converged immediately. Some arranged colors according to painterly mixture, others according to prismatic order, linguistic families, or degrees of light and darkness. Tobias Mayer's triangle imagined mixtures of three primary pigments in calculated proportions. Moses Harris's circle organized prismatic and compound colors around a wheel. Each system made different practices visible.</w:t>
      </w:r>
      <w:r>
        <w:rPr>
          <w:vertAlign w:val="superscript"/>
        </w:rPr>
        <w:t>29</w:t>
      </w:r>
    </w:p>
    <w:p w14:paraId="0BCAB608" w14:textId="77777777" w:rsidR="00A04EE8" w:rsidRDefault="003E50B9">
      <w:pPr>
        <w:pStyle w:val="BookBody"/>
      </w:pPr>
      <w:r>
        <w:t>Such systems reveal that quantification is always quantification of something under a description. Pigment mixtures and light mixtures do not obey the same relations. Surface color under daylight and spectral color in an optical experiment are connected but not interchangeable. A single numerical space can be immensely useful, yet its coordinates inherit choices about illuminants, observers, materials, and purposes.</w:t>
      </w:r>
    </w:p>
    <w:p w14:paraId="7AB607DD" w14:textId="77777777" w:rsidR="00A04EE8" w:rsidRDefault="003E50B9">
      <w:pPr>
        <w:pStyle w:val="BookBody"/>
      </w:pPr>
      <w:r>
        <w:t>The trades preserve a truth philosophy repeatedly risks forgetting: qualities are enacted. A red is made, maintained, compared, sold, worn, recognized, and remembered. Its physical causes matter, but so do the practices through which it becomes a reliable feature of a shared world. The history of color is not a retreat from nature into culture. It is an account of how natural materials, bodies, and collective techniques become perceptually ordered.</w:t>
      </w:r>
    </w:p>
    <w:p w14:paraId="34589F43" w14:textId="77777777" w:rsidR="00A04EE8" w:rsidRDefault="003E50B9">
      <w:pPr>
        <w:pStyle w:val="SectionHeading"/>
      </w:pPr>
      <w:r>
        <w:rPr>
          <w:color w:val="2E74B5"/>
        </w:rPr>
        <w:t>Probability and the Managed Unknown</w:t>
      </w:r>
    </w:p>
    <w:p w14:paraId="46E293D9" w14:textId="77777777" w:rsidR="00A04EE8" w:rsidRDefault="003E50B9">
      <w:pPr>
        <w:pStyle w:val="BookBody"/>
      </w:pPr>
      <w:r>
        <w:t>Hume's analysis of induction did not prevent prediction; it clarified why prediction always carries risk. The practical response was not to wait for metaphysical certainty but to manage uncertainty through probability, repeated observation, and error. A claim could be objective without being infallible if its limits were specified publicly.</w:t>
      </w:r>
    </w:p>
    <w:p w14:paraId="7D4EC2BF" w14:textId="77777777" w:rsidR="00A04EE8" w:rsidRDefault="003E50B9">
      <w:pPr>
        <w:pStyle w:val="BookBody"/>
      </w:pPr>
      <w:r>
        <w:t>This development altered the meaning of a fact. A single reading might be contaminated by instrument error, local circumstance, or observer mistake. A series could reveal a distribution. The average promised a stable center; deviations could be compared; confidence could be graded. Uncertainty itself became measurable.</w:t>
      </w:r>
    </w:p>
    <w:p w14:paraId="51920E33" w14:textId="77777777" w:rsidR="00A04EE8" w:rsidRDefault="003E50B9">
      <w:pPr>
        <w:pStyle w:val="BookBody"/>
      </w:pPr>
      <w:r>
        <w:t>The move was philosophically important. It weakened the contrast between certain knowledge and subjective opinion. There emerged a broad middle region of disciplined judgment: well-supported but revisable, impersonal in method but dependent on communities, numerical yet interpretive. Modern objectivity grew in this region.</w:t>
      </w:r>
    </w:p>
    <w:p w14:paraId="6B379B42" w14:textId="77777777" w:rsidR="00A04EE8" w:rsidRDefault="003E50B9">
      <w:pPr>
        <w:pStyle w:val="BookBody"/>
      </w:pPr>
      <w:r>
        <w:t>It also created new abstractions. An average temperature may describe a climate while resembling no hour anyone experienced. A life expectancy is not the future lifetime of an individual. A probability is not a hidden color attached to an event. These quantities are real features of organized data and useful guides to action, but their reality is relational and statistical.</w:t>
      </w:r>
      <w:r>
        <w:rPr>
          <w:vertAlign w:val="superscript"/>
        </w:rPr>
        <w:t>30</w:t>
      </w:r>
    </w:p>
    <w:p w14:paraId="4F4C1FEC" w14:textId="77777777" w:rsidR="00A04EE8" w:rsidRDefault="003E50B9">
      <w:pPr>
        <w:pStyle w:val="BookBody"/>
      </w:pPr>
      <w:r>
        <w:t>Qualities were often disadvantaged by the same move because they were harder to aggregate. A table can average temperatures more easily than atmospheres, moods, or meanings. Yet even qualitative differences can be disciplined through comparative description, taxonomies, scales, and trained attention. The alternatives are not number or chaos. The real question is which form of order fits the phenomenon.</w:t>
      </w:r>
    </w:p>
    <w:p w14:paraId="36717EC5" w14:textId="77777777" w:rsidR="004A6C7A" w:rsidRDefault="007849EA">
      <w:pPr>
        <w:pStyle w:val="SectionHeading"/>
      </w:pPr>
      <w:r>
        <w:rPr>
          <w:rFonts w:cstheme="majorBidi"/>
          <w:bCs/>
          <w:color w:val="2E74B5"/>
          <w:szCs w:val="28"/>
        </w:rPr>
        <w:t>The Residue of Appearance</w:t>
      </w:r>
    </w:p>
    <w:p w14:paraId="3B1923D5" w14:textId="77777777" w:rsidR="004A6C7A" w:rsidRDefault="007849EA">
      <w:pPr>
        <w:pStyle w:val="BookBody"/>
      </w:pPr>
      <w:r>
        <w:rPr>
          <w:szCs w:val="28"/>
        </w:rPr>
        <w:t>The critical settlement leaves a residue that cannot be treated as an error. A scarlet cloth can be assigned reflectance properties, compared with Waller's sample, described under a standard illuminant, and experienced as vivid, solemn, or alarming. These statements do not compete for one vacant place. They articulate different relations among surface, light, body, history, and use. The temptation to rank them as reality and decoration arises only when one explanatory purpose is mistaken for the measure of being.</w:t>
      </w:r>
    </w:p>
    <w:p w14:paraId="4E807B2B" w14:textId="77777777" w:rsidR="004A6C7A" w:rsidRDefault="007849EA">
      <w:pPr>
        <w:pStyle w:val="BookBody"/>
      </w:pPr>
      <w:r>
        <w:rPr>
          <w:szCs w:val="28"/>
        </w:rPr>
        <w:t>Kant's distinction between determining and reflective judgment helps name the difference. A determining judgment subsumes a case under a concept and rule. A reflective judgment begins with the particular and searches for a way to comprehend it when no adequate rule is given in advance. Beauty and the apparent purposiveness of organisms require this second movement. They are not arbitrary, but neither can they be forced by measurement alone.</w:t>
      </w:r>
    </w:p>
    <w:p w14:paraId="320203D4" w14:textId="77777777" w:rsidR="004A6C7A" w:rsidRDefault="007849EA">
      <w:pPr>
        <w:pStyle w:val="BookBody"/>
      </w:pPr>
      <w:r>
        <w:rPr>
          <w:szCs w:val="28"/>
        </w:rPr>
        <w:t>This matters because the world-centered question exceeds epistemology. If every quality that depends on a relation to a perceiver is downgraded, then the realities most decisive to living beings - pain, attraction, danger, nourishment, shelter, beauty - become secondary in the pejorative sense. But dependence can be constitutive rather than defective. Pain is real precisely as the suffering of a sentient body; beauty is encountered within a cultivated responsiveness; color belongs to a transaction among light, surface, and vision.</w:t>
      </w:r>
    </w:p>
    <w:p w14:paraId="1259A260" w14:textId="77777777" w:rsidR="004A6C7A" w:rsidRDefault="007849EA">
      <w:pPr>
        <w:pStyle w:val="BookBody"/>
      </w:pPr>
      <w:r>
        <w:rPr>
          <w:szCs w:val="28"/>
        </w:rPr>
        <w:t>A relational quality is not therefore a private possession. Bodies share forms of life, languages stabilize discriminations, practices train attention, and artifacts preserve comparisons. The public character of a quality may be weaker, more local, or more contestable than a calibrated length, yet it can still support reasoned judgment. The alternative to an absolute property is not necessarily an arbitrary projection.</w:t>
      </w:r>
    </w:p>
    <w:p w14:paraId="13B705DC" w14:textId="77777777" w:rsidR="004A6C7A" w:rsidRDefault="007849EA">
      <w:pPr>
        <w:pStyle w:val="BookBody"/>
      </w:pPr>
      <w:r>
        <w:rPr>
          <w:szCs w:val="28"/>
        </w:rPr>
        <w:t>The exile of qualities becomes damaging when the conditions of public proof are confused with the conditions of existence. What cannot be detached from a body may still be indispensable to the life of that body. What cannot be represented by one number may still be compared through description and practice. Exact science secures one kind of public world. Humboldt's wager will be that disciplined attention can widen that world without dissolving its standards.</w:t>
      </w:r>
    </w:p>
    <w:p w14:paraId="6F687940" w14:textId="77777777" w:rsidR="00A04EE8" w:rsidRDefault="003E50B9">
      <w:pPr>
        <w:pStyle w:val="SectionHeading"/>
      </w:pPr>
      <w:r>
        <w:rPr>
          <w:color w:val="2E74B5"/>
        </w:rPr>
        <w:t>Aesthetic Judgment and Common Sense</w:t>
      </w:r>
    </w:p>
    <w:p w14:paraId="16006C29" w14:textId="77777777" w:rsidR="00A04EE8" w:rsidRDefault="003E50B9">
      <w:pPr>
        <w:pStyle w:val="BookBody"/>
      </w:pPr>
      <w:r>
        <w:t xml:space="preserve">Kant's third </w:t>
      </w:r>
      <w:r>
        <w:rPr>
          <w:i/>
        </w:rPr>
        <w:t>Critique</w:t>
      </w:r>
      <w:r>
        <w:t xml:space="preserve"> returns directly to the problem of a judgment that is subjective yet claims more than private preference. When someone calls a landscape beautiful, the judgment does not determine the object through a scientific concept. No measurement proves the beauty. Yet the speaker ordinarily expects, invites, or demands agreement. Aesthetic judgment speaks in a universal voice without possessing a rule that can compel assent.</w:t>
      </w:r>
      <w:r>
        <w:rPr>
          <w:vertAlign w:val="superscript"/>
        </w:rPr>
        <w:t>31</w:t>
      </w:r>
    </w:p>
    <w:p w14:paraId="2942278E" w14:textId="77777777" w:rsidR="00A04EE8" w:rsidRDefault="003E50B9">
      <w:pPr>
        <w:pStyle w:val="BookBody"/>
      </w:pPr>
      <w:r>
        <w:t>This peculiar claim matters for the exile of qualities. It shows that dependence on the subject need not end in isolation. Human faculties can be attuned in ways that make experience communicable even when it is not demonstrable. The "common sense" invoked by aesthetic judgment is not a poll of tastes. It is the hoped-for shareability of the free play of imagination and understanding.</w:t>
      </w:r>
    </w:p>
    <w:p w14:paraId="69F43113" w14:textId="77777777" w:rsidR="00A04EE8" w:rsidRDefault="003E50B9">
      <w:pPr>
        <w:pStyle w:val="BookBody"/>
      </w:pPr>
      <w:r>
        <w:t>The sublime intensifies the point. Vast mountains, storms, abysses, and the starry heavens exceed the imagination's capacity to present them as a completed sensory whole. The experience can involve fear, attraction, and the discovery that reason's ideas outrun sensible magnitude. The natural object occasions the sublime, but sublimity is not a measurable property sitting on its surface.</w:t>
      </w:r>
    </w:p>
    <w:p w14:paraId="580B9279" w14:textId="77777777" w:rsidR="00A04EE8" w:rsidRDefault="003E50B9">
      <w:pPr>
        <w:pStyle w:val="BookBody"/>
      </w:pPr>
      <w:r>
        <w:t>This account would become crucial for Humboldt. Mountains could be measured in toises, pressures, temperatures, and botanical zones while also overwhelming the observer. The aesthetic response did not compete with the readings. It disclosed the difficulty of gathering them into a whole. Humboldt's scientific prose would repeatedly move between numerical exactness and the forms of attention cultivated by landscape painting and literature.</w:t>
      </w:r>
    </w:p>
    <w:p w14:paraId="4EFF0D5D" w14:textId="77777777" w:rsidR="00A04EE8" w:rsidRDefault="003E50B9">
      <w:pPr>
        <w:pStyle w:val="BookBody"/>
      </w:pPr>
      <w:r>
        <w:t>Kant's solution remains cautious. Aesthetic feeling does not prove that nature is purposively designed. It permits us to regard nature as if its forms were suited to our cognitive powers. The judgment is reflective, not constitutive. It joins subject and world without converting the connection into a new physics.</w:t>
      </w:r>
    </w:p>
    <w:p w14:paraId="29B087B9" w14:textId="77777777" w:rsidR="00A04EE8" w:rsidRDefault="003E50B9">
      <w:pPr>
        <w:pStyle w:val="SectionHeading"/>
      </w:pPr>
      <w:r>
        <w:rPr>
          <w:color w:val="2E74B5"/>
        </w:rPr>
        <w:t>The View from Somewhere</w:t>
      </w:r>
    </w:p>
    <w:p w14:paraId="74537D00" w14:textId="77777777" w:rsidR="00A04EE8" w:rsidRDefault="003E50B9">
      <w:pPr>
        <w:pStyle w:val="BookBody"/>
      </w:pPr>
      <w:r>
        <w:t>Objectivity is sometimes pictured as a view from nowhere: an account purified of every position. Instruments seem to approach that ideal because they register without fatigue, desire, or cultural memory. But every instrument occupies a place. It has an orientation, range, resolution, and threshold. A map requires a projection. A table requires headings. A photograph requires framing and exposure.</w:t>
      </w:r>
    </w:p>
    <w:p w14:paraId="41EF5D10" w14:textId="77777777" w:rsidR="00A04EE8" w:rsidRDefault="003E50B9">
      <w:pPr>
        <w:pStyle w:val="BookBody"/>
      </w:pPr>
      <w:r>
        <w:t>The responsible alternative is not to celebrate partiality for its own sake. It is to make position accountable. A reading becomes stronger when its place, time, instrument, and procedure are recorded. A map becomes more useful when its projection and omissions can be known. Perspective ceases to be the enemy of truth when perspectives can be compared.</w:t>
      </w:r>
    </w:p>
    <w:p w14:paraId="16D21697" w14:textId="77777777" w:rsidR="00A04EE8" w:rsidRDefault="003E50B9">
      <w:pPr>
        <w:pStyle w:val="BookBody"/>
      </w:pPr>
      <w:r>
        <w:t>This comparison is one of the deepest continuities from Locke to Kant. Locke asks how ideas arise from relations between bodies and perceivers. Hume asks how repeated experience forms expectations. Kant asks which conditions make an object of shared experience possible. None supplies a God's-eye inventory of things as they are apart from every relation. Each reconstructs knowledge from situated encounters while seeking constraints that exceed any single encounter.</w:t>
      </w:r>
    </w:p>
    <w:p w14:paraId="14B9684A" w14:textId="77777777" w:rsidR="00A04EE8" w:rsidRDefault="003E50B9">
      <w:pPr>
        <w:pStyle w:val="BookBody"/>
      </w:pPr>
      <w:r>
        <w:t>The exile of qualities followed when this situated achievement was forgotten. Public claims came to look as though they had escaped the conditions that made them. Qualitative experience, which displayed those conditions openly, seemed inferior to inscriptions that concealed them.</w:t>
      </w:r>
    </w:p>
    <w:p w14:paraId="27E292A9" w14:textId="77777777" w:rsidR="00A04EE8" w:rsidRDefault="003E50B9">
      <w:pPr>
        <w:pStyle w:val="BookBody"/>
      </w:pPr>
      <w:r>
        <w:t>Humboldt's practice would make position explicit again. He recorded latitude, altitude, pressure, temperature, time, and instrument because a fact severed from situation could not enter comparison. He also described fatigue, danger, color, sound, and grandeur because a landscape severed from experience could not become a whole. His observer did not disappear. The observer moved, measured, and learned to connect places.</w:t>
      </w:r>
    </w:p>
    <w:p w14:paraId="3A212494" w14:textId="77777777" w:rsidR="004A6C7A" w:rsidRDefault="007849EA">
      <w:pPr>
        <w:pStyle w:val="SectionHeading"/>
      </w:pPr>
      <w:r>
        <w:rPr>
          <w:rFonts w:cstheme="majorBidi"/>
          <w:bCs/>
          <w:color w:val="2E74B5"/>
          <w:szCs w:val="28"/>
        </w:rPr>
        <w:t>Four Achievements of Objectivity</w:t>
      </w:r>
    </w:p>
    <w:p w14:paraId="24850AAC" w14:textId="77777777" w:rsidR="004A6C7A" w:rsidRDefault="007849EA">
      <w:pPr>
        <w:pStyle w:val="BookBody"/>
      </w:pPr>
      <w:r>
        <w:rPr>
          <w:szCs w:val="28"/>
        </w:rPr>
        <w:t xml:space="preserve">The word </w:t>
      </w:r>
      <w:r>
        <w:rPr>
          <w:i/>
          <w:szCs w:val="28"/>
        </w:rPr>
        <w:t>objective</w:t>
      </w:r>
      <w:r>
        <w:rPr>
          <w:szCs w:val="28"/>
        </w:rPr>
        <w:t xml:space="preserve"> now carries several achievements that should not be collapsed. First is causal objectivity: the attempt to identify powers and structures that do not depend on whether a particular observer attends to them. Locke's corpuscular hypotheses and Newton's optics belong here. The surface reflects and absorbs light in determinate ways; the prism separates rays according to refrangibility; the event is not created by the viewer's preference.</w:t>
      </w:r>
    </w:p>
    <w:p w14:paraId="1EF73836" w14:textId="77777777" w:rsidR="004A6C7A" w:rsidRDefault="007849EA">
      <w:pPr>
        <w:pStyle w:val="BookBody"/>
      </w:pPr>
      <w:r>
        <w:rPr>
          <w:szCs w:val="28"/>
        </w:rPr>
        <w:t>Second is procedural objectivity. A Waller chart, thermometer, rule, ledger, or experimental protocol organizes observers so that their reports can be compared. The result depends on perception, but it is not left to untrained spontaneity. A public object emerges from specified actions, calibrated artifacts, and a vocabulary for recording differences.</w:t>
      </w:r>
    </w:p>
    <w:p w14:paraId="0D342D49" w14:textId="77777777" w:rsidR="004A6C7A" w:rsidRDefault="007849EA">
      <w:pPr>
        <w:pStyle w:val="BookBody"/>
      </w:pPr>
      <w:r>
        <w:rPr>
          <w:szCs w:val="28"/>
        </w:rPr>
        <w:t>Third is inferential objectivity. Hume's critique of necessary connection makes clear that evidence does not carry its future implications visibly on its face. Communities must decide how repeated observations support a law, how much counterevidence matters, and when confidence should be revised. Probability and statistical method later formalize parts of this judgment. Objectivity lies in making the path from evidence to conclusion inspectable.</w:t>
      </w:r>
    </w:p>
    <w:p w14:paraId="25BA0FCE" w14:textId="77777777" w:rsidR="004A6C7A" w:rsidRDefault="007849EA">
      <w:pPr>
        <w:pStyle w:val="BookBody"/>
      </w:pPr>
      <w:r>
        <w:rPr>
          <w:szCs w:val="28"/>
        </w:rPr>
        <w:t>Fourth is transcendental objectivity in Kant's sense: the conditions under which representations can count as experience of one object in a shared temporal and spatial order. This is not a psychological report about how an individual happens to associate ideas. It asks what must be true for an event to be distinguished from a sequence of private impressions at all.</w:t>
      </w:r>
    </w:p>
    <w:p w14:paraId="6DFD13D8" w14:textId="77777777" w:rsidR="004A6C7A" w:rsidRDefault="007849EA">
      <w:pPr>
        <w:pStyle w:val="BookBody"/>
      </w:pPr>
      <w:r>
        <w:rPr>
          <w:szCs w:val="28"/>
        </w:rPr>
        <w:t>These senses cooperate but can also diverge. A procedure may be perfectly standardized while measuring the wrong proxy. A causal model may be powerful while its data are gathered from an unrepresentative population. An inference may be statistically valid while the categories supplied to it erase relevant qualities. A claim may satisfy the conditions of possible experience yet tell us little about the value of what is experienced.</w:t>
      </w:r>
    </w:p>
    <w:p w14:paraId="20EF46A6" w14:textId="77777777" w:rsidR="004A6C7A" w:rsidRDefault="007849EA">
      <w:pPr>
        <w:pStyle w:val="BookBody"/>
      </w:pPr>
      <w:r>
        <w:rPr>
          <w:szCs w:val="28"/>
        </w:rPr>
        <w:t xml:space="preserve">The modern subject is divided accordingly. It is the embodied perceiver whose senses respond to colors and sounds; the disciplined observer trained to read an instrument; the reasoner who forms expectations from evidence; the moral agent who judges value; and the transcendental condition under which an object can be experienced. Calling all of these roles </w:t>
      </w:r>
      <w:r>
        <w:rPr>
          <w:i/>
          <w:szCs w:val="28"/>
        </w:rPr>
        <w:t>subjective</w:t>
      </w:r>
      <w:r>
        <w:rPr>
          <w:szCs w:val="28"/>
        </w:rPr>
        <w:t xml:space="preserve"> hides the very distinctions the critical tradition worked to establish.</w:t>
      </w:r>
    </w:p>
    <w:p w14:paraId="1676077A" w14:textId="77777777" w:rsidR="004A6C7A" w:rsidRDefault="007849EA">
      <w:pPr>
        <w:pStyle w:val="BookBody"/>
      </w:pPr>
      <w:r>
        <w:rPr>
          <w:szCs w:val="28"/>
        </w:rPr>
        <w:t>Qualities occupy different relations to these roles. Wavelength can be specified without naming a color experience. Color experience depends on a visual system but can be stabilized through shared discriminations. A pigment's reliability depends on craft and material history. A color's political or sacred meaning depends on institutions and memory. No single relocation settles the others.</w:t>
      </w:r>
    </w:p>
    <w:p w14:paraId="49099D80" w14:textId="77777777" w:rsidR="004A6C7A" w:rsidRDefault="007849EA">
      <w:pPr>
        <w:pStyle w:val="BookBody"/>
      </w:pPr>
      <w:r>
        <w:rPr>
          <w:szCs w:val="28"/>
        </w:rPr>
        <w:t>This plurality explains why the exile of qualities was productive as well as costly. Separating physical cause from sensation made optics more exact. Separating measurement from bodily impression made comparison more portable. Separating aesthetic judgment from scientific determination protected science from preference. Yet every separation created a problem of reunion: how do the accounts belong to one world rather than to sealed expert provinces?</w:t>
      </w:r>
    </w:p>
    <w:p w14:paraId="10EC0A99" w14:textId="77777777" w:rsidR="004A6C7A" w:rsidRDefault="007849EA">
      <w:pPr>
        <w:pStyle w:val="BookBody"/>
      </w:pPr>
      <w:r>
        <w:rPr>
          <w:szCs w:val="28"/>
        </w:rPr>
        <w:t>The answer cannot be a return to unanalyzed immediacy. A person who says that red simply belongs to the object ignores variations of light, surface, and vision. But a physicist who says that red is nothing but wavelength ignores surface reflection, neural organization, language, use, and felt appearance. Critical objectivity requires a layered ontology adequate to the relations its own methods disclose.</w:t>
      </w:r>
    </w:p>
    <w:p w14:paraId="4A5F53EB" w14:textId="77777777" w:rsidR="004A6C7A" w:rsidRDefault="007849EA">
      <w:pPr>
        <w:pStyle w:val="BookBody"/>
      </w:pPr>
      <w:r>
        <w:rPr>
          <w:szCs w:val="28"/>
        </w:rPr>
        <w:t>The political implication follows. Public reason is not secured merely by removing the first person from the sentence. It is secured by identifying which perspective has been disciplined, which differences remain relevant, and which affected people can contest the categories. A standard becomes more universal when its domain and exclusions are visible. Concealed standpoint, not standpoint as such, is the enemy of accountable objectivity.</w:t>
      </w:r>
    </w:p>
    <w:p w14:paraId="46232B06" w14:textId="77777777" w:rsidR="004A6C7A" w:rsidRDefault="007849EA">
      <w:pPr>
        <w:pStyle w:val="BookBody"/>
      </w:pPr>
      <w:r>
        <w:rPr>
          <w:szCs w:val="28"/>
        </w:rPr>
        <w:t xml:space="preserve">The phrase </w:t>
      </w:r>
      <w:r>
        <w:rPr>
          <w:i/>
          <w:szCs w:val="28"/>
        </w:rPr>
        <w:t>secondary quality</w:t>
      </w:r>
      <w:r>
        <w:rPr>
          <w:szCs w:val="28"/>
        </w:rPr>
        <w:t xml:space="preserve"> therefore carries two very different implications. In a careful use, it identifies a power whose appearance depends on a relation among external cause, medium, organ, and perceiver. In a careless use, it becomes a synonym for lesser reality. Locke's argument supports the first distinction. The second is a later metaphysical inflation of an explanatory tool.</w:t>
      </w:r>
    </w:p>
    <w:p w14:paraId="4E36580D" w14:textId="77777777" w:rsidR="004A6C7A" w:rsidRDefault="007849EA">
      <w:pPr>
        <w:pStyle w:val="BookBody"/>
      </w:pPr>
      <w:r>
        <w:rPr>
          <w:szCs w:val="28"/>
        </w:rPr>
        <w:t>Hume adds a parallel warning about causation. The fact that necessity is not given as an impression does not make causal inquiry futile. It makes the warrant for expectation a problem of experience, comparison, and disciplined judgment. The absence of an observable bond is not the absence of regularity; it is a limit on what regularity alone entitles us to claim.</w:t>
      </w:r>
    </w:p>
    <w:p w14:paraId="15DCC085" w14:textId="77777777" w:rsidR="004A6C7A" w:rsidRDefault="007849EA">
      <w:pPr>
        <w:pStyle w:val="BookBody"/>
      </w:pPr>
      <w:r>
        <w:rPr>
          <w:szCs w:val="28"/>
        </w:rPr>
        <w:t>Kant then prevents the relational account from dissolving into private worlds. An object of experience is constituted under conditions that make shared judgment possible. Yet the object remains an appearance, not a transparent disclosure of things as they are independently of every condition of knowing. Objectivity is secured through limitation.</w:t>
      </w:r>
    </w:p>
    <w:p w14:paraId="50D260F8" w14:textId="77777777" w:rsidR="004A6C7A" w:rsidRDefault="007849EA">
      <w:pPr>
        <w:pStyle w:val="BookBody"/>
      </w:pPr>
      <w:r>
        <w:rPr>
          <w:szCs w:val="28"/>
        </w:rPr>
        <w:t>The historical irony is now visible. Modern knowledge becomes more public by specifying the contribution of perceiver, instrument, and concept. Later rhetoric often calls that achievement the elimination of subjectivity. What was actually eliminated was uncontrolled variation; the trained and embodied subject remained indispensable to every reading.</w:t>
      </w:r>
    </w:p>
    <w:p w14:paraId="31DEDBD7" w14:textId="77777777" w:rsidR="004A6C7A" w:rsidRDefault="007849EA">
      <w:pPr>
        <w:pStyle w:val="BookBody"/>
      </w:pPr>
      <w:r>
        <w:rPr>
          <w:szCs w:val="28"/>
        </w:rPr>
        <w:t>Qualities return whenever the relation itself matters. Climate is not only a distribution of temperatures but a pattern lived by organisms; color is not only spectral power but an appearance guiding action; pain is not only tissue state but suffering. The next chapter asks whether a scientific practice can keep such relations visible while retaining the exact comparisons that made their exile seem necessary.</w:t>
      </w:r>
    </w:p>
    <w:p w14:paraId="4DA4A776" w14:textId="77777777" w:rsidR="004A6C7A" w:rsidRDefault="007849EA">
      <w:pPr>
        <w:pStyle w:val="BookBody"/>
      </w:pPr>
      <w:r>
        <w:rPr>
          <w:szCs w:val="28"/>
        </w:rPr>
        <w:t>The answer cannot be supplied by philosophy in isolation. It requires practices able to place measurements beside landscapes, classifications beside routes, and general lines beside singular places. The question of qualities becomes a question of representation: what kind of page can show relation without pretending to contain it?</w:t>
      </w:r>
    </w:p>
    <w:p w14:paraId="40B94A56" w14:textId="77777777" w:rsidR="004A6C7A" w:rsidRDefault="007849EA">
      <w:pPr>
        <w:pStyle w:val="BookBody"/>
      </w:pPr>
      <w:r>
        <w:rPr>
          <w:szCs w:val="28"/>
        </w:rPr>
        <w:t>That question also redefines rigor. Rigor is not only the elimination of variation but the deliberate preservation of relevant differences. A climate table that removes every local condition may travel widely and explain little; a vivid description without coordinates may communicate atmosphere and resist comparison. Adequate knowledge must know which differences to suppress and which to carry forward.</w:t>
      </w:r>
    </w:p>
    <w:p w14:paraId="1F65915F" w14:textId="77777777" w:rsidR="004A6C7A" w:rsidRDefault="007849EA">
      <w:pPr>
        <w:pStyle w:val="BookBody"/>
      </w:pPr>
      <w:r>
        <w:rPr>
          <w:szCs w:val="28"/>
        </w:rPr>
        <w:t>Humboldt's importance lies in treating that choice as scientific rather than ornamental. The arrangement of a view, the sequence of a journey, and the visual composition of data become parts of inquiry. Qualitative presence is not granted authority over measurement; it is disciplined into relation with it.</w:t>
      </w:r>
    </w:p>
    <w:p w14:paraId="1686B1F8" w14:textId="77777777" w:rsidR="004A6C7A" w:rsidRDefault="007849EA">
      <w:pPr>
        <w:pStyle w:val="BookBody"/>
      </w:pPr>
      <w:r>
        <w:rPr>
          <w:szCs w:val="28"/>
        </w:rPr>
        <w:t>This discipline is why the chapter ends with neither relativism nor reduction. Relativism would leave each perceiver within an incomparable world; reduction would treat the comparable quantity as the whole phenomenon. Modern knowledge needs a third posture: relations made explicit enough for public correction while the experienced differences that prompted inquiry remain available for interpretation.</w:t>
      </w:r>
    </w:p>
    <w:p w14:paraId="4866435F" w14:textId="77777777" w:rsidR="004A6C7A" w:rsidRDefault="007849EA">
      <w:pPr>
        <w:pStyle w:val="BookBody"/>
      </w:pPr>
      <w:r>
        <w:rPr>
          <w:szCs w:val="28"/>
        </w:rPr>
        <w:t>The exile of qualities was thus a reorganization of authority. Physics gained the right to speak decisively about measurable causes; aesthetics, psychology, craft, and ordinary language retained other aspects of appearance. The unfinished task is not to erase those jurisdictions but to compose them without allowing one to claim the reality of all the rest.</w:t>
      </w:r>
    </w:p>
    <w:p w14:paraId="163369E8" w14:textId="77777777" w:rsidR="00A04EE8" w:rsidRDefault="003E50B9">
      <w:pPr>
        <w:pStyle w:val="SectionHeading"/>
      </w:pPr>
      <w:r>
        <w:rPr>
          <w:color w:val="2E74B5"/>
        </w:rPr>
        <w:t>Qualities after Exile</w:t>
      </w:r>
    </w:p>
    <w:p w14:paraId="4D72AD51" w14:textId="77777777" w:rsidR="00A04EE8" w:rsidRDefault="003E50B9">
      <w:pPr>
        <w:pStyle w:val="BookBody"/>
      </w:pPr>
      <w:r>
        <w:t>By the end of the eighteenth century, color, sound, purpose, and value occupied differentiated provinces. Physics explained motions and interactions. Physiology investigated organs and nerves. Psychology described sensation and association. Aesthetics studied judgments of beauty and sublimity. Moral philosophy treated obligation and freedom. Natural history accumulated the forms and distributions of life. The old cosmos had been divided into expert jurisdictions.</w:t>
      </w:r>
    </w:p>
    <w:p w14:paraId="436FD391" w14:textId="77777777" w:rsidR="00A04EE8" w:rsidRDefault="003E50B9">
      <w:pPr>
        <w:pStyle w:val="BookBody"/>
      </w:pPr>
      <w:r>
        <w:t>The division enabled extraordinary precision. It also made synthesis difficult. No single science could say how the measured world and the lived world belonged together. The question did not vanish because disciplines had been assigned. It became a question about relations among disciplines and about the kind of whole they might form.</w:t>
      </w:r>
    </w:p>
    <w:p w14:paraId="34144508" w14:textId="77777777" w:rsidR="00A04EE8" w:rsidRDefault="003E50B9">
      <w:pPr>
        <w:pStyle w:val="BookBody"/>
      </w:pPr>
      <w:r>
        <w:t>Color offers the clearest miniature. Locke's power, Newton's refrangibility, Waller's samples, and the calibrated habits of later observers do not cancel one another. Each selects a relation: material constitution, optical behavior, perceptual response, linguistic comparison, practical reproduction. The full phenomenon exists across them. It cannot be restored by rejecting measurement, only by refusing to mistake one successful abstraction for the whole.</w:t>
      </w:r>
    </w:p>
    <w:p w14:paraId="08A91834" w14:textId="77777777" w:rsidR="00A04EE8" w:rsidRDefault="003E50B9">
      <w:pPr>
        <w:pStyle w:val="BookBody"/>
      </w:pPr>
      <w:r>
        <w:t>Hume makes the same point about causation from another direction. Kant makes it about experience. Public knowledge depends on subjects who have been trained to produce claims that transcend their private circumstances. Objectivity is not escape from subjectivity but its disciplined transformation.</w:t>
      </w:r>
    </w:p>
    <w:p w14:paraId="5A1243A1" w14:textId="77777777" w:rsidR="00A04EE8" w:rsidRDefault="003E50B9">
      <w:pPr>
        <w:pStyle w:val="SectionHeading"/>
      </w:pPr>
      <w:r>
        <w:rPr>
          <w:color w:val="2E74B5"/>
        </w:rPr>
        <w:t>Toward a Scientific Whole</w:t>
      </w:r>
    </w:p>
    <w:p w14:paraId="09B94EEF" w14:textId="77777777" w:rsidR="00A04EE8" w:rsidRDefault="003E50B9">
      <w:pPr>
        <w:pStyle w:val="BookBody"/>
      </w:pPr>
      <w:r>
        <w:t>The next effort at synthesis did not come from a return to the closed, hierarchical cosmos. It came from travel, instruments, maps, collections, and comparison. Alexander von Humboldt carried barometers, thermometers, sextants, electrometers, eudiometers, microscopes, compasses, and a cyanometer across mountains, rivers, forests, mines, and cities. He trusted measurement, but he refused to treat nature as a pile of isolated readings.</w:t>
      </w:r>
    </w:p>
    <w:p w14:paraId="2515D954" w14:textId="77777777" w:rsidR="00A04EE8" w:rsidRDefault="003E50B9">
      <w:pPr>
        <w:pStyle w:val="BookBody"/>
      </w:pPr>
      <w:r>
        <w:t>Humboldt's problem was precisely the one the exile of qualities had produced. Could exact empirical science recover a world of relations without pretending that beauty, atmosphere, and human response were merely errors? Could a map become aesthetically intelligible without ceasing to be quantitative? Could the experience of a landscape be joined to plant distribution, altitude, temperature, geology, and history?</w:t>
      </w:r>
    </w:p>
    <w:p w14:paraId="523F2F53" w14:textId="77777777" w:rsidR="00A04EE8" w:rsidRDefault="003E50B9">
      <w:pPr>
        <w:pStyle w:val="BookBody"/>
      </w:pPr>
      <w:r>
        <w:t>His answer would be a new kind of cosmos: open, historical, comparative, and instrumented. It would not prove that nature possessed an intrinsic moral purpose. It would try to show that knowledge itself becomes truer when measurement and attentive description are composed rather than opposed. The calibrated line and the felt landscape would meet on the slopes of Chimborazo.</w:t>
      </w:r>
    </w:p>
    <w:p w14:paraId="5D076BC0" w14:textId="77777777" w:rsidR="00A04EE8" w:rsidRDefault="003E50B9">
      <w:pPr>
        <w:pStyle w:val="NotesHeading"/>
      </w:pPr>
      <w:r>
        <w:rPr>
          <w:color w:val="2E74B5"/>
        </w:rPr>
        <w:t>Notes</w:t>
      </w:r>
    </w:p>
    <w:p w14:paraId="00BD9479" w14:textId="77777777" w:rsidR="00A04EE8" w:rsidRDefault="003E50B9">
      <w:pPr>
        <w:pStyle w:val="NoteEntry"/>
      </w:pPr>
      <w:r>
        <w:t xml:space="preserve">1. Lorraine Daston and Peter Galison, </w:t>
      </w:r>
      <w:r>
        <w:rPr>
          <w:i/>
        </w:rPr>
        <w:t>Objectivity</w:t>
      </w:r>
      <w:r>
        <w:t xml:space="preserve"> (New York: Zone Books, 2007), 17-53; Peter Dear, </w:t>
      </w:r>
      <w:r>
        <w:rPr>
          <w:i/>
        </w:rPr>
        <w:t>Discipline and Experience: The Mathematical Way in the Scientific Revolution</w:t>
      </w:r>
      <w:r>
        <w:t xml:space="preserve"> (Chicago: University of Chicago Press, 1995), 1-25.</w:t>
      </w:r>
    </w:p>
    <w:p w14:paraId="03F592C5" w14:textId="77777777" w:rsidR="00A04EE8" w:rsidRDefault="003E50B9">
      <w:pPr>
        <w:pStyle w:val="NoteEntry"/>
      </w:pPr>
      <w:r>
        <w:t xml:space="preserve">2. John Locke, </w:t>
      </w:r>
      <w:r>
        <w:rPr>
          <w:i/>
        </w:rPr>
        <w:t>An Essay Concerning Human Understanding</w:t>
      </w:r>
      <w:r>
        <w:t xml:space="preserve">, ed. Alexander Campbell Fraser, 2 vols. (New York: Dover, 1959), II.viii.7-26; Peter R. Anstey, </w:t>
      </w:r>
      <w:r>
        <w:rPr>
          <w:i/>
        </w:rPr>
        <w:t>John Locke and Natural Philosophy</w:t>
      </w:r>
      <w:r>
        <w:t xml:space="preserve"> (Oxford: Oxford University Press, 2011), 104-36.</w:t>
      </w:r>
    </w:p>
    <w:p w14:paraId="7F0C3481" w14:textId="77777777" w:rsidR="00A04EE8" w:rsidRDefault="003E50B9">
      <w:pPr>
        <w:pStyle w:val="NoteEntry"/>
      </w:pPr>
      <w:r>
        <w:t xml:space="preserve">3. Locke, </w:t>
      </w:r>
      <w:r>
        <w:rPr>
          <w:i/>
        </w:rPr>
        <w:t>Essay</w:t>
      </w:r>
      <w:r>
        <w:t>, II.viii.9-15.</w:t>
      </w:r>
    </w:p>
    <w:p w14:paraId="12473342" w14:textId="77777777" w:rsidR="00A04EE8" w:rsidRDefault="003E50B9">
      <w:pPr>
        <w:pStyle w:val="NoteEntry"/>
      </w:pPr>
      <w:r>
        <w:t xml:space="preserve">4. Locke, </w:t>
      </w:r>
      <w:r>
        <w:rPr>
          <w:i/>
        </w:rPr>
        <w:t>Essay</w:t>
      </w:r>
      <w:r>
        <w:t>, II.viii.18-21; II.viii.13-14.</w:t>
      </w:r>
    </w:p>
    <w:p w14:paraId="50861EE7" w14:textId="77777777" w:rsidR="00A04EE8" w:rsidRDefault="003E50B9">
      <w:pPr>
        <w:pStyle w:val="NoteEntry"/>
      </w:pPr>
      <w:r>
        <w:t xml:space="preserve">5. Peter Alexander, </w:t>
      </w:r>
      <w:r>
        <w:rPr>
          <w:i/>
        </w:rPr>
        <w:t>Ideas, Qualities and Corpuscles: Locke and Boyle on the External World</w:t>
      </w:r>
      <w:r>
        <w:t xml:space="preserve"> (Cambridge: Cambridge University Press, 1985), 121-68; Michael Ayers, </w:t>
      </w:r>
      <w:r>
        <w:rPr>
          <w:i/>
        </w:rPr>
        <w:t>Locke: Epistemology and Ontology</w:t>
      </w:r>
      <w:r>
        <w:t>, 2 vols. (London: Routledge, 1991), 1:61-115.</w:t>
      </w:r>
    </w:p>
    <w:p w14:paraId="445C5909" w14:textId="77777777" w:rsidR="00A04EE8" w:rsidRDefault="003E50B9">
      <w:pPr>
        <w:pStyle w:val="NoteEntry"/>
      </w:pPr>
      <w:r>
        <w:t xml:space="preserve">6. Robert Boyle, </w:t>
      </w:r>
      <w:r>
        <w:rPr>
          <w:i/>
        </w:rPr>
        <w:t>The Origin of Forms and Qualities according to the Corpuscular Philosophy</w:t>
      </w:r>
      <w:r>
        <w:t xml:space="preserve">, in </w:t>
      </w:r>
      <w:r>
        <w:rPr>
          <w:i/>
        </w:rPr>
        <w:t>The Works of Robert Boyle</w:t>
      </w:r>
      <w:r>
        <w:t xml:space="preserve">, ed. Michael Hunter and Edward B. Davis, vol. 5 (London: Pickering &amp; Chatto, 1999-2000), 305-82; Alexander, </w:t>
      </w:r>
      <w:r>
        <w:rPr>
          <w:i/>
        </w:rPr>
        <w:t>Ideas, Qualities and Corpuscles</w:t>
      </w:r>
      <w:r>
        <w:t>, 45-83.</w:t>
      </w:r>
    </w:p>
    <w:p w14:paraId="25D0954C" w14:textId="77777777" w:rsidR="00A04EE8" w:rsidRDefault="003E50B9">
      <w:pPr>
        <w:pStyle w:val="NoteEntry"/>
      </w:pPr>
      <w:r>
        <w:t xml:space="preserve">7. Locke, </w:t>
      </w:r>
      <w:r>
        <w:rPr>
          <w:i/>
        </w:rPr>
        <w:t>Essay</w:t>
      </w:r>
      <w:r>
        <w:t xml:space="preserve">, III.iii.15-18; III.vi.2-9; Anstey, </w:t>
      </w:r>
      <w:r>
        <w:rPr>
          <w:i/>
        </w:rPr>
        <w:t>John Locke and Natural Philosophy</w:t>
      </w:r>
      <w:r>
        <w:t>, 174-208.</w:t>
      </w:r>
    </w:p>
    <w:p w14:paraId="4DFC5515" w14:textId="77777777" w:rsidR="00A04EE8" w:rsidRDefault="003E50B9">
      <w:pPr>
        <w:pStyle w:val="NoteEntry"/>
      </w:pPr>
      <w:r>
        <w:t xml:space="preserve">8. Richard Waller, "A Catalogue of Simple and Mixt Colours, with a Specimen of Each Colour Prefixt to Its Proper Name," </w:t>
      </w:r>
      <w:r>
        <w:rPr>
          <w:i/>
        </w:rPr>
        <w:t>Philosophical Transactions of the Royal Society</w:t>
      </w:r>
      <w:r>
        <w:t xml:space="preserve"> 16 (1686): 24-32.</w:t>
      </w:r>
    </w:p>
    <w:p w14:paraId="6458E39D" w14:textId="77777777" w:rsidR="00A04EE8" w:rsidRDefault="003E50B9">
      <w:pPr>
        <w:pStyle w:val="NoteEntry"/>
      </w:pPr>
      <w:r>
        <w:t xml:space="preserve">9. Isaac Newton, </w:t>
      </w:r>
      <w:r>
        <w:rPr>
          <w:i/>
        </w:rPr>
        <w:t>Opticks; or, A Treatise of the Reflections, Refractions, Inflections and Colours of Light</w:t>
      </w:r>
      <w:r>
        <w:t xml:space="preserve">, 4th ed. (London, 1730), Book I, Part II, Propositions I-VII; Alan E. Shapiro, </w:t>
      </w:r>
      <w:r>
        <w:rPr>
          <w:i/>
        </w:rPr>
        <w:t>Fits, Passions, and Paroxysms: Physics, Method, and Chemistry and Newton's Theories of Colored Bodies and Fits of Easy Reflection</w:t>
      </w:r>
      <w:r>
        <w:t xml:space="preserve"> (Cambridge: Cambridge University Press, 1993), 1-26.</w:t>
      </w:r>
    </w:p>
    <w:p w14:paraId="4120E7D6" w14:textId="77777777" w:rsidR="00A04EE8" w:rsidRDefault="003E50B9">
      <w:pPr>
        <w:pStyle w:val="NoteEntry"/>
      </w:pPr>
      <w:r>
        <w:t xml:space="preserve">10. Gerhard Dohrn-van Rossum, </w:t>
      </w:r>
      <w:r>
        <w:rPr>
          <w:i/>
        </w:rPr>
        <w:t>History of the Hour: Clocks and Modern Temporal Orders</w:t>
      </w:r>
      <w:r>
        <w:t xml:space="preserve">, trans. Thomas Dunlap (Chicago: University of Chicago Press, 1996), 277-313; Alfred W. Crosby, </w:t>
      </w:r>
      <w:r>
        <w:rPr>
          <w:i/>
        </w:rPr>
        <w:t>The Measure of Reality: Quantification and Western Society, 1250-1600</w:t>
      </w:r>
      <w:r>
        <w:t xml:space="preserve"> (Cambridge: Cambridge University Press, 1997), 121-39.</w:t>
      </w:r>
    </w:p>
    <w:p w14:paraId="266AC281" w14:textId="77777777" w:rsidR="00A04EE8" w:rsidRDefault="003E50B9">
      <w:pPr>
        <w:pStyle w:val="NoteEntry"/>
      </w:pPr>
      <w:r>
        <w:t xml:space="preserve">11. Simon Schaffer, "Late Victorian Metrology and Its Instrumentation: A Manufactory of Ohms," in </w:t>
      </w:r>
      <w:r>
        <w:rPr>
          <w:i/>
        </w:rPr>
        <w:t>Invisible Connections: Instruments, Institutions, and Science</w:t>
      </w:r>
      <w:r>
        <w:t xml:space="preserve">, ed. Robert Bud and Susan E. Cozzens (Bellingham, WA: SPIE Optical Engineering Press, 1992), 23-56; Daston and Galison, </w:t>
      </w:r>
      <w:r>
        <w:rPr>
          <w:i/>
        </w:rPr>
        <w:t>Objectivity</w:t>
      </w:r>
      <w:r>
        <w:t>, 115-90.</w:t>
      </w:r>
    </w:p>
    <w:p w14:paraId="68B48675" w14:textId="77777777" w:rsidR="00A04EE8" w:rsidRDefault="003E50B9">
      <w:pPr>
        <w:pStyle w:val="NoteEntry"/>
      </w:pPr>
      <w:r>
        <w:t xml:space="preserve">12. Barbara J. Shapiro, </w:t>
      </w:r>
      <w:r>
        <w:rPr>
          <w:i/>
        </w:rPr>
        <w:t>A Culture of Fact: England, 1550-1720</w:t>
      </w:r>
      <w:r>
        <w:t xml:space="preserve"> (Ithaca: Cornell University Press, 2000), 1-26; Mary Poovey, </w:t>
      </w:r>
      <w:r>
        <w:rPr>
          <w:i/>
        </w:rPr>
        <w:t>A History of the Modern Fact: Problems of Knowledge in the Sciences of Wealth and Society</w:t>
      </w:r>
      <w:r>
        <w:t xml:space="preserve"> (Chicago: University of Chicago Press, 1998), 1-27.</w:t>
      </w:r>
    </w:p>
    <w:p w14:paraId="70972E29" w14:textId="77777777" w:rsidR="00A04EE8" w:rsidRDefault="003E50B9">
      <w:pPr>
        <w:pStyle w:val="NoteEntry"/>
      </w:pPr>
      <w:r>
        <w:t xml:space="preserve">13. Poovey, </w:t>
      </w:r>
      <w:r>
        <w:rPr>
          <w:i/>
        </w:rPr>
        <w:t>History of the Modern Fact</w:t>
      </w:r>
      <w:r>
        <w:t>, 29-91.</w:t>
      </w:r>
    </w:p>
    <w:p w14:paraId="72D2DE2B" w14:textId="77777777" w:rsidR="00A04EE8" w:rsidRDefault="003E50B9">
      <w:pPr>
        <w:pStyle w:val="NoteEntry"/>
      </w:pPr>
      <w:r>
        <w:t xml:space="preserve">14. David Hume, </w:t>
      </w:r>
      <w:r>
        <w:rPr>
          <w:i/>
        </w:rPr>
        <w:t>An Enquiry Concerning Human Understanding</w:t>
      </w:r>
      <w:r>
        <w:t>, ed. Tom L. Beauchamp (Oxford: Oxford University Press, 1999), sections IV and VII.</w:t>
      </w:r>
    </w:p>
    <w:p w14:paraId="1EA1FA74" w14:textId="77777777" w:rsidR="00A04EE8" w:rsidRDefault="003E50B9">
      <w:pPr>
        <w:pStyle w:val="NoteEntry"/>
      </w:pPr>
      <w:r>
        <w:t xml:space="preserve">15. Hume, </w:t>
      </w:r>
      <w:r>
        <w:rPr>
          <w:i/>
        </w:rPr>
        <w:t>Enquiry</w:t>
      </w:r>
      <w:r>
        <w:t xml:space="preserve">, IV.16-21; Don Garrett, </w:t>
      </w:r>
      <w:r>
        <w:rPr>
          <w:i/>
        </w:rPr>
        <w:t>Cognition and Commitment in Hume's Philosophy</w:t>
      </w:r>
      <w:r>
        <w:t xml:space="preserve"> (New York: Oxford University Press, 1997), 82-109.</w:t>
      </w:r>
    </w:p>
    <w:p w14:paraId="4711FE18" w14:textId="77777777" w:rsidR="00A04EE8" w:rsidRDefault="003E50B9">
      <w:pPr>
        <w:pStyle w:val="NoteEntry"/>
      </w:pPr>
      <w:r>
        <w:t xml:space="preserve">16. Hume, </w:t>
      </w:r>
      <w:r>
        <w:rPr>
          <w:i/>
        </w:rPr>
        <w:t>Enquiry</w:t>
      </w:r>
      <w:r>
        <w:t xml:space="preserve">, V.1-5; Garrett, </w:t>
      </w:r>
      <w:r>
        <w:rPr>
          <w:i/>
        </w:rPr>
        <w:t>Cognition and Commitment</w:t>
      </w:r>
      <w:r>
        <w:t>, 137-68.</w:t>
      </w:r>
    </w:p>
    <w:p w14:paraId="184DC346" w14:textId="77777777" w:rsidR="00A04EE8" w:rsidRDefault="003E50B9">
      <w:pPr>
        <w:pStyle w:val="NoteEntry"/>
      </w:pPr>
      <w:r>
        <w:t xml:space="preserve">17. Theodore M. Porter, </w:t>
      </w:r>
      <w:r>
        <w:rPr>
          <w:i/>
        </w:rPr>
        <w:t>Trust in Numbers: The Pursuit of Objectivity in Science and Public Life</w:t>
      </w:r>
      <w:r>
        <w:t xml:space="preserve"> (Princeton: Princeton University Press, 1995), 3-48.</w:t>
      </w:r>
    </w:p>
    <w:p w14:paraId="7A492520" w14:textId="77777777" w:rsidR="00A04EE8" w:rsidRDefault="003E50B9">
      <w:pPr>
        <w:pStyle w:val="NoteEntry"/>
      </w:pPr>
      <w:r>
        <w:t xml:space="preserve">18. Immanuel Kant, </w:t>
      </w:r>
      <w:r>
        <w:rPr>
          <w:i/>
        </w:rPr>
        <w:t>Critique of Pure Reason</w:t>
      </w:r>
      <w:r>
        <w:t xml:space="preserve">, trans. and ed. Paul Guyer and Allen W. Wood (Cambridge: Cambridge University Press, 1998), Bxvi-Bxviii; Henry E. Allison, </w:t>
      </w:r>
      <w:r>
        <w:rPr>
          <w:i/>
        </w:rPr>
        <w:t>Kant's Transcendental Idealism: An Interpretation and Defense</w:t>
      </w:r>
      <w:r>
        <w:t>, rev. ed. (New Haven: Yale University Press, 2004), 22-53.</w:t>
      </w:r>
    </w:p>
    <w:p w14:paraId="63222E84" w14:textId="77777777" w:rsidR="00A04EE8" w:rsidRDefault="003E50B9">
      <w:pPr>
        <w:pStyle w:val="NoteEntry"/>
      </w:pPr>
      <w:r>
        <w:t xml:space="preserve">19. Kant, </w:t>
      </w:r>
      <w:r>
        <w:rPr>
          <w:i/>
        </w:rPr>
        <w:t>Critique of Pure Reason</w:t>
      </w:r>
      <w:r>
        <w:t>, A19/B33-A49/B73, A50/B74-A130/B169.</w:t>
      </w:r>
    </w:p>
    <w:p w14:paraId="315F5B64" w14:textId="77777777" w:rsidR="00A04EE8" w:rsidRDefault="003E50B9">
      <w:pPr>
        <w:pStyle w:val="NoteEntry"/>
      </w:pPr>
      <w:r>
        <w:t xml:space="preserve">20. Kant, </w:t>
      </w:r>
      <w:r>
        <w:rPr>
          <w:i/>
        </w:rPr>
        <w:t>Critique of Pure Reason</w:t>
      </w:r>
      <w:r>
        <w:t xml:space="preserve">, A189/B232-A211/B256; Eric Watkins, </w:t>
      </w:r>
      <w:r>
        <w:rPr>
          <w:i/>
        </w:rPr>
        <w:t>Kant and the Metaphysics of Causality</w:t>
      </w:r>
      <w:r>
        <w:t xml:space="preserve"> (Cambridge: Cambridge University Press, 2005), 184-230.</w:t>
      </w:r>
    </w:p>
    <w:p w14:paraId="3241D236" w14:textId="77777777" w:rsidR="00A04EE8" w:rsidRDefault="003E50B9">
      <w:pPr>
        <w:pStyle w:val="NoteEntry"/>
      </w:pPr>
      <w:r>
        <w:t xml:space="preserve">21. Kant, </w:t>
      </w:r>
      <w:r>
        <w:rPr>
          <w:i/>
        </w:rPr>
        <w:t>Critique of Pure Reason</w:t>
      </w:r>
      <w:r>
        <w:t xml:space="preserve">, A158/B197-A235/B294; Michael Friedman, </w:t>
      </w:r>
      <w:r>
        <w:rPr>
          <w:i/>
        </w:rPr>
        <w:t>Kant and the Exact Sciences</w:t>
      </w:r>
      <w:r>
        <w:t xml:space="preserve"> (Cambridge, MA: Harvard University Press, 1992), 55-135.</w:t>
      </w:r>
    </w:p>
    <w:p w14:paraId="222A3504" w14:textId="77777777" w:rsidR="00A04EE8" w:rsidRDefault="003E50B9">
      <w:pPr>
        <w:pStyle w:val="NoteEntry"/>
      </w:pPr>
      <w:r>
        <w:t xml:space="preserve">22. Watkins, </w:t>
      </w:r>
      <w:r>
        <w:rPr>
          <w:i/>
        </w:rPr>
        <w:t>Kant and the Metaphysics of Causality</w:t>
      </w:r>
      <w:r>
        <w:t>, 231-76.</w:t>
      </w:r>
    </w:p>
    <w:p w14:paraId="4840944C" w14:textId="77777777" w:rsidR="00A04EE8" w:rsidRDefault="003E50B9">
      <w:pPr>
        <w:pStyle w:val="NoteEntry"/>
      </w:pPr>
      <w:r>
        <w:t xml:space="preserve">23. Immanuel Kant, </w:t>
      </w:r>
      <w:r>
        <w:rPr>
          <w:i/>
        </w:rPr>
        <w:t>Critique of the Power of Judgment</w:t>
      </w:r>
      <w:r>
        <w:t>, ed. Paul Guyer, trans. Paul Guyer and Eric Matthews (Cambridge: Cambridge University Press, 2000), sections 1-22 and 61-78.</w:t>
      </w:r>
    </w:p>
    <w:p w14:paraId="70860A23" w14:textId="77777777" w:rsidR="00A04EE8" w:rsidRDefault="003E50B9">
      <w:pPr>
        <w:pStyle w:val="NoteEntry"/>
      </w:pPr>
      <w:r>
        <w:t xml:space="preserve">24. Friedman, </w:t>
      </w:r>
      <w:r>
        <w:rPr>
          <w:i/>
        </w:rPr>
        <w:t>Kant and the Exact Sciences</w:t>
      </w:r>
      <w:r>
        <w:t>, 1-52, 136-210.</w:t>
      </w:r>
    </w:p>
    <w:p w14:paraId="613FDB72" w14:textId="77777777" w:rsidR="00A04EE8" w:rsidRDefault="003E50B9">
      <w:pPr>
        <w:pStyle w:val="NoteEntry"/>
      </w:pPr>
      <w:r>
        <w:t xml:space="preserve">25. Daston and Galison, </w:t>
      </w:r>
      <w:r>
        <w:rPr>
          <w:i/>
        </w:rPr>
        <w:t>Objectivity</w:t>
      </w:r>
      <w:r>
        <w:t>, 55-190.</w:t>
      </w:r>
    </w:p>
    <w:p w14:paraId="69D292A2" w14:textId="77777777" w:rsidR="00A04EE8" w:rsidRDefault="003E50B9">
      <w:pPr>
        <w:pStyle w:val="NoteEntry"/>
      </w:pPr>
      <w:r>
        <w:t xml:space="preserve">26. On the difference between measurement and the first-person reality of pain, see Joanna Bourke, </w:t>
      </w:r>
      <w:r>
        <w:rPr>
          <w:i/>
        </w:rPr>
        <w:t>The Story of Pain: From Prayer to Painkillers</w:t>
      </w:r>
      <w:r>
        <w:t xml:space="preserve"> (Oxford: Oxford University Press, 2014), 1-25; Daston and Galison, </w:t>
      </w:r>
      <w:r>
        <w:rPr>
          <w:i/>
        </w:rPr>
        <w:t>Objectivity</w:t>
      </w:r>
      <w:r>
        <w:t>, 191-250.</w:t>
      </w:r>
    </w:p>
    <w:p w14:paraId="4E50321C" w14:textId="77777777" w:rsidR="00A04EE8" w:rsidRDefault="003E50B9">
      <w:pPr>
        <w:pStyle w:val="NoteEntry"/>
      </w:pPr>
      <w:r>
        <w:t xml:space="preserve">27. Ken Alder, </w:t>
      </w:r>
      <w:r>
        <w:rPr>
          <w:i/>
        </w:rPr>
        <w:t>The Measure of All Things: The Seven-Year Odyssey and Hidden Error That Transformed the World</w:t>
      </w:r>
      <w:r>
        <w:t xml:space="preserve"> (New York: Free Press, 2002), 1-20, 289-334; Witold Kula, </w:t>
      </w:r>
      <w:r>
        <w:rPr>
          <w:i/>
        </w:rPr>
        <w:t>Measures and Men</w:t>
      </w:r>
      <w:r>
        <w:t>, trans. R. Szreter (Princeton: Princeton University Press, 1986), 3-22.</w:t>
      </w:r>
    </w:p>
    <w:p w14:paraId="759F2D2B" w14:textId="77777777" w:rsidR="00A04EE8" w:rsidRDefault="003E50B9">
      <w:pPr>
        <w:pStyle w:val="NoteEntry"/>
      </w:pPr>
      <w:r>
        <w:t xml:space="preserve">28. Sarah Lowengard, </w:t>
      </w:r>
      <w:r>
        <w:rPr>
          <w:i/>
        </w:rPr>
        <w:t>The Creation of Color in Eighteenth-Century Europe</w:t>
      </w:r>
      <w:r>
        <w:t xml:space="preserve"> (New York: Columbia University Press, 2006), introduction and chaps. 2-4.</w:t>
      </w:r>
    </w:p>
    <w:p w14:paraId="7694B205" w14:textId="77777777" w:rsidR="00A04EE8" w:rsidRDefault="003E50B9">
      <w:pPr>
        <w:pStyle w:val="NoteEntry"/>
      </w:pPr>
      <w:r>
        <w:t xml:space="preserve">29. Lowengard, </w:t>
      </w:r>
      <w:r>
        <w:rPr>
          <w:i/>
        </w:rPr>
        <w:t>Creation of Color</w:t>
      </w:r>
      <w:r>
        <w:t xml:space="preserve">, chaps. 8-10; Rolf G. Kuehni and Andreas Schwarz, </w:t>
      </w:r>
      <w:r>
        <w:rPr>
          <w:i/>
        </w:rPr>
        <w:t>Color Ordered: A Survey of Color Systems from Antiquity to the Present</w:t>
      </w:r>
      <w:r>
        <w:t xml:space="preserve"> (Oxford: Oxford University Press, 2008), 77-105.</w:t>
      </w:r>
    </w:p>
    <w:p w14:paraId="417E5D22" w14:textId="77777777" w:rsidR="00A04EE8" w:rsidRDefault="003E50B9">
      <w:pPr>
        <w:pStyle w:val="NoteEntry"/>
      </w:pPr>
      <w:r>
        <w:t xml:space="preserve">30. Porter, </w:t>
      </w:r>
      <w:r>
        <w:rPr>
          <w:i/>
        </w:rPr>
        <w:t>Trust in Numbers</w:t>
      </w:r>
      <w:r>
        <w:t xml:space="preserve">, 49-86; Ian Hacking, </w:t>
      </w:r>
      <w:r>
        <w:rPr>
          <w:i/>
        </w:rPr>
        <w:t>The Taming of Chance</w:t>
      </w:r>
      <w:r>
        <w:t xml:space="preserve"> (Cambridge: Cambridge University Press, 1990), 1-10, 104-22.</w:t>
      </w:r>
    </w:p>
    <w:p w14:paraId="27C7A9CF" w14:textId="77777777" w:rsidR="00A04EE8" w:rsidRDefault="003E50B9">
      <w:pPr>
        <w:pStyle w:val="NoteEntry"/>
      </w:pPr>
      <w:r>
        <w:t xml:space="preserve">31. Kant, </w:t>
      </w:r>
      <w:r>
        <w:rPr>
          <w:i/>
        </w:rPr>
        <w:t>Critique of the Power of Judgment</w:t>
      </w:r>
      <w:r>
        <w:t>, sections 6-9, 23-29, and 40.</w:t>
      </w:r>
    </w:p>
    <w:p w14:paraId="31CA367A" w14:textId="77777777" w:rsidR="00A04EE8" w:rsidRDefault="003E50B9">
      <w:pPr>
        <w:pStyle w:val="ChapterHeading"/>
      </w:pPr>
      <w:bookmarkStart w:id="23" w:name="toc_chapter_18"/>
      <w:r>
        <w:rPr>
          <w:sz w:val="28"/>
        </w:rPr>
        <w:t>Chapter 18</w:t>
      </w:r>
      <w:r>
        <w:rPr>
          <w:sz w:val="28"/>
        </w:rPr>
        <w:br/>
      </w:r>
      <w:r>
        <w:t>Humboldt and the Last Scientific Cosmos</w:t>
      </w:r>
      <w:bookmarkEnd w:id="23"/>
    </w:p>
    <w:p w14:paraId="3598BCB7" w14:textId="77777777" w:rsidR="00A04EE8" w:rsidRDefault="003E50B9">
      <w:pPr>
        <w:pStyle w:val="BookBody"/>
      </w:pPr>
      <w:r>
        <w:t>The most ambitious image Alexander von Humboldt made of the tropical Andes is not a landscape in the ordinary sense. Chimborazo rises at the center, its slopes opened into a cross-section and covered with the names of plants. On either side, vertical columns assemble altitude, pressure, temperature, humidity, the blueness of the sky, cultivation, snow lines, animal life, chemical properties of the air, and comparisons with mountains elsewhere. Clouds and vegetation are painted; numbers and words surround them. The image asks the eye to move between experience and table, mountain and archive, local ascent and planetary comparison.</w:t>
      </w:r>
    </w:p>
    <w:p w14:paraId="3F8C7C84" w14:textId="77777777" w:rsidR="00A04EE8" w:rsidRDefault="003E50B9">
      <w:pPr>
        <w:pStyle w:val="BookBody"/>
      </w:pPr>
      <w:r>
        <w:t xml:space="preserve">Humboldt called such a composition a </w:t>
      </w:r>
      <w:r>
        <w:rPr>
          <w:i/>
        </w:rPr>
        <w:t>Naturgemälde</w:t>
      </w:r>
      <w:r>
        <w:t xml:space="preserve">: a picture of nature. The word joined forms of attention that modern knowledge increasingly separated. A picture offered simultaneity, sensuous form, and aesthetic order. Natural history offered names and distributions. Physics offered measurements. Geography offered location and comparison. The </w:t>
      </w:r>
      <w:r>
        <w:rPr>
          <w:i/>
        </w:rPr>
        <w:t>Naturgemälde</w:t>
      </w:r>
      <w:r>
        <w:t xml:space="preserve"> attempted to show their relations without dissolving their differences.</w:t>
      </w:r>
      <w:r>
        <w:rPr>
          <w:vertAlign w:val="superscript"/>
        </w:rPr>
        <w:t>1</w:t>
      </w:r>
    </w:p>
    <w:p w14:paraId="0B91AB19" w14:textId="77777777" w:rsidR="00A04EE8" w:rsidRDefault="003E50B9">
      <w:pPr>
        <w:pStyle w:val="BookBody"/>
      </w:pPr>
      <w:r>
        <w:t>This was Humboldt's answer to the exile of qualities. He accepted the authority of exact observation. His expeditions were crowded with instruments, tables, specimens, calculations, and repeated measurements. Yet he rejected the idea that nature became scientifically intelligible when stripped into isolated quantities. A thermometer reading belonged with altitude, exposure, vegetation, water, soil, cultivation, and the bodily experience of a place. The whole was not an occult essence behind the facts. It was the pattern of relations among them.</w:t>
      </w:r>
    </w:p>
    <w:p w14:paraId="6E5D9B12" w14:textId="77777777" w:rsidR="00A04EE8" w:rsidRDefault="003E50B9">
      <w:pPr>
        <w:pStyle w:val="BookBody"/>
      </w:pPr>
      <w:r>
        <w:t>The attempt produced the last great scientific cosmos in the older expansive sense: an ordered account of the universe that joined knowledge and experience, precision and beauty, human history and physical nature. It was modern because it was open to revision, distributed across specialties, and grounded in empirical comparison. It was also unstable. The networks that made Humboldt's whole possible ran through colonial permissions, mines, plantations, missions, museums, commercial routes, Indigenous expertise, coerced labor, and European print. Interconnection could disclose dependence without dissolving power.</w:t>
      </w:r>
    </w:p>
    <w:p w14:paraId="1812FC33" w14:textId="77777777" w:rsidR="004A6C7A" w:rsidRDefault="007849EA">
      <w:pPr>
        <w:pStyle w:val="SectionHeading"/>
      </w:pPr>
      <w:r>
        <w:rPr>
          <w:rFonts w:cstheme="majorBidi"/>
          <w:bCs/>
          <w:color w:val="2E74B5"/>
          <w:szCs w:val="28"/>
        </w:rPr>
        <w:t>A Mountain That Became a Page</w:t>
      </w:r>
    </w:p>
    <w:p w14:paraId="2B61F158" w14:textId="77777777" w:rsidR="004A6C7A" w:rsidRDefault="007849EA">
      <w:pPr>
        <w:pStyle w:val="BookBody"/>
      </w:pPr>
      <w:r>
        <w:rPr>
          <w:szCs w:val="28"/>
        </w:rPr>
        <w:t xml:space="preserve">The 1807 </w:t>
      </w:r>
      <w:r>
        <w:rPr>
          <w:i/>
          <w:szCs w:val="28"/>
        </w:rPr>
        <w:t>Naturgemalde</w:t>
      </w:r>
      <w:r>
        <w:rPr>
          <w:szCs w:val="28"/>
        </w:rPr>
        <w:t xml:space="preserve"> asks to be read before it is interpreted. Chimborazo rises at the center of a broad engraved sheet, its slopes cut open and filled with the names of plants. Columns of measurements stand beside the mountain: altitude, pressure, temperature, limits of cultivation, geological information, and comparisons with other peaks. The page is at once landscape, table, section, map, and argument. It refuses the usual choice between image and data.</w:t>
      </w:r>
    </w:p>
    <w:p w14:paraId="67747503" w14:textId="77777777" w:rsidR="004A6C7A" w:rsidRDefault="007849EA">
      <w:pPr>
        <w:pStyle w:val="BookBody"/>
      </w:pPr>
      <w:r>
        <w:rPr>
          <w:szCs w:val="28"/>
        </w:rPr>
        <w:t>No traveler could see this picture from one physical position. From the valley, the summit hides details of the upper slopes; from the mountain, the observer cannot survey all climatic zones at once; no eye perceives pressure or latitude as visible bands. The image is synthetic. It composes measurements made at different times and places into a simultaneous field. Its wholeness is constructed, but construction here is the condition of insight.</w:t>
      </w:r>
    </w:p>
    <w:p w14:paraId="79B9EF32" w14:textId="77777777" w:rsidR="004A6C7A" w:rsidRDefault="007849EA">
      <w:pPr>
        <w:pStyle w:val="BookBody"/>
      </w:pPr>
      <w:r>
        <w:rPr>
          <w:szCs w:val="28"/>
        </w:rPr>
        <w:t>The plant names transform altitude into relation. A species is not displayed as an isolated specimen detached from habitat. It appears within a zone shaped by temperature, moisture, exposure, and elevation. The mountain becomes a vertical geography in which ascent can substitute, imperfectly, for travel across latitude. Humboldt can compare tropical height with movement toward the poles because both alter the conditions under which plants live.</w:t>
      </w:r>
    </w:p>
    <w:p w14:paraId="6D1A3BB6" w14:textId="77777777" w:rsidR="004A6C7A" w:rsidRDefault="007849EA">
      <w:pPr>
        <w:pStyle w:val="BookBody"/>
      </w:pPr>
      <w:r>
        <w:rPr>
          <w:szCs w:val="28"/>
        </w:rPr>
        <w:t>The sheet also teaches a new way of looking. A picturesque mountain invites admiration of form; a mining section reveals strata; a botanical plate isolates morphology; a table orders quantities. Humboldt overlays these habits. The viewer must move between the sensual unity of the silhouette and the analytic plurality of inscriptions. Knowledge of the whole arises through oscillation, not through the victory of one visual language.</w:t>
      </w:r>
    </w:p>
    <w:p w14:paraId="22719A59" w14:textId="77777777" w:rsidR="004A6C7A" w:rsidRDefault="007849EA">
      <w:pPr>
        <w:pStyle w:val="BookBody"/>
      </w:pPr>
      <w:r>
        <w:rPr>
          <w:szCs w:val="28"/>
        </w:rPr>
        <w:t xml:space="preserve">That is why the </w:t>
      </w:r>
      <w:r>
        <w:rPr>
          <w:i/>
          <w:szCs w:val="28"/>
        </w:rPr>
        <w:t>Naturgemalde</w:t>
      </w:r>
      <w:r>
        <w:rPr>
          <w:szCs w:val="28"/>
        </w:rPr>
        <w:t xml:space="preserve"> is more than an illustration of conclusions stated elsewhere. It is a device for reasoning. It permits relations to appear that prose would distribute across pages: where tree lines fall, how snow limits compare, which cultivated plants cease at which heights, and how the Andes relate to European mountains. The page embodies Humboldt's central claim that facts become scientific when their connections are made perceptible.</w:t>
      </w:r>
      <w:r>
        <w:rPr>
          <w:szCs w:val="28"/>
          <w:vertAlign w:val="superscript"/>
        </w:rPr>
        <w:t>13</w:t>
      </w:r>
    </w:p>
    <w:p w14:paraId="7B3B0B17" w14:textId="77777777" w:rsidR="00A04EE8" w:rsidRDefault="003E50B9">
      <w:pPr>
        <w:pStyle w:val="SectionHeading"/>
      </w:pPr>
      <w:r>
        <w:rPr>
          <w:color w:val="2E74B5"/>
        </w:rPr>
        <w:t>The Traveling Laboratory</w:t>
      </w:r>
    </w:p>
    <w:p w14:paraId="23256B7E" w14:textId="77777777" w:rsidR="00A04EE8" w:rsidRDefault="003E50B9">
      <w:pPr>
        <w:pStyle w:val="BookBody"/>
      </w:pPr>
      <w:r>
        <w:t>Humboldt did not arrive in Spanish America with a single universal instrument. He carried a mobile ensemble: sextants and chronometers for position, barometers for altitude, thermometers for air and water, compasses and magnetometers, electrometers, eudiometers for atmospheric analysis, hygrometers, microscopes, collecting equipment, and a cyanometer for comparing the blue of the sky. The instruments were selected in Europe, tested against trusted standards, packed into cases, carried by ships, canoes, mules, porters, and human hands, and repeatedly repaired.</w:t>
      </w:r>
      <w:r>
        <w:rPr>
          <w:vertAlign w:val="superscript"/>
        </w:rPr>
        <w:t>2</w:t>
      </w:r>
    </w:p>
    <w:p w14:paraId="6D99773E" w14:textId="77777777" w:rsidR="00A04EE8" w:rsidRDefault="003E50B9">
      <w:pPr>
        <w:pStyle w:val="FigureImage"/>
      </w:pPr>
      <w:r>
        <w:rPr>
          <w:noProof/>
        </w:rPr>
        <w:drawing>
          <wp:inline distT="0" distB="0" distL="0" distR="0" wp14:anchorId="4EB2E844" wp14:editId="408549ED">
            <wp:extent cx="3931920" cy="4279502"/>
            <wp:effectExtent l="0" t="0" r="0" b="0"/>
            <wp:docPr id="1866470654" name="Picture 1866470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xtant.jpg"/>
                    <pic:cNvPicPr/>
                  </pic:nvPicPr>
                  <pic:blipFill>
                    <a:blip r:embed="rId25"/>
                    <a:stretch>
                      <a:fillRect/>
                    </a:stretch>
                  </pic:blipFill>
                  <pic:spPr>
                    <a:xfrm>
                      <a:off x="0" y="0"/>
                      <a:ext cx="3931920" cy="4279502"/>
                    </a:xfrm>
                    <a:prstGeom prst="rect">
                      <a:avLst/>
                    </a:prstGeom>
                  </pic:spPr>
                </pic:pic>
              </a:graphicData>
            </a:graphic>
          </wp:inline>
        </w:drawing>
      </w:r>
    </w:p>
    <w:p w14:paraId="338087C0" w14:textId="77777777" w:rsidR="00A04EE8" w:rsidRDefault="003E50B9">
      <w:pPr>
        <w:pStyle w:val="FigureCaption"/>
      </w:pPr>
      <w:r>
        <w:t>Figure 18.1. A sextant associated with Alexander von Humboldt, made in London in 1773. Instruments for angle, time, pressure, temperature, magnetism, atmospheric chemistry, and color turned the expedition into a traveling laboratory. Photograph by Burkhard Muecke, Wikimedia Commons, CC BY-SA 4.0; object credit and final reproduction line to be verified.</w:t>
      </w:r>
    </w:p>
    <w:p w14:paraId="64E49EE6" w14:textId="77777777" w:rsidR="00A04EE8" w:rsidRDefault="003E50B9">
      <w:pPr>
        <w:pStyle w:val="BookBody"/>
      </w:pPr>
      <w:r>
        <w:t>The sextant is a compact emblem of the enterprise. By measuring an angle between a celestial body and the horizon, and by joining that angle to time and astronomical tables, an observer could place a moving body on a planetary grid. The instrument did not make position immediate. It coordinated eye, mirror, arc, clock, horizon, calculation, and prior astronomical knowledge. A location became exact through a chain of relations.</w:t>
      </w:r>
    </w:p>
    <w:p w14:paraId="31B0C8B4" w14:textId="77777777" w:rsidR="00A04EE8" w:rsidRDefault="003E50B9">
      <w:pPr>
        <w:pStyle w:val="BookBody"/>
      </w:pPr>
      <w:r>
        <w:t>Humboldt treated this exactness as a moral and intellectual discipline. He distrusted vague grandeur when a measurement could be made. He checked elevations and positions, compared instruments, recorded hours, and preserved apparent anomalies. But he did not imagine the instrument as an observer without a body. Heat damaged equipment. Humidity clouded surfaces. Movement disrupted mercury. Mountain sickness, fatigue, insects, illness, and danger altered attention. A traveling laboratory was not a sealed room transported intact. It was an exposed system whose reliability had to be remade at every site.</w:t>
      </w:r>
      <w:r>
        <w:rPr>
          <w:vertAlign w:val="superscript"/>
        </w:rPr>
        <w:t>3</w:t>
      </w:r>
    </w:p>
    <w:p w14:paraId="6610717D" w14:textId="77777777" w:rsidR="00A04EE8" w:rsidRDefault="003E50B9">
      <w:pPr>
        <w:pStyle w:val="BookBody"/>
      </w:pPr>
      <w:r>
        <w:t>The labor was collective. Aimé Bonpland collected, dissected, identified, preserved, and compared plants while sharing the physical burdens of travel. Guides found routes. Boatmen navigated currents. Porters moved crates. Local scholars opened collections and explained regional knowledge. Unnamed workers gathered specimens and sustained camps. The image of the solitary scientific traveler condenses this labor into a heroic figure. The archive expands it again.</w:t>
      </w:r>
    </w:p>
    <w:p w14:paraId="1FDEA8EC" w14:textId="77777777" w:rsidR="00A04EE8" w:rsidRDefault="003E50B9">
      <w:pPr>
        <w:pStyle w:val="SectionHeading"/>
      </w:pPr>
      <w:r>
        <w:rPr>
          <w:color w:val="2E74B5"/>
        </w:rPr>
        <w:t>From Mines to Mountains</w:t>
      </w:r>
    </w:p>
    <w:p w14:paraId="3C03176A" w14:textId="77777777" w:rsidR="00A04EE8" w:rsidRDefault="003E50B9">
      <w:pPr>
        <w:pStyle w:val="BookBody"/>
      </w:pPr>
      <w:r>
        <w:t>Before the American expedition, Humboldt trained in mining administration and worked in the Prussian territories. Mines taught him to join geology, chemistry, instruments, labor, ventilation, extraction, and state administration. They also gave him a vertical imagination. The earth was not only a surface to cross but a body to enter, section, measure, and compare.</w:t>
      </w:r>
      <w:r>
        <w:rPr>
          <w:vertAlign w:val="superscript"/>
        </w:rPr>
        <w:t>4</w:t>
      </w:r>
    </w:p>
    <w:p w14:paraId="5DA60164" w14:textId="77777777" w:rsidR="00A04EE8" w:rsidRDefault="003E50B9">
      <w:pPr>
        <w:pStyle w:val="BookBody"/>
      </w:pPr>
      <w:r>
        <w:t>This background complicates the later ecological Humboldt. He understood mineral extraction both as a scientific problem and as an economic system. His inspection tours pursued efficiency and safety; his inventions addressed lamps and breathing apparatus; his geological observations emerged amid programs for increasing production. The same habits that later mapped plant zones had been formed in institutions that rendered the underground useful.</w:t>
      </w:r>
    </w:p>
    <w:p w14:paraId="449048E5" w14:textId="77777777" w:rsidR="00A04EE8" w:rsidRDefault="003E50B9">
      <w:pPr>
        <w:pStyle w:val="BookBody"/>
      </w:pPr>
      <w:r>
        <w:t xml:space="preserve">The continuity is visible in the </w:t>
      </w:r>
      <w:r>
        <w:rPr>
          <w:i/>
        </w:rPr>
        <w:t>Naturgemälde</w:t>
      </w:r>
      <w:r>
        <w:t>. A mountain becomes a vertical section whose layers can be correlated with pressures, temperatures, plants, snow, and cultivation. The sectional view belonged to mining and geology, but Humboldt turned it outward. Instead of revealing only ore-bearing strata, the section displayed the interdependence of living and physical phenomena.</w:t>
      </w:r>
    </w:p>
    <w:p w14:paraId="6E4964C9" w14:textId="77777777" w:rsidR="00A04EE8" w:rsidRDefault="003E50B9">
      <w:pPr>
        <w:pStyle w:val="BookBody"/>
      </w:pPr>
      <w:r>
        <w:t>His scientific cosmopolitanism likewise grew within administrative and commercial Europe. He bought expensive instruments from leading makers, corresponded across academies, and converted private wealth into freedom of travel. Independence from a sponsoring state gave him unusual latitude, but not independence from imperial infrastructure. Ships, passports, colonial roads, missions, mines, and elite introductions made the journey possible.</w:t>
      </w:r>
    </w:p>
    <w:p w14:paraId="10AC6CEE" w14:textId="77777777" w:rsidR="00A04EE8" w:rsidRDefault="003E50B9">
      <w:pPr>
        <w:pStyle w:val="BookBody"/>
      </w:pPr>
      <w:r>
        <w:t>This doubleness persisted throughout his career. Humboldt's work offered resources for criticizing slavery, environmental destruction, and colonial ignorance. It also transformed territories into comparable information for states, investors, and settlers. Knowledge of relations could defend a forest or price a resource. No method guaranteed the politics of its use.</w:t>
      </w:r>
    </w:p>
    <w:p w14:paraId="41DBAE51" w14:textId="77777777" w:rsidR="00A04EE8" w:rsidRDefault="003E50B9">
      <w:pPr>
        <w:pStyle w:val="SectionHeading"/>
      </w:pPr>
      <w:r>
        <w:rPr>
          <w:color w:val="2E74B5"/>
        </w:rPr>
        <w:t>Position, Altitude, Atmosphere</w:t>
      </w:r>
    </w:p>
    <w:p w14:paraId="23BB3AAF" w14:textId="77777777" w:rsidR="00A04EE8" w:rsidRDefault="003E50B9">
      <w:pPr>
        <w:pStyle w:val="BookBody"/>
      </w:pPr>
      <w:r>
        <w:t>Humboldt and Bonpland left Europe in 1799, stopped in the Canary Islands, and traveled through regions now belonging to Venezuela, Cuba, Colombia, Ecuador, Peru, Mexico, and the United States before returning in 1804. The route produced no single linear narrative of discovery. It produced intersecting series: astronomical positions, barometric elevations, magnetic inclinations, temperatures, atmospheric measurements, botanical collections, geological observations, economic tables, vocabularies, drawings, and reports of political life.</w:t>
      </w:r>
      <w:r>
        <w:rPr>
          <w:vertAlign w:val="superscript"/>
        </w:rPr>
        <w:t>5</w:t>
      </w:r>
    </w:p>
    <w:p w14:paraId="60C71C92" w14:textId="77777777" w:rsidR="00A04EE8" w:rsidRDefault="003E50B9">
      <w:pPr>
        <w:pStyle w:val="BookBody"/>
      </w:pPr>
      <w:r>
        <w:t>Altitude supplied a particularly powerful axis. On Tenerife and later in the Andes, ascent compressed climatic change into a journey of hours or days. Tropical heat gave way to temperate vegetation, alpine forms, snow, and thin air. Plants that occurred across great differences of latitude could be compared with plants arranged along a single mountain. Vertical movement became a model for planetary variation.</w:t>
      </w:r>
    </w:p>
    <w:p w14:paraId="519FF470" w14:textId="77777777" w:rsidR="00A04EE8" w:rsidRDefault="003E50B9">
      <w:pPr>
        <w:pStyle w:val="BookBody"/>
      </w:pPr>
      <w:r>
        <w:t>The model depended on disciplined conversion. Barometric pressure had to become elevation through correction and calculation. Temperature had to be separated from momentary exposure and related to height. A plant specimen had to be collected, preserved, named, and located. The blueness of the sky had to be compared with a cyanometer whose tinted sectors translated an impression into an ordered scale. Each phenomenon required its own instrument or practice, yet altitude allowed their results to be placed beside one another.</w:t>
      </w:r>
      <w:r>
        <w:rPr>
          <w:vertAlign w:val="superscript"/>
        </w:rPr>
        <w:t>6</w:t>
      </w:r>
    </w:p>
    <w:p w14:paraId="00716002" w14:textId="77777777" w:rsidR="00A04EE8" w:rsidRDefault="003E50B9">
      <w:pPr>
        <w:pStyle w:val="BookBody"/>
      </w:pPr>
      <w:r>
        <w:t>The result was neither a mere list nor a metaphysical harmony. It was a field of covariation. Pressure fell, temperature tended to fall, vegetation changed, cultivation ceased, snow appeared, and the body's breathing became difficult. Some relations were causal, others correlational, others comparative. Humboldt's strength lay in refusing to force them all into one mechanism while still seeking their pattern.</w:t>
      </w:r>
    </w:p>
    <w:p w14:paraId="187CCEBF" w14:textId="77777777" w:rsidR="00A04EE8" w:rsidRDefault="003E50B9">
      <w:pPr>
        <w:pStyle w:val="SectionHeading"/>
      </w:pPr>
      <w:r>
        <w:rPr>
          <w:color w:val="2E74B5"/>
        </w:rPr>
        <w:t>Experience under Measurement</w:t>
      </w:r>
    </w:p>
    <w:p w14:paraId="07143AB3" w14:textId="77777777" w:rsidR="00A04EE8" w:rsidRDefault="003E50B9">
      <w:pPr>
        <w:pStyle w:val="BookBody"/>
      </w:pPr>
      <w:r>
        <w:t>The physical narrative of ascent cannot be reduced to its data. Humboldt described scorched feet near volcanic vents, freezing hands, dangerous precipices, dazzling snow, rarefied air, and the dark blue of high-altitude sky. He recorded bodily disturbance not as a confession opposed to science but as part of the event. The observer was one of the instruments exposed to the mountain.</w:t>
      </w:r>
    </w:p>
    <w:p w14:paraId="2E1CA4AE" w14:textId="77777777" w:rsidR="00A04EE8" w:rsidRDefault="003E50B9">
      <w:pPr>
        <w:pStyle w:val="BookBody"/>
      </w:pPr>
      <w:r>
        <w:t>This did not make the body a reliable scale by itself. Sensations had to be checked against thermometers, barometers, and repeated observations. But instruments also required sensation: the eye aligned a reading, the hand steadied a device, the traveler judged wind and exposure, the collector noticed a change in vegetation. Humboldtian observation was an exchange between disciplined body and calibrated apparatus.</w:t>
      </w:r>
    </w:p>
    <w:p w14:paraId="1BE67986" w14:textId="77777777" w:rsidR="00A04EE8" w:rsidRDefault="003E50B9">
      <w:pPr>
        <w:pStyle w:val="BookBody"/>
      </w:pPr>
      <w:r>
        <w:t>The exchange helps explain the density of his prose. A passage may move from a measurement to a botanical description, then to a memory, a comparison with another continent, an Indigenous name, a painting, a classical text, or an emotional response. To a later specialized reader the movement can seem digressive. For Humboldt it enacted the relational form of the phenomenon. No single register owned the place.</w:t>
      </w:r>
    </w:p>
    <w:p w14:paraId="73D0BE64" w14:textId="77777777" w:rsidR="00A04EE8" w:rsidRDefault="003E50B9">
      <w:pPr>
        <w:pStyle w:val="BookBody"/>
      </w:pPr>
      <w:r>
        <w:t>Views of nature were therefore epistemic as well as aesthetic. A well-chosen vantage disclosed connections that isolated readings concealed. The panorama, profile, and comparative table trained readers to grasp distributions. At the same time, literary description preserved temporal movement, sound, atmosphere, danger, and scale - qualities flattened by a table.</w:t>
      </w:r>
      <w:r>
        <w:rPr>
          <w:vertAlign w:val="superscript"/>
        </w:rPr>
        <w:t>7</w:t>
      </w:r>
    </w:p>
    <w:p w14:paraId="2A24E712" w14:textId="77777777" w:rsidR="00A04EE8" w:rsidRDefault="003E50B9">
      <w:pPr>
        <w:pStyle w:val="BookBody"/>
      </w:pPr>
      <w:r>
        <w:t>Humboldt's method did not overcome the difference between measurement and experience. It composed them. The composition could fail, become overloaded, or smuggle analogy into explanation. But it kept open a scientific question the preceding century had narrowed: how does a measured world remain a world someone inhabits?</w:t>
      </w:r>
    </w:p>
    <w:p w14:paraId="64C16C96" w14:textId="77777777" w:rsidR="004A6C7A" w:rsidRDefault="007849EA">
      <w:pPr>
        <w:pStyle w:val="SectionHeading"/>
      </w:pPr>
      <w:r>
        <w:rPr>
          <w:rFonts w:cstheme="majorBidi"/>
          <w:bCs/>
          <w:color w:val="2E74B5"/>
          <w:szCs w:val="28"/>
        </w:rPr>
        <w:t>The Instrument Party</w:t>
      </w:r>
    </w:p>
    <w:p w14:paraId="6B6FA888" w14:textId="77777777" w:rsidR="004A6C7A" w:rsidRDefault="007849EA">
      <w:pPr>
        <w:pStyle w:val="BookBody"/>
      </w:pPr>
      <w:r>
        <w:rPr>
          <w:szCs w:val="28"/>
        </w:rPr>
        <w:t>The synthetic page depended on a stubbornly material traveling practice. A sextant establishes angular relations to celestial bodies and horizons. A chronometer carries a reference time whose error becomes error in longitude. A barometer translates atmospheric pressure into a column whose reading can be used to estimate altitude. Thermometers, compasses, electrometers, eudiometers, hygrometers, and the cyanometer each select another dimension of the environment.</w:t>
      </w:r>
    </w:p>
    <w:p w14:paraId="35A154C8" w14:textId="77777777" w:rsidR="004A6C7A" w:rsidRDefault="007849EA">
      <w:pPr>
        <w:pStyle w:val="BookBody"/>
      </w:pPr>
      <w:r>
        <w:rPr>
          <w:szCs w:val="28"/>
        </w:rPr>
        <w:t>Together they did not form a miniature omniscient laboratory. They formed a vulnerable kit. Glass broke, metal corroded, clocks drifted, pack animals stumbled, humidity entered cases, and observers became feverish or exhausted. The precision later visible in tables was achieved under conditions that repeatedly threatened it. Humboldt's field science therefore depended on redundancy, comparison, repair, and careful record-keeping as much as on possession of refined instruments.</w:t>
      </w:r>
    </w:p>
    <w:p w14:paraId="093E3B60" w14:textId="77777777" w:rsidR="004A6C7A" w:rsidRDefault="007849EA">
      <w:pPr>
        <w:pStyle w:val="BookBody"/>
      </w:pPr>
      <w:r>
        <w:rPr>
          <w:szCs w:val="28"/>
        </w:rPr>
        <w:t>The kit also distributed perception. Sky color could be compared against a cyanometer rather than recalled from memory. Altitude could be inferred from pressure rather than estimated from fatigue. Direction could be fixed by astronomical observation rather than local familiarity alone. These devices did not replace bodily experience; they reconfigured which differences the body could report publicly. The traveler learned to feel a landscape and to interrupt feeling with a reading.</w:t>
      </w:r>
    </w:p>
    <w:p w14:paraId="337886A0" w14:textId="77777777" w:rsidR="004A6C7A" w:rsidRDefault="007849EA">
      <w:pPr>
        <w:pStyle w:val="BookBody"/>
      </w:pPr>
      <w:r>
        <w:rPr>
          <w:szCs w:val="28"/>
        </w:rPr>
        <w:t>That alternation gives Humboldt's prose its characteristic rhythm. A passage may begin with the terror of a river, the brilliance of stars, the odor of vegetation, or the silence of high altitude, then turn to coordinates, species, temperatures, and comparative tables. The qualitative moment motivates attention; the quantitative moment disciplines it; the narrative returns the determinations to a world inhabited by people and organisms.</w:t>
      </w:r>
    </w:p>
    <w:p w14:paraId="31D17D2B" w14:textId="77777777" w:rsidR="004A6C7A" w:rsidRDefault="007849EA">
      <w:pPr>
        <w:pStyle w:val="BookBody"/>
      </w:pPr>
      <w:r>
        <w:rPr>
          <w:szCs w:val="28"/>
        </w:rPr>
        <w:t>The instrument party was also a social formation. Bonpland's botanical labor, Indigenous guides' route knowledge, local assistants' translations, muleteers' care, artisans' repairs, and colonial officials' permissions made the measurements possible. A solitary Humboldt appears in many heroic retellings because authorship compresses distributed work. Recovering the expedition's social body does not diminish Humboldt's achievement. It identifies the network through which an observation became possible.</w:t>
      </w:r>
    </w:p>
    <w:p w14:paraId="4CBBBAAE" w14:textId="77777777" w:rsidR="00A04EE8" w:rsidRDefault="003E50B9">
      <w:pPr>
        <w:pStyle w:val="SectionHeading"/>
      </w:pPr>
      <w:r>
        <w:rPr>
          <w:color w:val="2E74B5"/>
        </w:rPr>
        <w:t>The Colonial Field</w:t>
      </w:r>
    </w:p>
    <w:p w14:paraId="58F579CE" w14:textId="77777777" w:rsidR="00A04EE8" w:rsidRDefault="003E50B9">
      <w:pPr>
        <w:pStyle w:val="BookBody"/>
      </w:pPr>
      <w:r>
        <w:t>Spanish permission allowed Humboldt an unusual range of movement and access. Colonial officials, missionaries, mine administrators, plantation owners, collectors, and urban elites supplied lodging, letters, labor, specimens, statistics, and routes. The journey's independence was real in relation to direct state sponsorship, but it operated within a colonial field.</w:t>
      </w:r>
      <w:r>
        <w:rPr>
          <w:vertAlign w:val="superscript"/>
        </w:rPr>
        <w:t>8</w:t>
      </w:r>
    </w:p>
    <w:p w14:paraId="5C4EB072" w14:textId="77777777" w:rsidR="00A04EE8" w:rsidRDefault="003E50B9">
      <w:pPr>
        <w:pStyle w:val="BookBody"/>
      </w:pPr>
      <w:r>
        <w:t>That field contained knowledge Humboldt did not bring. Indigenous and local communities knew paths, seasons, currents, plants, animals, poisons, foods, medicines, soils, and weather. Enslaved and free people sustained agricultural and extractive systems whose operation entered his political and economic writings. Creole scholars had measured elevations, assembled herbaria, mapped regions, and developed accounts of American nature before Humboldt arrived.</w:t>
      </w:r>
    </w:p>
    <w:p w14:paraId="51D3F2BC" w14:textId="77777777" w:rsidR="00A04EE8" w:rsidRDefault="003E50B9">
      <w:pPr>
        <w:pStyle w:val="BookBody"/>
      </w:pPr>
      <w:r>
        <w:t>Francisco José de Caldas is a revealing case. The New Granadan naturalist had explored relations among altitude, climate, and plants and developed techniques for measuring elevation. Humboldt and Caldas exchanged knowledge, specimens, and methods in Quito and Bogotá. Their encounter cannot be reduced either to a European genius instructing a colonial pupil or to a simple story of European appropriation. It shows a transatlantic field structured by unequal access to publication, institutions, travel, and later historical credit.</w:t>
      </w:r>
      <w:r>
        <w:rPr>
          <w:vertAlign w:val="superscript"/>
        </w:rPr>
        <w:t>9</w:t>
      </w:r>
    </w:p>
    <w:p w14:paraId="4B13F0A9" w14:textId="77777777" w:rsidR="00A04EE8" w:rsidRDefault="003E50B9">
      <w:pPr>
        <w:pStyle w:val="BookBody"/>
      </w:pPr>
      <w:r>
        <w:t>José Celestino Mutis's botanical enterprise in New Granada offered another vast archive. Its collections, artists, assistants, and regional networks made local nature available in forms Humboldt could compare and circulate. The European traveler became authoritative partly because he could move observations from colonial settings into metropolitan print and then connect them across continents.</w:t>
      </w:r>
    </w:p>
    <w:p w14:paraId="57045F7B" w14:textId="77777777" w:rsidR="00A04EE8" w:rsidRDefault="003E50B9">
      <w:pPr>
        <w:pStyle w:val="BookBody"/>
      </w:pPr>
      <w:r>
        <w:t>Mary Louise Pratt called this mode of representation an "anti-conquest": the naturalist appears innocent of conquest while claiming visual and intellectual possession. The concept identifies a genuine rhetoric. Humboldt often presents himself as receptive rather than coercive, yet the comprehensive view can appropriate precisely by appearing universal.</w:t>
      </w:r>
      <w:r>
        <w:rPr>
          <w:vertAlign w:val="superscript"/>
        </w:rPr>
        <w:t>10</w:t>
      </w:r>
      <w:r>
        <w:t xml:space="preserve"> The question is not whether he secretly commanded an army. It is how the peaceful authority to name, compare, and publish was distributed.</w:t>
      </w:r>
    </w:p>
    <w:p w14:paraId="5DCFD496" w14:textId="77777777" w:rsidR="00A04EE8" w:rsidRDefault="003E50B9">
      <w:pPr>
        <w:pStyle w:val="SectionHeading"/>
      </w:pPr>
      <w:r>
        <w:rPr>
          <w:color w:val="2E74B5"/>
        </w:rPr>
        <w:t>Against Slavery, Within Empire</w:t>
      </w:r>
    </w:p>
    <w:p w14:paraId="091B75B5" w14:textId="77777777" w:rsidR="00A04EE8" w:rsidRDefault="003E50B9">
      <w:pPr>
        <w:pStyle w:val="BookBody"/>
      </w:pPr>
      <w:r>
        <w:t xml:space="preserve">Humboldt's opposition to slavery was explicit and sustained. In the </w:t>
      </w:r>
      <w:r>
        <w:rPr>
          <w:i/>
        </w:rPr>
        <w:t>Political Essay on the Island of Cuba</w:t>
      </w:r>
      <w:r>
        <w:t>, he described slavery as the greatest of evils, documented the demographic and economic system that supported it, and condemned arguments that treated coerced labor as necessary to prosperity. He criticized colonial restrictions, the destruction of Indigenous societies, and racial hierarchies presented as natural.</w:t>
      </w:r>
      <w:r>
        <w:rPr>
          <w:vertAlign w:val="superscript"/>
        </w:rPr>
        <w:t>11</w:t>
      </w:r>
    </w:p>
    <w:p w14:paraId="7D7F53DA" w14:textId="77777777" w:rsidR="00A04EE8" w:rsidRDefault="003E50B9">
      <w:pPr>
        <w:pStyle w:val="BookBody"/>
      </w:pPr>
      <w:r>
        <w:t>These positions distinguished him from many travelers and patrons. They also did not place him outside imperial structures. His accounts of population, production, trade, mines, soils, and routes could be read as inventories of colonial capacity. His praise of freer exchange belonged to a liberal cosmopolitanism that opposed monopolistic empire while trusting commerce and circulation.</w:t>
      </w:r>
    </w:p>
    <w:p w14:paraId="18C0CDC1" w14:textId="77777777" w:rsidR="00A04EE8" w:rsidRDefault="003E50B9">
      <w:pPr>
        <w:pStyle w:val="BookBody"/>
      </w:pPr>
      <w:r>
        <w:t>The tension is not hypocrisy in a simple sense. It is a conflict within the scientific cosmos he tried to build. If all people belong to one human species and nature forms an interconnected whole, slavery violates both moral equality and ecological relation. Yet the instruments of interconnection - maps, statistics, collections, global trade, and metropolitan publication - were themselves entangled with empire.</w:t>
      </w:r>
    </w:p>
    <w:p w14:paraId="37A22CD2" w14:textId="77777777" w:rsidR="00A04EE8" w:rsidRDefault="003E50B9">
      <w:pPr>
        <w:pStyle w:val="BookBody"/>
      </w:pPr>
      <w:r>
        <w:t>Humboldt sometimes recognized the entanglement. He linked deforestation around Lake Valencia to changing water levels and criticized destructive cultivation. He connected environmental damage to social arrangements rather than treating it as an accidental local mistake. His political writings joined physical geography to institutions, labor, and inequality.</w:t>
      </w:r>
      <w:r>
        <w:rPr>
          <w:vertAlign w:val="superscript"/>
        </w:rPr>
        <w:t>12</w:t>
      </w:r>
    </w:p>
    <w:p w14:paraId="639E479C" w14:textId="77777777" w:rsidR="00A04EE8" w:rsidRDefault="003E50B9">
      <w:pPr>
        <w:pStyle w:val="BookBody"/>
      </w:pPr>
      <w:r>
        <w:t>But connection does not automatically yield justice. A system can be understood as interdependent and still be exploited more efficiently. Humboldt's legacy therefore cannot be secured by calling him either imperial scientist or ecological prophet. His importance lies partly in how clearly his work displays the double capacity of relational knowledge: to reveal dependencies that domination denies and to furnish domination with a more complete map.</w:t>
      </w:r>
    </w:p>
    <w:p w14:paraId="4A2E04E9" w14:textId="77777777" w:rsidR="00A04EE8" w:rsidRDefault="003E50B9">
      <w:pPr>
        <w:pStyle w:val="SectionHeading"/>
      </w:pPr>
      <w:r>
        <w:rPr>
          <w:color w:val="2E74B5"/>
        </w:rPr>
        <w:t>Nature on One Page</w:t>
      </w:r>
    </w:p>
    <w:p w14:paraId="627F454B" w14:textId="77777777" w:rsidR="00A04EE8" w:rsidRDefault="003E50B9">
      <w:pPr>
        <w:pStyle w:val="BookBody"/>
      </w:pPr>
      <w:r>
        <w:t xml:space="preserve">The 1807 </w:t>
      </w:r>
      <w:r>
        <w:rPr>
          <w:i/>
        </w:rPr>
        <w:t>Tableau physique des Andes et pays voisins</w:t>
      </w:r>
      <w:r>
        <w:t xml:space="preserve"> is the most concentrated expression of Humboldt's method. The central image combines Chimborazo and Cotopaxi with a cutaway slope. Plant names occupy altitudinal zones. Columns on either side correlate the mountain with physical and human phenomena. Other mountain heights enter for comparison. A journey becomes a synoptic field.</w:t>
      </w:r>
      <w:r>
        <w:rPr>
          <w:vertAlign w:val="superscript"/>
        </w:rPr>
        <w:t>13</w:t>
      </w:r>
    </w:p>
    <w:p w14:paraId="4792489B" w14:textId="77777777" w:rsidR="00A04EE8" w:rsidRDefault="003E50B9">
      <w:pPr>
        <w:pStyle w:val="FigureImage"/>
      </w:pPr>
      <w:r>
        <w:rPr>
          <w:noProof/>
        </w:rPr>
        <w:drawing>
          <wp:inline distT="0" distB="0" distL="0" distR="0" wp14:anchorId="5471DF0A" wp14:editId="2F866996">
            <wp:extent cx="5806440" cy="3448380"/>
            <wp:effectExtent l="0" t="0" r="0" b="0"/>
            <wp:docPr id="1866470655" name="Picture 1866470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turgemalde.jpg"/>
                    <pic:cNvPicPr/>
                  </pic:nvPicPr>
                  <pic:blipFill>
                    <a:blip r:embed="rId26"/>
                    <a:stretch>
                      <a:fillRect/>
                    </a:stretch>
                  </pic:blipFill>
                  <pic:spPr>
                    <a:xfrm>
                      <a:off x="0" y="0"/>
                      <a:ext cx="5806440" cy="3448380"/>
                    </a:xfrm>
                    <a:prstGeom prst="rect">
                      <a:avLst/>
                    </a:prstGeom>
                  </pic:spPr>
                </pic:pic>
              </a:graphicData>
            </a:graphic>
          </wp:inline>
        </w:drawing>
      </w:r>
    </w:p>
    <w:p w14:paraId="51F82D89" w14:textId="77777777" w:rsidR="00A04EE8" w:rsidRDefault="003E50B9">
      <w:pPr>
        <w:pStyle w:val="FigureCaption"/>
      </w:pPr>
      <w:r>
        <w:t>Figure 18.2. Alexander von Humboldt and Aimé Bonpland, Géographie des plantes équinoxiales: Tableau physique des Andes et pays voisins (1807). The colored plate joins landscape, plant distribution, altitude, atmospheric measurement, cultivation, and global comparison in one Naturgemälde. Working facsimile from the Zentralbibliothek Zürich scan; final credit and reproduction terms to be verified.</w:t>
      </w:r>
    </w:p>
    <w:p w14:paraId="38F7C8B2" w14:textId="77777777" w:rsidR="00A04EE8" w:rsidRDefault="003E50B9">
      <w:pPr>
        <w:pStyle w:val="BookBody"/>
      </w:pPr>
      <w:r>
        <w:t>The image does not merely illustrate a finished argument. It reasons spatially. Adjacency invites relation. Vertical alignment makes covariation visible. The painted mountain preserves sensuous difference while the columns permit analytical comparison. Readers can move from a named plant to its elevation, from elevation to temperature, from temperature to cultivation, and outward to other peaks.</w:t>
      </w:r>
    </w:p>
    <w:p w14:paraId="14DB2C09" w14:textId="77777777" w:rsidR="00A04EE8" w:rsidRDefault="003E50B9">
      <w:pPr>
        <w:pStyle w:val="BookBody"/>
      </w:pPr>
      <w:r>
        <w:t>The plate also makes choices. It removes weather's temporal variability, presents a composite mountain profile, compresses journeys made over years, and selects which observations deserve columns. The result is a designed simultaneity no traveler could literally see. Its truth depends not on resembling one view but on organizing many observations into an intelligible whole.</w:t>
      </w:r>
    </w:p>
    <w:p w14:paraId="373500CE" w14:textId="77777777" w:rsidR="00A04EE8" w:rsidRDefault="003E50B9">
      <w:pPr>
        <w:pStyle w:val="BookBody"/>
      </w:pPr>
      <w:r>
        <w:t xml:space="preserve">Humboldt valued graphic methods because they fixed attention on numerous facts without exhausting the mind. The phrase captures both the promise and the danger. A powerful image can reveal relations too dispersed for prose. It can also make heterogeneous evidence look more unified than it is. The </w:t>
      </w:r>
      <w:r>
        <w:rPr>
          <w:i/>
        </w:rPr>
        <w:t>Naturgemälde</w:t>
      </w:r>
      <w:r>
        <w:t xml:space="preserve"> persuades aesthetically at the same time that it informs empirically.</w:t>
      </w:r>
      <w:r>
        <w:rPr>
          <w:vertAlign w:val="superscript"/>
        </w:rPr>
        <w:t>14</w:t>
      </w:r>
    </w:p>
    <w:p w14:paraId="076CA6C5" w14:textId="77777777" w:rsidR="00A04EE8" w:rsidRDefault="003E50B9">
      <w:pPr>
        <w:pStyle w:val="BookBody"/>
      </w:pPr>
      <w:r>
        <w:t>That double action is not a corruption of science. It is the condition under which complex patterns become visible. The relevant question is whether the design permits scrutiny: whether its scales, sources, selections, and comparisons can be recovered. Humboldt's image remains exemplary because its beauty does not erase its informational density. The columns announce that the landscape has been constructed from measurements.</w:t>
      </w:r>
    </w:p>
    <w:p w14:paraId="6E46956D" w14:textId="77777777" w:rsidR="00A04EE8" w:rsidRDefault="003E50B9">
      <w:pPr>
        <w:pStyle w:val="SectionHeading"/>
      </w:pPr>
      <w:r>
        <w:rPr>
          <w:color w:val="2E74B5"/>
        </w:rPr>
        <w:t>Plant Geography</w:t>
      </w:r>
    </w:p>
    <w:p w14:paraId="24DF69D7" w14:textId="77777777" w:rsidR="00A04EE8" w:rsidRDefault="003E50B9">
      <w:pPr>
        <w:pStyle w:val="BookBody"/>
      </w:pPr>
      <w:r>
        <w:t>Traditional natural history identified, described, and classified plants. Humboldt asked another question: why do plants occur where they do? The answer required moving from the specimen to distribution. Climate, altitude, latitude, moisture, soil, exposure, and historical connection shaped the forms of vegetation. A plant belonged to a place, but places could be compared through patterns.</w:t>
      </w:r>
      <w:r>
        <w:rPr>
          <w:vertAlign w:val="superscript"/>
        </w:rPr>
        <w:t>15</w:t>
      </w:r>
    </w:p>
    <w:p w14:paraId="29EC1EAB" w14:textId="77777777" w:rsidR="00A04EE8" w:rsidRDefault="003E50B9">
      <w:pPr>
        <w:pStyle w:val="BookBody"/>
      </w:pPr>
      <w:r>
        <w:t>This change helped create plant geography and contributed to later ecology and biogeography. Humboldt described vegetation not only species by species but physiognomically: palms, grasses, conifers, cacti, and other forms gave regions a characteristic aspect. The approach allowed comparison even when continents did not share identical species.</w:t>
      </w:r>
    </w:p>
    <w:p w14:paraId="62615D7C" w14:textId="77777777" w:rsidR="00A04EE8" w:rsidRDefault="003E50B9">
      <w:pPr>
        <w:pStyle w:val="BookBody"/>
      </w:pPr>
      <w:r>
        <w:t>The method balanced law and singularity. Temperature and altitude produced broad regularities, but local conditions mattered. Similar climates could support different floras because histories differed. Mountain zones could resemble latitudinal zones without being exact copies. The analogy was productive precisely because it invited the study of deviations.</w:t>
      </w:r>
    </w:p>
    <w:p w14:paraId="4C4C564E" w14:textId="77777777" w:rsidR="00A04EE8" w:rsidRDefault="003E50B9">
      <w:pPr>
        <w:pStyle w:val="BookBody"/>
      </w:pPr>
      <w:r>
        <w:t xml:space="preserve">Bonpland's collecting was essential. The visual sweep of the </w:t>
      </w:r>
      <w:r>
        <w:rPr>
          <w:i/>
        </w:rPr>
        <w:t>Tableau</w:t>
      </w:r>
      <w:r>
        <w:t xml:space="preserve"> depended on thousands of particular acts: cutting, pressing, drying, labeling, carrying, sorting, identifying, and comparing plants. A geography of vegetation could not emerge from the panoramic eye alone. It required specimens that traveled and archives in which names could be stabilized.</w:t>
      </w:r>
      <w:r>
        <w:rPr>
          <w:vertAlign w:val="superscript"/>
        </w:rPr>
        <w:t>16</w:t>
      </w:r>
    </w:p>
    <w:p w14:paraId="2797DCA2" w14:textId="77777777" w:rsidR="00A04EE8" w:rsidRDefault="003E50B9">
      <w:pPr>
        <w:pStyle w:val="BookBody"/>
      </w:pPr>
      <w:r>
        <w:t>Here again, the universal view rested on material fragility. Humidity rotted collections. Labels separated from plants. Taxonomies changed. Different observers applied names differently. Plant geography became scientific by managing these instabilities, not by escaping them.</w:t>
      </w:r>
    </w:p>
    <w:p w14:paraId="07F7F4B8" w14:textId="77777777" w:rsidR="00A04EE8" w:rsidRDefault="003E50B9">
      <w:pPr>
        <w:pStyle w:val="SectionHeading"/>
      </w:pPr>
      <w:r>
        <w:rPr>
          <w:color w:val="2E74B5"/>
        </w:rPr>
        <w:t>Bonpland and Distributed Authorship</w:t>
      </w:r>
    </w:p>
    <w:p w14:paraId="4E73DD5B" w14:textId="77777777" w:rsidR="00A04EE8" w:rsidRDefault="003E50B9">
      <w:pPr>
        <w:pStyle w:val="BookBody"/>
      </w:pPr>
      <w:r>
        <w:t xml:space="preserve">The grammar of Humboldt's fame is often singular: he traveled, measured, saw, and invented. The title page of the </w:t>
      </w:r>
      <w:r>
        <w:rPr>
          <w:i/>
        </w:rPr>
        <w:t>Essay on the Geography of Plants</w:t>
      </w:r>
      <w:r>
        <w:t xml:space="preserve"> preserves a more accurate conjunction. The work belonged to Alexander von Humboldt and Aimé Bonpland. Bonpland's botanical competence, collections, field decisions, and later comparisons were not auxiliary to a physical geography of plants. They supplied much of its empirical substance.</w:t>
      </w:r>
      <w:r>
        <w:rPr>
          <w:vertAlign w:val="superscript"/>
        </w:rPr>
        <w:t>17</w:t>
      </w:r>
    </w:p>
    <w:p w14:paraId="4DFFD3D5" w14:textId="77777777" w:rsidR="00A04EE8" w:rsidRDefault="003E50B9">
      <w:pPr>
        <w:pStyle w:val="BookBody"/>
      </w:pPr>
      <w:r>
        <w:t>Their collaboration was unequal in visibility but difficult to divide in practice. While Humboldt worked instruments and spatial relations, Bonpland collected across changing habitats, recognized forms, prepared specimens, and linked living plants with later taxonomic study. Neither activity was self-sufficient. A precise altitude without a reliable specimen could not establish distribution; a specimen without place and conditions could not become plant geography.</w:t>
      </w:r>
    </w:p>
    <w:p w14:paraId="6A6E822B" w14:textId="77777777" w:rsidR="00A04EE8" w:rsidRDefault="003E50B9">
      <w:pPr>
        <w:pStyle w:val="BookBody"/>
      </w:pPr>
      <w:r>
        <w:t>Coauthorship extended beyond the two named travelers. Botanical artists translated specimens into images. Printers and engravers stabilized names and lines. European taxonomists compared collections with herbaria. Correspondents supplied records from regions the travelers had not visited. Local assistants and knowledge holders identified useful plants and guided collectors toward them.</w:t>
      </w:r>
    </w:p>
    <w:p w14:paraId="2C84AC20" w14:textId="77777777" w:rsidR="00A04EE8" w:rsidRDefault="003E50B9">
      <w:pPr>
        <w:pStyle w:val="BookBody"/>
      </w:pPr>
      <w:r>
        <w:t>The distributed character of authorship does not mean that every contribution was equal or equally credited. The opposite is often true. The ability to synthesize and publish became more prestigious than the ability to guide, carry, cultivate, prepare, or draw. Humboldt's relational science depended on a social division of labor that his panoramic form could hide.</w:t>
      </w:r>
    </w:p>
    <w:p w14:paraId="78CC0ECE" w14:textId="77777777" w:rsidR="00A04EE8" w:rsidRDefault="003E50B9">
      <w:pPr>
        <w:pStyle w:val="BookBody"/>
      </w:pPr>
      <w:r>
        <w:t>Recognizing this labor changes the meaning of the whole. A cosmos is not assembled by a solitary mind surveying passive nature. It is assembled through networks of people and things, some named and others rendered anonymous. The epistemic virtue of connection should therefore apply reflexively: the relations that produce knowledge belong within the history of what is known.</w:t>
      </w:r>
    </w:p>
    <w:p w14:paraId="4760E41B" w14:textId="77777777" w:rsidR="00A04EE8" w:rsidRDefault="003E50B9">
      <w:pPr>
        <w:pStyle w:val="SectionHeading"/>
      </w:pPr>
      <w:r>
        <w:rPr>
          <w:color w:val="2E74B5"/>
        </w:rPr>
        <w:t>Measuring Blue</w:t>
      </w:r>
    </w:p>
    <w:p w14:paraId="6B1BAF9B" w14:textId="77777777" w:rsidR="00A04EE8" w:rsidRDefault="003E50B9">
      <w:pPr>
        <w:pStyle w:val="BookBody"/>
      </w:pPr>
      <w:r>
        <w:t>The cyanometer is a small object with a large philosophical burden. Horace-Bénédict de Saussure devised a circular scale of blues against which an observer could compare the sky. Humboldt carried such a scale and recorded increasing intensity at high elevations. A quality that seemed maximally atmospheric and difficult to name entered a numbered series.</w:t>
      </w:r>
      <w:r>
        <w:rPr>
          <w:vertAlign w:val="superscript"/>
        </w:rPr>
        <w:t>18</w:t>
      </w:r>
    </w:p>
    <w:p w14:paraId="202CB84F" w14:textId="77777777" w:rsidR="00A04EE8" w:rsidRDefault="003E50B9">
      <w:pPr>
        <w:pStyle w:val="BookBody"/>
      </w:pPr>
      <w:r>
        <w:t>The procedure did not turn blueness into an intrinsic number. Sky color varies with solar angle, moisture, dust, altitude, physiology, and surrounding light. The observer must compare a vast luminous field with a small prepared sample. The scale fades and the eye adapts. Yet the cyanometer disciplined an impression sufficiently for comparison. It made "deeper blue" answerable to a shared order.</w:t>
      </w:r>
    </w:p>
    <w:p w14:paraId="6EA770DC" w14:textId="77777777" w:rsidR="00A04EE8" w:rsidRDefault="003E50B9">
      <w:pPr>
        <w:pStyle w:val="BookBody"/>
      </w:pPr>
      <w:r>
        <w:t>This is the logic of Waller's color table carried into the field. An exemplar mediates between sensation and inscription. Humboldt could compare the blue above Tenerife with the blue above Mont Blanc or the Andes because the same sequence of samples traveled with him. The observer remained necessary, but observation acquired a portable constraint.</w:t>
      </w:r>
    </w:p>
    <w:p w14:paraId="28A190AC" w14:textId="77777777" w:rsidR="00A04EE8" w:rsidRDefault="003E50B9">
      <w:pPr>
        <w:pStyle w:val="BookBody"/>
      </w:pPr>
      <w:r>
        <w:t>The case refuses the assumption that exact science progresses only by abandoning qualities. Sometimes it advances by designing practices that let qualities circulate. Cloud forms, vegetation physiognomies, soil colors, smells, and sounds could all become comparative evidence when observers learned how to describe their conditions and distinctions.</w:t>
      </w:r>
    </w:p>
    <w:p w14:paraId="5937EDED" w14:textId="77777777" w:rsidR="00A04EE8" w:rsidRDefault="003E50B9">
      <w:pPr>
        <w:pStyle w:val="BookBody"/>
      </w:pPr>
      <w:r>
        <w:t>Humboldt's special achievement was to place these disciplined qualities beside instrument readings without pretending that they were identical kinds of data. The cyanometer degree, the barometric pressure, the plant name, and the literary description did not merge into one unit. Their coordination produced a thicker account of place.</w:t>
      </w:r>
    </w:p>
    <w:p w14:paraId="51AF75F6" w14:textId="77777777" w:rsidR="00A04EE8" w:rsidRDefault="003E50B9">
      <w:pPr>
        <w:pStyle w:val="SectionHeading"/>
      </w:pPr>
      <w:r>
        <w:rPr>
          <w:color w:val="2E74B5"/>
        </w:rPr>
        <w:t>Forest, Water, and Environmental Causality</w:t>
      </w:r>
    </w:p>
    <w:p w14:paraId="534D488A" w14:textId="77777777" w:rsidR="00A04EE8" w:rsidRDefault="003E50B9">
      <w:pPr>
        <w:pStyle w:val="BookBody"/>
      </w:pPr>
      <w:r>
        <w:t>Around Lake Valencia in Venezuela, Humboldt connected declining water levels with forest clearance, the diversion of streams, and cultivation. He argued that when forests are destroyed, springs diminish, runoff becomes more violent, and soils are exposed. The passage has become famous as an anticipation of human-caused climate change. Its historical importance lies less in prophetic wording than in the form of causality it proposed.</w:t>
      </w:r>
      <w:r>
        <w:rPr>
          <w:vertAlign w:val="superscript"/>
        </w:rPr>
        <w:t>19</w:t>
      </w:r>
    </w:p>
    <w:p w14:paraId="56E4BEBB" w14:textId="77777777" w:rsidR="00A04EE8" w:rsidRDefault="003E50B9">
      <w:pPr>
        <w:pStyle w:val="BookBody"/>
      </w:pPr>
      <w:r>
        <w:t>The forest was not merely a collection of trees. It participated in a hydrological and atmospheric system. Remove vegetation and relations among shade, moisture, soil, evaporation, runoff, and water storage change. Human action enters physical geography as a causal force.</w:t>
      </w:r>
    </w:p>
    <w:p w14:paraId="2075FBA7" w14:textId="77777777" w:rsidR="00A04EE8" w:rsidRDefault="003E50B9">
      <w:pPr>
        <w:pStyle w:val="BookBody"/>
      </w:pPr>
      <w:r>
        <w:t>This reasoning differed from a moral celebration of untouched wilderness. Humboldt studied cultivated landscapes, mining, trade, and population. His concern was with destructive relations and long consequences, not with an absolute separation of people from nature. The same society that depended on water could undermine the conditions of its own agriculture.</w:t>
      </w:r>
    </w:p>
    <w:p w14:paraId="694408D6" w14:textId="77777777" w:rsidR="00A04EE8" w:rsidRDefault="003E50B9">
      <w:pPr>
        <w:pStyle w:val="BookBody"/>
      </w:pPr>
      <w:r>
        <w:t>The example also shows why scale mattered. A cleared field might appear locally productive while many cleared slopes changed a basin. The effect emerged through accumulation. Observation had to move between immediate site and regional system, between short-term gain and slower environmental response.</w:t>
      </w:r>
    </w:p>
    <w:p w14:paraId="7213EB68" w14:textId="77777777" w:rsidR="00A04EE8" w:rsidRDefault="003E50B9">
      <w:pPr>
        <w:pStyle w:val="BookBody"/>
      </w:pPr>
      <w:r>
        <w:t>Humboldt did not possess modern climate models, and his causal claims were sometimes speculative. But he established a mode of inquiry that joined land use to Earth processes. Exact readings, historical reports, visible change, and comparison with other regions converged into an environmental explanation.</w:t>
      </w:r>
    </w:p>
    <w:p w14:paraId="013AE3AE" w14:textId="77777777" w:rsidR="00A04EE8" w:rsidRDefault="003E50B9">
      <w:pPr>
        <w:pStyle w:val="BookBody"/>
      </w:pPr>
      <w:r>
        <w:t>The political implication remained open. A state could use such knowledge to regulate forests, protect water, or improve long-term welfare. It could also manage territory more efficiently for continued extraction. Environmental causality describes consequence; it does not choose among interests. Humboldt's science made responsibility thinkable by making distant effects visible, but responsibility still required judgment.</w:t>
      </w:r>
    </w:p>
    <w:p w14:paraId="4B3D3718" w14:textId="77777777" w:rsidR="004A6C7A" w:rsidRDefault="007849EA">
      <w:pPr>
        <w:pStyle w:val="SectionHeading"/>
      </w:pPr>
      <w:r>
        <w:rPr>
          <w:rFonts w:cstheme="majorBidi"/>
          <w:bCs/>
          <w:color w:val="2E74B5"/>
          <w:szCs w:val="28"/>
        </w:rPr>
        <w:t>From Vertical Section to Planetary Comparison</w:t>
      </w:r>
    </w:p>
    <w:p w14:paraId="067765FF" w14:textId="77777777" w:rsidR="004A6C7A" w:rsidRDefault="007849EA">
      <w:pPr>
        <w:pStyle w:val="BookBody"/>
      </w:pPr>
      <w:r>
        <w:rPr>
          <w:szCs w:val="28"/>
        </w:rPr>
        <w:t>The move from a mountain section to an isothermal map changes the scale but preserves the method. On the 1817 map, curving lines join places with the same mean temperature. They cross political borders, oceans, and lines of latitude. Climate ceases to be a vague regional character and becomes a comparative field whose patterns can be inspected at planetary scale.</w:t>
      </w:r>
    </w:p>
    <w:p w14:paraId="2D909126" w14:textId="77777777" w:rsidR="004A6C7A" w:rsidRDefault="007849EA">
      <w:pPr>
        <w:pStyle w:val="BookBody"/>
      </w:pPr>
      <w:r>
        <w:rPr>
          <w:szCs w:val="28"/>
        </w:rPr>
        <w:t>An isotherm is not a feature anyone encounters while walking. It is inferred from many observations made with instruments of differing quality, at stations unevenly distributed, across periods that may not be fully comparable. The line is therefore a disciplined hypothesis drawn through an incomplete archive. Its clarity must not be confused with direct visibility.</w:t>
      </w:r>
    </w:p>
    <w:p w14:paraId="1E1D2A69" w14:textId="77777777" w:rsidR="004A6C7A" w:rsidRDefault="007849EA">
      <w:pPr>
        <w:pStyle w:val="BookBody"/>
      </w:pPr>
      <w:r>
        <w:rPr>
          <w:szCs w:val="28"/>
        </w:rPr>
        <w:t>Precisely because it is constructed, the line can disclose relations hidden from local experience. Western Europe and eastern North America at the same latitude do not share the same winter temperatures. Ocean currents, continental masses, elevation, prevailing winds, and other factors bend the thermal field. The map makes latitude insufficient and invites causal inquiry into the processes that produce regional climates.</w:t>
      </w:r>
    </w:p>
    <w:p w14:paraId="5FF0BC2F" w14:textId="77777777" w:rsidR="004A6C7A" w:rsidRDefault="007849EA">
      <w:pPr>
        <w:pStyle w:val="BookBody"/>
      </w:pPr>
      <w:r>
        <w:rPr>
          <w:szCs w:val="28"/>
        </w:rPr>
        <w:t>The same comparative logic governs plant geography. A plant's presence is evidence not merely about the plant but about conditions, dispersal, geological history, cultivation, and barriers. Similar climates do not guarantee identical floras. Comparison must hold resemblance and difference together. Humboldt's whole is therefore not a uniform system in which every place becomes exchangeable. It is a patterned planet whose regularities are expressed through singular regions.</w:t>
      </w:r>
    </w:p>
    <w:p w14:paraId="31704033" w14:textId="77777777" w:rsidR="004A6C7A" w:rsidRDefault="007849EA">
      <w:pPr>
        <w:pStyle w:val="BookBody"/>
      </w:pPr>
      <w:r>
        <w:rPr>
          <w:szCs w:val="28"/>
        </w:rPr>
        <w:t>This distinction protects interconnection from becoming a mystical slogan. To say that everything is connected can mean so little that no observation could challenge it. Humboldt's maps and sections specify connections: temperature with altitude, vegetation with moisture, cultivation with colonial economy, forest cover with water, and station records with global lines. A scientific whole is built from determinate relations whose limits can be tested.</w:t>
      </w:r>
    </w:p>
    <w:p w14:paraId="3A5BB84C" w14:textId="77777777" w:rsidR="004A6C7A" w:rsidRDefault="007849EA">
      <w:pPr>
        <w:pStyle w:val="BookBody"/>
      </w:pPr>
      <w:r>
        <w:rPr>
          <w:szCs w:val="28"/>
        </w:rPr>
        <w:t>The price of synthesis is visible in every blank area. Regions without stations become smooth through interpolation; local seasons disappear into means; Indigenous classifications rarely govern the legend; political violence may vanish behind a clean line. The map is powerful because it compresses. Responsible reading restores the labor and asymmetry that compression hides.</w:t>
      </w:r>
    </w:p>
    <w:p w14:paraId="6BBA184B" w14:textId="77777777" w:rsidR="00A04EE8" w:rsidRDefault="003E50B9">
      <w:pPr>
        <w:pStyle w:val="SectionHeading"/>
      </w:pPr>
      <w:r>
        <w:rPr>
          <w:color w:val="2E74B5"/>
        </w:rPr>
        <w:t>Lines across the Globe</w:t>
      </w:r>
    </w:p>
    <w:p w14:paraId="5D42E989" w14:textId="77777777" w:rsidR="00A04EE8" w:rsidRDefault="003E50B9">
      <w:pPr>
        <w:pStyle w:val="BookBody"/>
      </w:pPr>
      <w:r>
        <w:t>In 1817 Humboldt published an essay and map on isothermal lines. The concept was simple and transformative: connect places that share the same mean temperature. The resulting curves did not follow latitude. They bent with the unequal distribution of land and sea, winds, currents, elevation, and continental position. Climate became a spatial pattern visible across political borders.</w:t>
      </w:r>
      <w:r>
        <w:rPr>
          <w:vertAlign w:val="superscript"/>
        </w:rPr>
        <w:t>20</w:t>
      </w:r>
    </w:p>
    <w:p w14:paraId="6B060302" w14:textId="77777777" w:rsidR="00A04EE8" w:rsidRDefault="003E50B9">
      <w:pPr>
        <w:pStyle w:val="BookBody"/>
      </w:pPr>
      <w:r>
        <w:t>The map joined observations made by many people with different instruments under different conditions. Mean temperatures had to be calculated, elevations corrected, suspect readings assessed, and gaps interpolated. The line was therefore an argument about comparability. It asserted that heterogeneous local observations could be standardized sufficiently to disclose a planetary relation.</w:t>
      </w:r>
    </w:p>
    <w:p w14:paraId="60AE668D" w14:textId="77777777" w:rsidR="00A04EE8" w:rsidRDefault="003E50B9">
      <w:pPr>
        <w:pStyle w:val="BookBody"/>
      </w:pPr>
      <w:r>
        <w:t>Humboldt explicitly defended graphic methods. If geography consisted only of tables of latitude, longitude, and elevation, many relations among continents would remain unseen. Isolines converted a mass of coordinates into form. Their curves allowed the eye to grasp departure from the expected parallel.</w:t>
      </w:r>
    </w:p>
    <w:p w14:paraId="1DA10EC2" w14:textId="77777777" w:rsidR="00A04EE8" w:rsidRDefault="003E50B9">
      <w:pPr>
        <w:pStyle w:val="BookBody"/>
      </w:pPr>
      <w:r>
        <w:t>This was neither pure induction nor free visualization. The map depended on theoretical choices about averages, scales, and which differences to smooth. It also remained open to correction as observations expanded. The line was objective not because no judgment entered it but because the judgments could be revised against new data.</w:t>
      </w:r>
    </w:p>
    <w:p w14:paraId="46BFF2A8" w14:textId="77777777" w:rsidR="00A04EE8" w:rsidRDefault="003E50B9">
      <w:pPr>
        <w:pStyle w:val="BookBody"/>
      </w:pPr>
      <w:r>
        <w:t>The isothermal map exemplifies a new scientific whole. It is planetary without pretending to be complete. It displays order without closing nature into a finite hierarchy. It derives unity from comparison and circulation rather than from a cosmic center.</w:t>
      </w:r>
    </w:p>
    <w:p w14:paraId="4CCCEA20" w14:textId="77777777" w:rsidR="00A04EE8" w:rsidRDefault="003E50B9">
      <w:pPr>
        <w:pStyle w:val="FigureImage"/>
      </w:pPr>
      <w:r>
        <w:rPr>
          <w:noProof/>
        </w:rPr>
        <w:drawing>
          <wp:inline distT="0" distB="0" distL="0" distR="0" wp14:anchorId="528D68FF" wp14:editId="1601DFBF">
            <wp:extent cx="5806440" cy="4879732"/>
            <wp:effectExtent l="0" t="0" r="0" b="0"/>
            <wp:docPr id="1866470656" name="Picture 1866470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othermal_map.jpg"/>
                    <pic:cNvPicPr/>
                  </pic:nvPicPr>
                  <pic:blipFill>
                    <a:blip r:embed="rId27"/>
                    <a:stretch>
                      <a:fillRect/>
                    </a:stretch>
                  </pic:blipFill>
                  <pic:spPr>
                    <a:xfrm>
                      <a:off x="0" y="0"/>
                      <a:ext cx="5806440" cy="4879732"/>
                    </a:xfrm>
                    <a:prstGeom prst="rect">
                      <a:avLst/>
                    </a:prstGeom>
                  </pic:spPr>
                </pic:pic>
              </a:graphicData>
            </a:graphic>
          </wp:inline>
        </w:drawing>
      </w:r>
    </w:p>
    <w:p w14:paraId="6C3EB852" w14:textId="77777777" w:rsidR="00A04EE8" w:rsidRDefault="003E50B9">
      <w:pPr>
        <w:pStyle w:val="FigureCaption"/>
      </w:pPr>
      <w:r>
        <w:t>Figure 18.3. Alexander von Humboldt, Carte des lignes isothermes (1817), published with his essay on the distribution of heat over the globe. Curves connect places with equal mean temperature, turning dispersed observations into a comparative climate surface. Working facsimile from Annales de chimie et de physique 5 (1817), digitized by Gallica/Bibliothèque nationale de France; final reproduction credit to be verified.</w:t>
      </w:r>
    </w:p>
    <w:p w14:paraId="3D3214CE" w14:textId="77777777" w:rsidR="00A04EE8" w:rsidRDefault="003E50B9">
      <w:pPr>
        <w:pStyle w:val="SectionHeading"/>
      </w:pPr>
      <w:r>
        <w:rPr>
          <w:color w:val="2E74B5"/>
        </w:rPr>
        <w:t>Comparison without Sameness</w:t>
      </w:r>
    </w:p>
    <w:p w14:paraId="4554F5C8" w14:textId="77777777" w:rsidR="00A04EE8" w:rsidRDefault="003E50B9">
      <w:pPr>
        <w:pStyle w:val="BookBody"/>
      </w:pPr>
      <w:r>
        <w:t>Comparison was Humboldt's fundamental operation. Heights, temperatures, magnetic inclinations, plant forms, monuments, languages, economies, and social institutions entered parallel frames. Comparison made distant phenomena mutually illuminating. It also threatened to erase the differences that made them historical.</w:t>
      </w:r>
    </w:p>
    <w:p w14:paraId="6765D66A" w14:textId="77777777" w:rsidR="00A04EE8" w:rsidRDefault="003E50B9">
      <w:pPr>
        <w:pStyle w:val="BookBody"/>
      </w:pPr>
      <w:r>
        <w:t>Humboldt often resisted simple ranking. Against claims that American nature was weak or degenerate, he offered measurements and observations. Against racial hierarchies, he emphasized the unity of the human species and the influence of environment and history. Against the idea that one continent supplied the norm, he multiplied points of reference.</w:t>
      </w:r>
      <w:r>
        <w:rPr>
          <w:vertAlign w:val="superscript"/>
        </w:rPr>
        <w:t>21</w:t>
      </w:r>
    </w:p>
    <w:p w14:paraId="48DF9BC4" w14:textId="77777777" w:rsidR="00A04EE8" w:rsidRDefault="003E50B9">
      <w:pPr>
        <w:pStyle w:val="BookBody"/>
      </w:pPr>
      <w:r>
        <w:t>Yet comparison needs categories, and categories carry power. To compare mountain heights, one must establish sea level and units. To compare civilizations, one must decide what counts as knowledge, art, agriculture, or political order. Humboldt's wide learning could unsettle European provincialism while still translating American worlds into European genres.</w:t>
      </w:r>
    </w:p>
    <w:p w14:paraId="45678053" w14:textId="77777777" w:rsidR="00A04EE8" w:rsidRDefault="003E50B9">
      <w:pPr>
        <w:pStyle w:val="BookBody"/>
      </w:pPr>
      <w:r>
        <w:t>The strongest form of his method treated difference as information. A deviation from a general relation was not noise to be deleted but a clue to another cause. Isothermal lines bent; snow lines differed; vegetation did not repeat mechanically. Comparison disclosed both pattern and exception.</w:t>
      </w:r>
    </w:p>
    <w:p w14:paraId="2EB2CCFD" w14:textId="77777777" w:rsidR="00A04EE8" w:rsidRDefault="003E50B9">
      <w:pPr>
        <w:pStyle w:val="BookBody"/>
      </w:pPr>
      <w:r>
        <w:t>This logic made the whole dynamic. Nature was not a perfect chain in which every being occupied a fixed metaphysical rank. It was a field of interacting processes whose relations varied across space and time. The cosmos could possess unity without uniformity.</w:t>
      </w:r>
    </w:p>
    <w:p w14:paraId="1C6EE1C6" w14:textId="77777777" w:rsidR="00A04EE8" w:rsidRDefault="003E50B9">
      <w:pPr>
        <w:pStyle w:val="SectionHeading"/>
      </w:pPr>
      <w:r>
        <w:rPr>
          <w:color w:val="2E74B5"/>
        </w:rPr>
        <w:t>Archives of Circulation</w:t>
      </w:r>
    </w:p>
    <w:p w14:paraId="64D836EE" w14:textId="77777777" w:rsidR="00A04EE8" w:rsidRDefault="003E50B9">
      <w:pPr>
        <w:pStyle w:val="BookBody"/>
      </w:pPr>
      <w:r>
        <w:t>Humboldt's cosmos was built from motion. Specimens crossed the Atlantic. Letters moved among cities. Instrument readings entered notebooks and were recopied into tables. Books, maps, and engravings circulated back toward places whose nature they represented. The scientific whole emerged from these movements rather than from one central observation point.</w:t>
      </w:r>
    </w:p>
    <w:p w14:paraId="55C025AC" w14:textId="77777777" w:rsidR="00A04EE8" w:rsidRDefault="003E50B9">
      <w:pPr>
        <w:pStyle w:val="BookBody"/>
      </w:pPr>
      <w:r>
        <w:t>Collections were crucial stopping places. A herbarium allowed plants gathered years and continents apart to lie beside one another. A cabinet brought minerals into comparative order. An observatory coordinated repeated measurements. A library joined ancient reports with recent travel. Each institution converted geographic distance into material adjacency.</w:t>
      </w:r>
      <w:r>
        <w:rPr>
          <w:vertAlign w:val="superscript"/>
        </w:rPr>
        <w:t>22</w:t>
      </w:r>
    </w:p>
    <w:p w14:paraId="47720FD3" w14:textId="77777777" w:rsidR="00A04EE8" w:rsidRDefault="003E50B9">
      <w:pPr>
        <w:pStyle w:val="BookBody"/>
      </w:pPr>
      <w:r>
        <w:t>The conversion created new knowledge and new losses. A specimen in a herbarium can be compared closely, but it no longer grows in soil, weather, and community. A museum object preserves form while often severing use, ownership, and sacred relation. An observation in a table travels efficiently because much of its local story has been removed.</w:t>
      </w:r>
    </w:p>
    <w:p w14:paraId="7DD5F168" w14:textId="77777777" w:rsidR="00A04EE8" w:rsidRDefault="003E50B9">
      <w:pPr>
        <w:pStyle w:val="BookBody"/>
      </w:pPr>
      <w:r>
        <w:t>Humboldt repeatedly tried to restore context through coordinates, elevations, environmental descriptions, and narrative. His labels did more than name; they located. His prose returned motion and encounter to objects that collections had immobilized. The attempt could never be complete, but it made decontextualization visible as a problem.</w:t>
      </w:r>
    </w:p>
    <w:p w14:paraId="139B283B" w14:textId="77777777" w:rsidR="00A04EE8" w:rsidRDefault="003E50B9">
      <w:pPr>
        <w:pStyle w:val="BookBody"/>
      </w:pPr>
      <w:r>
        <w:t>Metropolitan archives also concentrated authority. Materials gathered through colonial networks became most scientifically powerful when deposited in European institutions. The capacity to compare globally depended on an unequal geography of accumulation. Universal knowledge was produced at centers because objects and reports had been made to travel toward them.</w:t>
      </w:r>
    </w:p>
    <w:p w14:paraId="4263263E" w14:textId="77777777" w:rsidR="00A04EE8" w:rsidRDefault="003E50B9">
      <w:pPr>
        <w:pStyle w:val="BookBody"/>
      </w:pPr>
      <w:r>
        <w:t>The paradox belongs inside the meaning of cosmos. Circulation can create intellectual community and expose provincial error. It can also dispossess. A relational history must trace not only the connections an archive makes possible but the directions in which people, objects, and credit move.</w:t>
      </w:r>
    </w:p>
    <w:p w14:paraId="70BEE4F3" w14:textId="77777777" w:rsidR="004A6C7A" w:rsidRDefault="007849EA">
      <w:pPr>
        <w:pStyle w:val="SectionHeading"/>
      </w:pPr>
      <w:r>
        <w:rPr>
          <w:rFonts w:cstheme="majorBidi"/>
          <w:bCs/>
          <w:color w:val="2E74B5"/>
          <w:szCs w:val="28"/>
        </w:rPr>
        <w:t>The Costs of Comparison</w:t>
      </w:r>
    </w:p>
    <w:p w14:paraId="6662229B" w14:textId="77777777" w:rsidR="004A6C7A" w:rsidRDefault="007849EA">
      <w:pPr>
        <w:pStyle w:val="BookBody"/>
      </w:pPr>
      <w:r>
        <w:rPr>
          <w:szCs w:val="28"/>
        </w:rPr>
        <w:t>Humboldt's comparative method traveled through imperial infrastructures even when it condemned colonial cruelty. Passports, mines, missions, administrative archives, plantations, ports, and collecting networks opened routes and supplied data. The expedition could describe extractive institutions because it moved through them. Knowledge and empire were neither identical nor separable.</w:t>
      </w:r>
    </w:p>
    <w:p w14:paraId="5DD6768A" w14:textId="77777777" w:rsidR="004A6C7A" w:rsidRDefault="007849EA">
      <w:pPr>
        <w:pStyle w:val="BookBody"/>
      </w:pPr>
      <w:r>
        <w:rPr>
          <w:szCs w:val="28"/>
        </w:rPr>
        <w:t>His criticism of slavery and forced labor was unusually forceful, but the standpoint from which he compared territories remained that of a European savant able to depart, publish, and convert encounters into metropolitan authority. Local informants often entered the text as sources of information rather than coauthors of explanation. Specimens crossed oceans more easily than the claims of the communities from which they came.</w:t>
      </w:r>
    </w:p>
    <w:p w14:paraId="078E6AFF" w14:textId="77777777" w:rsidR="004A6C7A" w:rsidRDefault="007849EA">
      <w:pPr>
        <w:pStyle w:val="BookBody"/>
      </w:pPr>
      <w:r>
        <w:rPr>
          <w:szCs w:val="28"/>
        </w:rPr>
        <w:t>This asymmetry matters to the idea of cosmos. A whole can become an imperial form when one center gathers the world's differences into its own archive and language. The promise of universal connection then risks reproducing the geography of extraction: materials and observations move inward; authoritative synthesis moves outward. Humboldt's work contains resources for criticizing this pattern because it repeatedly records dependence and environmental damage, but it does not stand outside the pattern.</w:t>
      </w:r>
    </w:p>
    <w:p w14:paraId="7DAB6A76" w14:textId="77777777" w:rsidR="004A6C7A" w:rsidRDefault="007849EA">
      <w:pPr>
        <w:pStyle w:val="BookBody"/>
      </w:pPr>
      <w:r>
        <w:rPr>
          <w:szCs w:val="28"/>
        </w:rPr>
        <w:t>The tension is clearest where commercial possibility enters description. Plant distributions can illuminate the history of life and suggest crops for colonial transfer. Mineral observations can reveal geological structure and improve extraction. Climatic comparison can enlarge understanding and guide administration. The same relation can serve contemplation, subsistence, profit, or domination. Interconnection does not decide the ethics of use.</w:t>
      </w:r>
    </w:p>
    <w:p w14:paraId="3420290E" w14:textId="77777777" w:rsidR="004A6C7A" w:rsidRDefault="007849EA">
      <w:pPr>
        <w:pStyle w:val="BookBody"/>
      </w:pPr>
      <w:r>
        <w:rPr>
          <w:szCs w:val="28"/>
        </w:rPr>
        <w:t>A critical inheritance of Humboldt must therefore preserve two achievements together: the refusal to reduce nature to isolated objects, and the refusal to romanticize the observer who connects them. The scientific whole becomes credible when its routes of acquisition are named, its collaborators restored, its abstractions limited, and its consequences open to judgment.</w:t>
      </w:r>
    </w:p>
    <w:p w14:paraId="50D3BF0C" w14:textId="77777777" w:rsidR="004A6C7A" w:rsidRDefault="007849EA">
      <w:pPr>
        <w:pStyle w:val="BookBody"/>
      </w:pPr>
      <w:r>
        <w:rPr>
          <w:szCs w:val="28"/>
        </w:rPr>
        <w:t>This qualification strengthens the chapter's central claim. Humboldt did not recover the old cosmos of fixed ranks and providential purposes. He invented a modern practice of synthesis under conditions of fractured authority. Its unity is provisional, revisable, and made through representation. Its moral value depends not on wholeness alone but on how the relations are produced and shared.</w:t>
      </w:r>
    </w:p>
    <w:p w14:paraId="66551BB4" w14:textId="77777777" w:rsidR="00A04EE8" w:rsidRDefault="003E50B9">
      <w:pPr>
        <w:pStyle w:val="SectionHeading"/>
      </w:pPr>
      <w:r>
        <w:rPr>
          <w:color w:val="2E74B5"/>
        </w:rPr>
        <w:t>The Public Cosmos</w:t>
      </w:r>
    </w:p>
    <w:p w14:paraId="6A14BB41" w14:textId="77777777" w:rsidR="00A04EE8" w:rsidRDefault="003E50B9">
      <w:pPr>
        <w:pStyle w:val="BookBody"/>
      </w:pPr>
      <w:r>
        <w:t xml:space="preserve">Humboldt's synthesis depended on public forms. His 1827-28 lectures in Berlin drew large and socially mixed audiences. They presented astronomy, geology, climate, geography, life, and human history as parts of one physical description. The lectures later helped shape </w:t>
      </w:r>
      <w:r>
        <w:rPr>
          <w:i/>
        </w:rPr>
        <w:t>Cosmos</w:t>
      </w:r>
      <w:r>
        <w:t>, the multi-volume work whose first volume appeared in 1845, when Humboldt was seventy-five.</w:t>
      </w:r>
      <w:r>
        <w:rPr>
          <w:vertAlign w:val="superscript"/>
        </w:rPr>
        <w:t>23</w:t>
      </w:r>
    </w:p>
    <w:p w14:paraId="386097E9" w14:textId="77777777" w:rsidR="00A04EE8" w:rsidRDefault="003E50B9">
      <w:pPr>
        <w:pStyle w:val="BookBody"/>
      </w:pPr>
      <w:r>
        <w:t>The public was not incidental. Specialization had made a comprehensive view difficult even for experts. Humboldt sought a language that could connect disciplines without pretending to replace their technical work. The cosmographer became an arranger of relations among sciences, observations, arts, and histories.</w:t>
      </w:r>
    </w:p>
    <w:p w14:paraId="6CB0A3AD" w14:textId="77777777" w:rsidR="00A04EE8" w:rsidRDefault="003E50B9">
      <w:pPr>
        <w:pStyle w:val="BookBody"/>
      </w:pPr>
      <w:r>
        <w:t>Print expanded the audience while altering the performance. Footnotes, citations, tables, and long historical surveys allowed readers to inspect sources. Descriptive passages offered imaginative entry. The prose alternated between synthesis and archive, often producing the very overload it tried to master.</w:t>
      </w:r>
    </w:p>
    <w:p w14:paraId="4F84227A" w14:textId="77777777" w:rsidR="00A04EE8" w:rsidRDefault="003E50B9">
      <w:pPr>
        <w:pStyle w:val="BookBody"/>
      </w:pPr>
      <w:r>
        <w:t xml:space="preserve">The popularity of </w:t>
      </w:r>
      <w:r>
        <w:rPr>
          <w:i/>
        </w:rPr>
        <w:t>Cosmos</w:t>
      </w:r>
      <w:r>
        <w:t xml:space="preserve"> shows that scientific exactness and aesthetic scope were not yet assumed to be enemies. Readers encountered nebulae, planetary motion, terrestrial magnetism, volcanoes, oceans, plants, animals, races, languages, and landscape art within one project. The unity lay less in a single mechanism than in the act of coordinated description.</w:t>
      </w:r>
    </w:p>
    <w:p w14:paraId="1B2B7B43" w14:textId="77777777" w:rsidR="00A04EE8" w:rsidRDefault="003E50B9">
      <w:pPr>
        <w:pStyle w:val="BookBody"/>
      </w:pPr>
      <w:r>
        <w:t>This was a democratic promise with limits. A public scientific cosmos could loosen the monopoly of specialists and courts. But access still depended on literacy, leisure, publication, translation, and the authority of a celebrated European man. Humboldt's universal audience was imagined more broadly than it was materially realized.</w:t>
      </w:r>
    </w:p>
    <w:p w14:paraId="6E24841E" w14:textId="77777777" w:rsidR="00A04EE8" w:rsidRDefault="003E50B9">
      <w:pPr>
        <w:pStyle w:val="SectionHeading"/>
      </w:pPr>
      <w:r>
        <w:rPr>
          <w:color w:val="2E74B5"/>
        </w:rPr>
        <w:t>The Architecture of *Cosmos*</w:t>
      </w:r>
    </w:p>
    <w:p w14:paraId="09ED5762" w14:textId="77777777" w:rsidR="00A04EE8" w:rsidRDefault="003E50B9">
      <w:pPr>
        <w:pStyle w:val="BookBody"/>
      </w:pPr>
      <w:r>
        <w:t xml:space="preserve">The first volume of </w:t>
      </w:r>
      <w:r>
        <w:rPr>
          <w:i/>
        </w:rPr>
        <w:t>Cosmos</w:t>
      </w:r>
      <w:r>
        <w:t xml:space="preserve"> begins not with a narrow definition but with a program. Humboldt distinguishes the physical description of the world from a mere encyclopedia. An encyclopedia places items beside one another; a cosmos should display connection. The aim is to rise from individual phenomena toward the order that binds them while remaining answerable to empirical science.</w:t>
      </w:r>
      <w:r>
        <w:rPr>
          <w:vertAlign w:val="superscript"/>
        </w:rPr>
        <w:t>24</w:t>
      </w:r>
    </w:p>
    <w:p w14:paraId="713DEE0A" w14:textId="77777777" w:rsidR="00A04EE8" w:rsidRDefault="003E50B9">
      <w:pPr>
        <w:pStyle w:val="BookBody"/>
      </w:pPr>
      <w:r>
        <w:t>The work proceeds through several scales. It moves from the celestial to the terrestrial, from nebulae and stars toward planetary form, magnetism, atmosphere, oceans, rocks, plants, animals, and humankind. The movement resembles a journey inward through nested relations, but it does not revive concentric spheres or a privileged terrestrial center.</w:t>
      </w:r>
    </w:p>
    <w:p w14:paraId="6FE1F29C" w14:textId="77777777" w:rsidR="00A04EE8" w:rsidRDefault="003E50B9">
      <w:pPr>
        <w:pStyle w:val="BookBody"/>
      </w:pPr>
      <w:r>
        <w:t>Another movement is historical. Humboldt surveys how the idea of nature has been represented in literature, art, exploration, and science. The cosmos is therefore not only nature's order; it is the history of human efforts to perceive that order. Greek descriptions, medieval travel, Renaissance art, voyages, instruments, and modern physics become episodes in the education of attention.</w:t>
      </w:r>
    </w:p>
    <w:p w14:paraId="4A2549FA" w14:textId="77777777" w:rsidR="00A04EE8" w:rsidRDefault="003E50B9">
      <w:pPr>
        <w:pStyle w:val="BookBody"/>
      </w:pPr>
      <w:r>
        <w:t>A third movement is affective. Humboldt repeatedly speaks of the enjoyment of nature and the impression of unity. The reader is not asked to receive facts without feeling. Wonder motivates inquiry, and knowledge can deepen wonder by revealing relations invisible to casual sight.</w:t>
      </w:r>
    </w:p>
    <w:p w14:paraId="1393C6AD" w14:textId="77777777" w:rsidR="00A04EE8" w:rsidRDefault="003E50B9">
      <w:pPr>
        <w:pStyle w:val="BookBody"/>
      </w:pPr>
      <w:r>
        <w:t>These movements do not always fit smoothly. The scale overwhelms the prose. Historical surveys interrupt physical description; notes multiply; later volumes accumulate detail. The difficulty is instructive. A scientific cosmos cannot be made by declaring unity. It must carry the resistance of specialized facts into the form of the whole.</w:t>
      </w:r>
    </w:p>
    <w:p w14:paraId="27399FEF" w14:textId="77777777" w:rsidR="00A04EE8" w:rsidRDefault="003E50B9">
      <w:pPr>
        <w:pStyle w:val="BookBody"/>
      </w:pPr>
      <w:r>
        <w:t xml:space="preserve">The unfinished quality of </w:t>
      </w:r>
      <w:r>
        <w:rPr>
          <w:i/>
        </w:rPr>
        <w:t>Cosmos</w:t>
      </w:r>
      <w:r>
        <w:t xml:space="preserve"> is thus more than biographical. Humboldt continued publishing into old age, and the fifth volume appeared posthumously. The project remained open because the sciences remained open. Its order was provisional, not the final architecture of creation.</w:t>
      </w:r>
    </w:p>
    <w:p w14:paraId="68B9596E" w14:textId="77777777" w:rsidR="00A04EE8" w:rsidRDefault="003E50B9">
      <w:pPr>
        <w:pStyle w:val="SectionHeading"/>
      </w:pPr>
      <w:r>
        <w:rPr>
          <w:color w:val="2E74B5"/>
        </w:rPr>
        <w:t>A Scientific Literature</w:t>
      </w:r>
    </w:p>
    <w:p w14:paraId="29A8C759" w14:textId="77777777" w:rsidR="00A04EE8" w:rsidRDefault="003E50B9">
      <w:pPr>
        <w:pStyle w:val="BookBody"/>
      </w:pPr>
      <w:r>
        <w:t>Humboldt's writing belongs to several genres at once: travel narrative, physical geography, political economy, natural history, memoir, atlas, essay, and cosmic survey. Later disciplinary boundaries make this hybridity seem unstable. For Humboldt, it was the form required by the object.</w:t>
      </w:r>
    </w:p>
    <w:p w14:paraId="4AF47ADF" w14:textId="77777777" w:rsidR="00A04EE8" w:rsidRDefault="003E50B9">
      <w:pPr>
        <w:pStyle w:val="BookBody"/>
      </w:pPr>
      <w:r>
        <w:t xml:space="preserve">The travel narrative preserved sequence and encounter. The atlas displayed spatial relations. The political essay joined statistics to institutions. The botanical work organized distribution. </w:t>
      </w:r>
      <w:r>
        <w:rPr>
          <w:i/>
        </w:rPr>
        <w:t>Views of Nature</w:t>
      </w:r>
      <w:r>
        <w:t xml:space="preserve"> composed scientific essays with literary scenes. </w:t>
      </w:r>
      <w:r>
        <w:rPr>
          <w:i/>
        </w:rPr>
        <w:t>Cosmos</w:t>
      </w:r>
      <w:r>
        <w:t xml:space="preserve"> assembled the historical and contemporary sciences into a physical description of the universe.</w:t>
      </w:r>
      <w:r>
        <w:rPr>
          <w:vertAlign w:val="superscript"/>
        </w:rPr>
        <w:t>25</w:t>
      </w:r>
    </w:p>
    <w:p w14:paraId="201A992D" w14:textId="77777777" w:rsidR="00A04EE8" w:rsidRDefault="003E50B9">
      <w:pPr>
        <w:pStyle w:val="BookBody"/>
      </w:pPr>
      <w:r>
        <w:t>This generic plurality explains both the reach and the difficulty of his work. No reader can evaluate every measurement, identification, historical claim, and analogy with equal competence. Synthesis relies on trust across fields. Humboldt responded through citation and correspondence, but the authority of his name also held the structure together.</w:t>
      </w:r>
    </w:p>
    <w:p w14:paraId="377316DC" w14:textId="77777777" w:rsidR="00A04EE8" w:rsidRDefault="003E50B9">
      <w:pPr>
        <w:pStyle w:val="BookBody"/>
      </w:pPr>
      <w:r>
        <w:t>Laura Dassow Walls has described Humboldt's project as a passage to cosmos: an attempt to connect empirical particulars with a world community of knowledge. Andrea Wulf has emphasized the later environmental influence of his vision, while Andreas Daum has restored its political and biographical settings.</w:t>
      </w:r>
      <w:r>
        <w:rPr>
          <w:vertAlign w:val="superscript"/>
        </w:rPr>
        <w:t>26</w:t>
      </w:r>
      <w:r>
        <w:t xml:space="preserve"> These readings differ in emphasis, but all show that Humboldt's importance lies not in a single discovery. It lies in a form of integration.</w:t>
      </w:r>
    </w:p>
    <w:p w14:paraId="5540C2A6" w14:textId="77777777" w:rsidR="00A04EE8" w:rsidRDefault="003E50B9">
      <w:pPr>
        <w:pStyle w:val="BookBody"/>
      </w:pPr>
      <w:r>
        <w:t>Scientific literature was integral to that form. Metaphor, rhythm, scene, and visual composition did not merely popularize results found elsewhere. They trained attention to relation. A reader who moved imaginatively from a forest floor to a mountain summit and then across isothermal lines rehearsed the cognitive movement Humboldt considered natural knowledge.</w:t>
      </w:r>
    </w:p>
    <w:p w14:paraId="30783425" w14:textId="77777777" w:rsidR="00A04EE8" w:rsidRDefault="003E50B9">
      <w:pPr>
        <w:pStyle w:val="SectionHeading"/>
      </w:pPr>
      <w:r>
        <w:rPr>
          <w:color w:val="2E74B5"/>
        </w:rPr>
        <w:t>Afterlives of a Method</w:t>
      </w:r>
    </w:p>
    <w:p w14:paraId="0E75411E" w14:textId="77777777" w:rsidR="00A04EE8" w:rsidRDefault="003E50B9">
      <w:pPr>
        <w:pStyle w:val="BookBody"/>
      </w:pPr>
      <w:r>
        <w:t xml:space="preserve">Humboldt's influence traveled through readers who used him for different projects. Charles Darwin carried Humboldt's </w:t>
      </w:r>
      <w:r>
        <w:rPr>
          <w:i/>
        </w:rPr>
        <w:t>Personal Narrative</w:t>
      </w:r>
      <w:r>
        <w:t xml:space="preserve"> as a model of scientific travel and credited it with awakening his desire to visit tropical regions. Henry David Thoreau drew on Humboldtian plant geography and comparative observation while seeking a local, seasonal cosmos around Concord. American surveyors, geographers, and expansionists adopted Humboldt's maps and climatic relations for continental projects.</w:t>
      </w:r>
      <w:r>
        <w:rPr>
          <w:vertAlign w:val="superscript"/>
        </w:rPr>
        <w:t>27</w:t>
      </w:r>
    </w:p>
    <w:p w14:paraId="434FCEED" w14:textId="77777777" w:rsidR="00A04EE8" w:rsidRDefault="003E50B9">
      <w:pPr>
        <w:pStyle w:val="BookBody"/>
      </w:pPr>
      <w:r>
        <w:t>These afterlives demonstrate that a method does not control its descendants. Comparative geography could support evolutionary thinking, environmental attention, national inventory, or settler expansion. Isothermal relations that decentered political borders could be recruited to justify the westward course of "civilization." The planetary view was ethically underdetermined.</w:t>
      </w:r>
    </w:p>
    <w:p w14:paraId="67C22852" w14:textId="77777777" w:rsidR="00A04EE8" w:rsidRDefault="003E50B9">
      <w:pPr>
        <w:pStyle w:val="BookBody"/>
      </w:pPr>
      <w:r>
        <w:t>The environmental Humboldt familiar today is therefore a selection. It rightly recovers his accounts of deforestation, unity, and the interdependence of organic and physical nature. It can become misleading if it turns him into a contemporary ecological saint detached from mining, commerce, state science, and empire.</w:t>
      </w:r>
    </w:p>
    <w:p w14:paraId="1E91C3E8" w14:textId="77777777" w:rsidR="00A04EE8" w:rsidRDefault="003E50B9">
      <w:pPr>
        <w:pStyle w:val="BookBody"/>
      </w:pPr>
      <w:r>
        <w:t>The imperial Humboldt is likewise a selection. His ability to travel, collect, and publish depended on structures of European and colonial power. Yet his condemnation of slavery, defense of human unity, and criticism of environmental destruction cannot be reduced to camouflage. The contradictions were active within his work.</w:t>
      </w:r>
    </w:p>
    <w:p w14:paraId="59156742" w14:textId="77777777" w:rsidR="00A04EE8" w:rsidRDefault="003E50B9">
      <w:pPr>
        <w:pStyle w:val="BookBody"/>
      </w:pPr>
      <w:r>
        <w:t>His most durable legacy may be a style of accountable synthesis. Later investigators could reject his conclusions while retaining the demand to locate observations, compare regions, combine instruments with description, and ask how physical and human processes interact. A method survives not as a doctrine but as a repertoire of questions.</w:t>
      </w:r>
    </w:p>
    <w:p w14:paraId="25272FDC" w14:textId="77777777" w:rsidR="00A04EE8" w:rsidRDefault="003E50B9">
      <w:pPr>
        <w:pStyle w:val="SectionHeading"/>
      </w:pPr>
      <w:r>
        <w:rPr>
          <w:color w:val="2E74B5"/>
        </w:rPr>
        <w:t>Aesthetic Attention</w:t>
      </w:r>
    </w:p>
    <w:p w14:paraId="6B63DF70" w14:textId="77777777" w:rsidR="00A04EE8" w:rsidRDefault="003E50B9">
      <w:pPr>
        <w:pStyle w:val="BookBody"/>
      </w:pPr>
      <w:r>
        <w:t>Humboldt learned from landscape art, travel writing, and the culture of the sublime. Goethe provided conversation and an example of morphological attention; Kant supplied a philosophical background for thinking about aesthetic judgment and natural order. But Humboldt's science cannot be reduced to Romantic reaction against mechanism. Measurement remained nonnegotiable.</w:t>
      </w:r>
      <w:r>
        <w:rPr>
          <w:vertAlign w:val="superscript"/>
        </w:rPr>
        <w:t>28</w:t>
      </w:r>
    </w:p>
    <w:p w14:paraId="717FC7B1" w14:textId="77777777" w:rsidR="00A04EE8" w:rsidRDefault="003E50B9">
      <w:pPr>
        <w:pStyle w:val="BookBody"/>
      </w:pPr>
      <w:r>
        <w:t>The aesthetic entered as a way of apprehending multiplicity. A landscape is not a heap of objects. It is a relation of foreground and distance, light and atmosphere, form and movement. The trained eye grasps an aspect before analysis separates its elements. Humboldt sought to preserve that synthetic apprehension while making its components scientifically explicit.</w:t>
      </w:r>
    </w:p>
    <w:p w14:paraId="4E1CC2D1" w14:textId="77777777" w:rsidR="00A04EE8" w:rsidRDefault="003E50B9">
      <w:pPr>
        <w:pStyle w:val="BookBody"/>
      </w:pPr>
      <w:r>
        <w:t>He used the term "physiognomy" for the characteristic appearance of vegetation. The concept risked vagueness, but it allowed observers to register differences in the total form of regions. Palms, tree ferns, grasses, cacti, and conifers created distinct aspects even before every species was named. Aesthetic attention generated questions for plant geography.</w:t>
      </w:r>
    </w:p>
    <w:p w14:paraId="406AACF5" w14:textId="77777777" w:rsidR="00A04EE8" w:rsidRDefault="003E50B9">
      <w:pPr>
        <w:pStyle w:val="BookBody"/>
      </w:pPr>
      <w:r>
        <w:t>The relation also ran the other way. Measurement educated perception. Knowing the altitude of a snow line, the pressure of the air, or the distribution of a plant could deepen the experience of a mountain. Science did not have to disenchant the view. It could multiply what the view contained.</w:t>
      </w:r>
    </w:p>
    <w:p w14:paraId="577A1575" w14:textId="77777777" w:rsidR="00A04EE8" w:rsidRDefault="003E50B9">
      <w:pPr>
        <w:pStyle w:val="BookBody"/>
      </w:pPr>
      <w:r>
        <w:t>This is Humboldt's most direct answer to the preceding chapter. Qualities need not be restored as occult properties inherent in things. They can be treated as modes of relation through which a structured world becomes present to embodied observers. Their dependence does not disqualify them from knowledge; it demands disciplined forms of attention and communication.</w:t>
      </w:r>
    </w:p>
    <w:p w14:paraId="01961D46" w14:textId="77777777" w:rsidR="00A04EE8" w:rsidRDefault="003E50B9">
      <w:pPr>
        <w:pStyle w:val="SectionHeading"/>
      </w:pPr>
      <w:r>
        <w:rPr>
          <w:color w:val="2E74B5"/>
        </w:rPr>
        <w:t>Interconnection without Proof of Purpose</w:t>
      </w:r>
    </w:p>
    <w:p w14:paraId="76EDABE4" w14:textId="77777777" w:rsidR="00A04EE8" w:rsidRDefault="003E50B9">
      <w:pPr>
        <w:pStyle w:val="BookBody"/>
      </w:pPr>
      <w:r>
        <w:t>Humboldt repeatedly described nature as a unity in diversity, a web of forces and relations. Modern readers can easily convert this language into a metaphysical doctrine of ecological harmony. The conversion should be resisted. His unity was chiefly methodological and representational: phenomena should be studied together because changes in one domain affect and illuminate others.</w:t>
      </w:r>
      <w:r>
        <w:rPr>
          <w:vertAlign w:val="superscript"/>
        </w:rPr>
        <w:t>29</w:t>
      </w:r>
    </w:p>
    <w:p w14:paraId="16E84324" w14:textId="77777777" w:rsidR="00A04EE8" w:rsidRDefault="003E50B9">
      <w:pPr>
        <w:pStyle w:val="BookBody"/>
      </w:pPr>
      <w:r>
        <w:t>Interconnection does not imply benevolence. Volcanoes destroy, organisms compete, climates shift, and human economies devastate landscapes. The same network that sustains life transmits disturbance. Humboldt's criticism of deforestation depended on causal connection, not on the claim that untouched nature rests in perfect balance.</w:t>
      </w:r>
    </w:p>
    <w:p w14:paraId="67647E16" w14:textId="77777777" w:rsidR="00A04EE8" w:rsidRDefault="003E50B9">
      <w:pPr>
        <w:pStyle w:val="BookBody"/>
      </w:pPr>
      <w:r>
        <w:t>Nor did empirical synthesis prove cosmic purpose. Humboldt generally avoided deriving moral order from physical pattern. The beauty of relation could inspire wonder, but wonder did not authorize a natural theology by itself. In this restraint he remained within the critical settlement of the eighteenth century.</w:t>
      </w:r>
    </w:p>
    <w:p w14:paraId="1546132C" w14:textId="77777777" w:rsidR="00A04EE8" w:rsidRDefault="003E50B9">
      <w:pPr>
        <w:pStyle w:val="BookBody"/>
      </w:pPr>
      <w:r>
        <w:t>The distinction is essential to the book's larger argument. A living cosmos is not recovered merely by showing that everything affects everything else. Causal connection can be mapped in a world indifferent to human value. A scientific cosmos becomes ethically meaningful only when facts about dependence enter judgments about responsibility.</w:t>
      </w:r>
    </w:p>
    <w:p w14:paraId="3C5A3828" w14:textId="77777777" w:rsidR="00A04EE8" w:rsidRDefault="003E50B9">
      <w:pPr>
        <w:pStyle w:val="BookBody"/>
      </w:pPr>
      <w:r>
        <w:t>Humboldt supplied materials for such judgments. If forests affect water and climate, clearing them has distant consequences. If plantation wealth depends on slavery, economic description cannot remain morally neutral. If human groups share one species, racial domination cannot be naturalized as separate creation. The connections do not dictate a complete ethics, but they make denial harder.</w:t>
      </w:r>
    </w:p>
    <w:p w14:paraId="6C2920B5" w14:textId="77777777" w:rsidR="00A04EE8" w:rsidRDefault="003E50B9">
      <w:pPr>
        <w:pStyle w:val="SectionHeading"/>
      </w:pPr>
      <w:r>
        <w:rPr>
          <w:color w:val="2E74B5"/>
        </w:rPr>
        <w:t>Knowledge and Use</w:t>
      </w:r>
    </w:p>
    <w:p w14:paraId="00D8B938" w14:textId="77777777" w:rsidR="00A04EE8" w:rsidRDefault="003E50B9">
      <w:pPr>
        <w:pStyle w:val="BookBody"/>
      </w:pPr>
      <w:r>
        <w:t>The relation between knowing and using nature runs through Humboldt's career. Accurate maps guide travelers and armies. Mineral analyses identify geological processes and valuable ores. Botanical surveys illuminate distribution and locate useful species. Political statistics reveal inequality and estimate production. Knowledge increases the capacity to care and the capacity to command.</w:t>
      </w:r>
    </w:p>
    <w:p w14:paraId="15463765" w14:textId="77777777" w:rsidR="00A04EE8" w:rsidRDefault="003E50B9">
      <w:pPr>
        <w:pStyle w:val="BookBody"/>
      </w:pPr>
      <w:r>
        <w:t>Francis Bacon had joined knowledge to power through the hope of relief for the human condition. Humboldt inherited that practical ambition but placed it within a denser account of consequence. An intervention in one part of nature can alter relations elsewhere. Power without connection becomes self-defeating.</w:t>
      </w:r>
    </w:p>
    <w:p w14:paraId="41C7CAF3" w14:textId="77777777" w:rsidR="00A04EE8" w:rsidRDefault="003E50B9">
      <w:pPr>
        <w:pStyle w:val="BookBody"/>
      </w:pPr>
      <w:r>
        <w:t xml:space="preserve">Still, connection can itself become a technology of power. A plantation owner benefits from climate data; a mining state benefits from geological sections; a commercial empire benefits from routes, resources, and population tables. The </w:t>
      </w:r>
      <w:r>
        <w:rPr>
          <w:i/>
        </w:rPr>
        <w:t>Political Essay on the Kingdom of New Spain</w:t>
      </w:r>
      <w:r>
        <w:t xml:space="preserve"> supplied a remarkably detailed account of mines, agriculture, people, and trade that readers could use for reform, investment, or geopolitical calculation.</w:t>
      </w:r>
      <w:r>
        <w:rPr>
          <w:vertAlign w:val="superscript"/>
        </w:rPr>
        <w:t>30</w:t>
      </w:r>
    </w:p>
    <w:p w14:paraId="28C1A688" w14:textId="77777777" w:rsidR="00A04EE8" w:rsidRDefault="003E50B9">
      <w:pPr>
        <w:pStyle w:val="BookBody"/>
      </w:pPr>
      <w:r>
        <w:t>This ambiguity should not be resolved by assigning science a single political essence. Knowledge is neither innocent nor guilty in the abstract. Its forms distribute visibility and capacity. They make some relations easier to act upon and others easier to ignore.</w:t>
      </w:r>
    </w:p>
    <w:p w14:paraId="281E6DE6" w14:textId="77777777" w:rsidR="00A04EE8" w:rsidRDefault="003E50B9">
      <w:pPr>
        <w:pStyle w:val="BookBody"/>
      </w:pPr>
      <w:r>
        <w:t xml:space="preserve">Humboldt's visual witnesses display the problem. The sextant turns a place into coordinates. The </w:t>
      </w:r>
      <w:r>
        <w:rPr>
          <w:i/>
        </w:rPr>
        <w:t>Naturgemälde</w:t>
      </w:r>
      <w:r>
        <w:t xml:space="preserve"> turns a mountain into relations. The isothermal map turns weather records into climate bands. Each representation expands understanding by abstraction. Each can be carried into projects the original observer did not foresee.</w:t>
      </w:r>
    </w:p>
    <w:p w14:paraId="326AD6C3" w14:textId="77777777" w:rsidR="00A04EE8" w:rsidRDefault="003E50B9">
      <w:pPr>
        <w:pStyle w:val="BookBody"/>
      </w:pPr>
      <w:r>
        <w:t>The ethical task begins with refusing to detach use from the system it changes. If a forest is also water, soil, climate, habitat, labor, and home, extraction cannot be evaluated by timber volume alone. Humboldt's cosmos did not solve that task. It made the impoverishment of the single measure more difficult to defend.</w:t>
      </w:r>
    </w:p>
    <w:p w14:paraId="47BDD83F" w14:textId="77777777" w:rsidR="004A6C7A" w:rsidRDefault="007849EA">
      <w:pPr>
        <w:pStyle w:val="SectionHeading"/>
      </w:pPr>
      <w:r>
        <w:rPr>
          <w:rFonts w:cstheme="majorBidi"/>
          <w:bCs/>
          <w:color w:val="2E74B5"/>
          <w:szCs w:val="28"/>
        </w:rPr>
        <w:t>Cosmos as a Form of Reading</w:t>
      </w:r>
    </w:p>
    <w:p w14:paraId="591DC7D2" w14:textId="77777777" w:rsidR="004A6C7A" w:rsidRDefault="007849EA">
      <w:pPr>
        <w:pStyle w:val="BookBody"/>
      </w:pPr>
      <w:r>
        <w:rPr>
          <w:szCs w:val="28"/>
        </w:rPr>
        <w:t>Humboldt's cosmos is finally a form of reading. The reader does not receive one thesis proved once and for all. The reader moves among narrative, table, map, landscape description, taxonomic name, historical comparison, and reflection on art. Each form corrects the limits of the others. Numbers without scene lose situation; scenes without coordinates resist comparison; maps without narrative conceal the journeys that made them.</w:t>
      </w:r>
    </w:p>
    <w:p w14:paraId="6687A272" w14:textId="77777777" w:rsidR="004A6C7A" w:rsidRDefault="007849EA">
      <w:pPr>
        <w:pStyle w:val="BookBody"/>
      </w:pPr>
      <w:r>
        <w:rPr>
          <w:szCs w:val="28"/>
        </w:rPr>
        <w:t>The public lectures in Berlin intensified this compositional method. Audiences encountered astronomy, geology, geography, life, and cultural history as parts of one sequence. The performance did not reproduce an expedition or a complete archive. It arranged knowledge so that listeners could experience connection. Synthesis became a civic act, addressed beyond a narrow guild of specialists.</w:t>
      </w:r>
    </w:p>
    <w:p w14:paraId="7C6FE37A" w14:textId="77777777" w:rsidR="004A6C7A" w:rsidRDefault="007849EA">
      <w:pPr>
        <w:pStyle w:val="BookBody"/>
      </w:pPr>
      <w:r>
        <w:rPr>
          <w:szCs w:val="28"/>
        </w:rPr>
        <w:t xml:space="preserve">The volumes of </w:t>
      </w:r>
      <w:r>
        <w:rPr>
          <w:i/>
          <w:szCs w:val="28"/>
        </w:rPr>
        <w:t>Cosmos</w:t>
      </w:r>
      <w:r>
        <w:rPr>
          <w:szCs w:val="28"/>
        </w:rPr>
        <w:t xml:space="preserve"> extend that act through print. Their movement across scales is deliberate: from nebulae and planetary motions to the figure of Earth, climate, vegetation, human response, and the history of the contemplation of nature. The architecture makes no local observer the spatial center, yet it continually returns immense processes to forms that a reader can imagine.</w:t>
      </w:r>
    </w:p>
    <w:p w14:paraId="6B76A705" w14:textId="77777777" w:rsidR="004A6C7A" w:rsidRDefault="007849EA">
      <w:pPr>
        <w:pStyle w:val="BookBody"/>
      </w:pPr>
      <w:r>
        <w:rPr>
          <w:szCs w:val="28"/>
        </w:rPr>
        <w:t>Aesthetic description performs cognitive work in this architecture. Rhythm, metaphor, and carefully composed vistas help the mind hold heterogeneous determinations together. They do not provide additional measurements, but they disclose salience and relation. The forest becomes more than a list of species because its density, sound, humidity, and vertical structure are presented as a perceptual organization.</w:t>
      </w:r>
    </w:p>
    <w:p w14:paraId="41F253A4" w14:textId="77777777" w:rsidR="004A6C7A" w:rsidRDefault="007849EA">
      <w:pPr>
        <w:pStyle w:val="BookBody"/>
      </w:pPr>
      <w:r>
        <w:rPr>
          <w:szCs w:val="28"/>
        </w:rPr>
        <w:t>This use of aesthetic form differs from proof by beauty. A harmonious paragraph does not establish that nature is metaphysically harmonious. The pleasure of connection belongs to the reader's encounter with an arrangement of knowledge. Humboldt often writes as though nature's unity solicits that arrangement, but the evidentiary basis remains empirical and comparative rather than theological.</w:t>
      </w:r>
    </w:p>
    <w:p w14:paraId="087F98EB" w14:textId="77777777" w:rsidR="004A6C7A" w:rsidRDefault="007849EA">
      <w:pPr>
        <w:pStyle w:val="BookBody"/>
      </w:pPr>
      <w:r>
        <w:rPr>
          <w:szCs w:val="28"/>
        </w:rPr>
        <w:t>The whole is also necessarily unfinished. New stations alter isotherms; new specimens revise distributions; geological history changes the meaning of a region; improved instruments expose errors. A closed cosmos would treat revision as a threat. Humboldt's cosmos survives by remaining corrigible. Its unity is a research program rather than a completed inventory.</w:t>
      </w:r>
    </w:p>
    <w:p w14:paraId="221A16C9" w14:textId="77777777" w:rsidR="004A6C7A" w:rsidRDefault="007849EA">
      <w:pPr>
        <w:pStyle w:val="BookBody"/>
      </w:pPr>
      <w:r>
        <w:rPr>
          <w:szCs w:val="28"/>
        </w:rPr>
        <w:t>Translation enlarges and complicates the public. Humboldt wrote across German and French, drew on Spanish colonial archives, used Latin taxonomy, and incorporated names from many local languages. Each translation allows a relation to travel while changing the texture of the source. The universal history of nature is therefore built through linguistic asymmetry as well as measurement.</w:t>
      </w:r>
    </w:p>
    <w:p w14:paraId="5DE8E553" w14:textId="77777777" w:rsidR="004A6C7A" w:rsidRDefault="007849EA">
      <w:pPr>
        <w:pStyle w:val="BookBody"/>
      </w:pPr>
      <w:r>
        <w:rPr>
          <w:szCs w:val="28"/>
        </w:rPr>
        <w:t>The reader must learn to ask what the polished synthesis has made invisible. Who gathered the specimen? Which route became safe through local knowledge? Whose term was replaced by a Linnaean binomial? Which plantation or mine supplied data while violence receded into a footnote? Critical reading does not dissolve the cosmos; it restores relations omitted by the authoritative voice.</w:t>
      </w:r>
    </w:p>
    <w:p w14:paraId="4AB285DB" w14:textId="77777777" w:rsidR="004A6C7A" w:rsidRDefault="007849EA">
      <w:pPr>
        <w:pStyle w:val="BookBody"/>
      </w:pPr>
      <w:r>
        <w:rPr>
          <w:szCs w:val="28"/>
        </w:rPr>
        <w:t>Humboldt's form thus mediates between encyclopedia and journey. The encyclopedia tends toward ordered totality; the journey preserves sequence, accident, and situated encounter. Their combination makes the world simultaneously comparable and resistant. A place enters planetary knowledge without becoming only an instance of a general law.</w:t>
      </w:r>
    </w:p>
    <w:p w14:paraId="3DC60132" w14:textId="77777777" w:rsidR="004A6C7A" w:rsidRDefault="007849EA">
      <w:pPr>
        <w:pStyle w:val="BookBody"/>
      </w:pPr>
      <w:r>
        <w:rPr>
          <w:szCs w:val="28"/>
        </w:rPr>
        <w:t>This is why Humboldt represents a last scientific cosmos rather than the last scientist to use the word. He could still address nature as one intelligible whole without claiming that one mechanism, one providential hierarchy, or one human purpose exhausted it. His cosmos joins exactitude to cultivated wonder while acknowledging that the joins are made.</w:t>
      </w:r>
    </w:p>
    <w:p w14:paraId="70289E72" w14:textId="77777777" w:rsidR="004A6C7A" w:rsidRDefault="007849EA">
      <w:pPr>
        <w:pStyle w:val="BookBody"/>
      </w:pPr>
      <w:r>
        <w:rPr>
          <w:szCs w:val="28"/>
        </w:rPr>
        <w:t>The achievement cannot stop the history Chapter 19 will introduce. Once strata become archives of lost worlds, species products of branching descent, and coal a reservoir of ancient time, the relations on Humboldt's page become temporal processes whose outcomes are irreversible. The open cosmos will become an Earth with an arrow, and the observer who mapped connection will become an industrial agent within planetary change.</w:t>
      </w:r>
    </w:p>
    <w:p w14:paraId="61537FF6" w14:textId="77777777" w:rsidR="004A6C7A" w:rsidRDefault="007849EA">
      <w:pPr>
        <w:pStyle w:val="BookBody"/>
      </w:pPr>
      <w:r>
        <w:rPr>
          <w:szCs w:val="28"/>
        </w:rPr>
        <w:t xml:space="preserve">The word </w:t>
      </w:r>
      <w:r>
        <w:rPr>
          <w:i/>
          <w:szCs w:val="28"/>
        </w:rPr>
        <w:t>last</w:t>
      </w:r>
      <w:r>
        <w:rPr>
          <w:szCs w:val="28"/>
        </w:rPr>
        <w:t xml:space="preserve"> must therefore be understood structurally, not chronologically. Scientific cosmologies continued after Humboldt, and contemporary sciences construct far more extensive accounts of an evolving universe. What becomes rare is Humboldt's confidence that one cultivated naturalist can address the public across the sciences and make the aesthetic experience of nature part of the same work as measurement.</w:t>
      </w:r>
    </w:p>
    <w:p w14:paraId="5B60E6A5" w14:textId="77777777" w:rsidR="004A6C7A" w:rsidRDefault="007849EA">
      <w:pPr>
        <w:pStyle w:val="BookBody"/>
      </w:pPr>
      <w:r>
        <w:rPr>
          <w:szCs w:val="28"/>
        </w:rPr>
        <w:t>Specialization weakens that authorial position for good reasons. No individual can master astronomy, geology, botany, meteorology, chemistry, ethnography, and the history of art at the required depth. Distributed expertise corrects error and enlarges knowledge. But distribution creates a new problem: connections among fields may be administratively coordinated without becoming intelligible to the people whose world they describe.</w:t>
      </w:r>
    </w:p>
    <w:p w14:paraId="2F7D1F76" w14:textId="77777777" w:rsidR="004A6C7A" w:rsidRDefault="007849EA">
      <w:pPr>
        <w:pStyle w:val="BookBody"/>
      </w:pPr>
      <w:r>
        <w:rPr>
          <w:szCs w:val="28"/>
        </w:rPr>
        <w:t>Humboldt's answer is representation. The map, section, comparative table, lecture, and travel narrative create interfaces among kinds of expertise. They do not erase specialization; they make its products encounter one another. The synthetic form becomes as important as the isolated fact.</w:t>
      </w:r>
    </w:p>
    <w:p w14:paraId="6E2CAB56" w14:textId="77777777" w:rsidR="004A6C7A" w:rsidRDefault="007849EA">
      <w:pPr>
        <w:pStyle w:val="BookBody"/>
      </w:pPr>
      <w:r>
        <w:rPr>
          <w:szCs w:val="28"/>
        </w:rPr>
        <w:t>This lesson survives the nineteenth-century confidence that sometimes surrounds it. Environmental understanding still depends on joining measurements taken at different scales and by different disciplines. A forest cannot be known through taxonomy alone, a climate through one station, or a river through chemistry without history, labor, and land use.</w:t>
      </w:r>
    </w:p>
    <w:p w14:paraId="42B5E84B" w14:textId="77777777" w:rsidR="004A6C7A" w:rsidRDefault="007849EA">
      <w:pPr>
        <w:pStyle w:val="BookBody"/>
      </w:pPr>
      <w:r>
        <w:rPr>
          <w:szCs w:val="28"/>
        </w:rPr>
        <w:t>The caution survives as well. Every synthesis selects a center, legend, scale, and route of circulation. A planetary image can inspire responsibility or authorize remote control. It can reveal dependence or conceal the unequal powers that assembled the data. Wholeness is an epistemic achievement only when its construction remains open to scrutiny.</w:t>
      </w:r>
    </w:p>
    <w:p w14:paraId="579D6E5F" w14:textId="77777777" w:rsidR="004A6C7A" w:rsidRDefault="007849EA">
      <w:pPr>
        <w:pStyle w:val="BookBody"/>
      </w:pPr>
      <w:r>
        <w:rPr>
          <w:szCs w:val="28"/>
        </w:rPr>
        <w:t>Humboldt leaves the modern reader with a demanding ideal: not the recovery of a providential cosmos, but the cultivation of enough exactness, imagination, and historical self-criticism to perceive relations that specialization and use continually sever. Chapter 19 will show why that ideal becomes harder when the observer is also burning the geological past that the sciences have only begun to read.</w:t>
      </w:r>
    </w:p>
    <w:p w14:paraId="4DA00648" w14:textId="77777777" w:rsidR="004A6C7A" w:rsidRDefault="007849EA">
      <w:pPr>
        <w:pStyle w:val="BookBody"/>
      </w:pPr>
      <w:r>
        <w:rPr>
          <w:szCs w:val="28"/>
        </w:rPr>
        <w:t>The temporal limit is already present in Humboldt's method. A distribution map records a historical outcome without necessarily revealing the migrations, extinctions, and geological changes that produced it. The plant on the mountain is both a present relation and the survivor of an unpictured past.</w:t>
      </w:r>
    </w:p>
    <w:p w14:paraId="0F1DD4D9" w14:textId="77777777" w:rsidR="004A6C7A" w:rsidRDefault="007849EA">
      <w:pPr>
        <w:pStyle w:val="BookBody"/>
      </w:pPr>
      <w:r>
        <w:rPr>
          <w:szCs w:val="28"/>
        </w:rPr>
        <w:t>Geology will make that hidden past increasingly unavoidable. A mountain profile can no longer be only an arrangement of altitude and climate; it becomes a cross-section through vanished seas, uplift, erosion, and lost organisms. The vertical order on the page opens into a temporal sequence.</w:t>
      </w:r>
    </w:p>
    <w:p w14:paraId="067B3066" w14:textId="77777777" w:rsidR="004A6C7A" w:rsidRDefault="007849EA">
      <w:pPr>
        <w:pStyle w:val="BookBody"/>
      </w:pPr>
      <w:r>
        <w:rPr>
          <w:szCs w:val="28"/>
        </w:rPr>
        <w:t>Evolution will do the same to classification. Similarity among species will cease to be only a pattern of types and become evidence of descent. Distribution will register barriers, dispersal, and inherited difference. Humboldt's comparative whole will be historicized from within.</w:t>
      </w:r>
    </w:p>
    <w:p w14:paraId="3EFC68EF" w14:textId="77777777" w:rsidR="004A6C7A" w:rsidRDefault="007849EA">
      <w:pPr>
        <w:pStyle w:val="BookBody"/>
      </w:pPr>
      <w:r>
        <w:rPr>
          <w:szCs w:val="28"/>
        </w:rPr>
        <w:t>Industry adds a sharper reversal. Instruments, mines, roads, and markets that enabled planetary comparison also enlarge the capacity to transform what is compared. The knowing observer becomes a geological agent, not through contemplation but through organized extraction and combustion.</w:t>
      </w:r>
    </w:p>
    <w:p w14:paraId="74527548" w14:textId="77777777" w:rsidR="004A6C7A" w:rsidRDefault="007849EA">
      <w:pPr>
        <w:pStyle w:val="BookBody"/>
      </w:pPr>
      <w:r>
        <w:rPr>
          <w:szCs w:val="28"/>
        </w:rPr>
        <w:t xml:space="preserve">The three visual witnesses summarize the method. The travel instrument fixes a situated reading; the </w:t>
      </w:r>
      <w:r>
        <w:rPr>
          <w:i/>
          <w:szCs w:val="28"/>
        </w:rPr>
        <w:t>Naturgemalde</w:t>
      </w:r>
      <w:r>
        <w:rPr>
          <w:szCs w:val="28"/>
        </w:rPr>
        <w:t xml:space="preserve"> composes many readings into a vertical whole; the isothermal map extends comparison across the globe. Each stage gains scope while losing detail. Scientific synthesis is the art of making those losses visible enough to be corrected.</w:t>
      </w:r>
    </w:p>
    <w:p w14:paraId="1A6A50E8" w14:textId="77777777" w:rsidR="004A6C7A" w:rsidRDefault="007849EA">
      <w:pPr>
        <w:pStyle w:val="BookBody"/>
      </w:pPr>
      <w:r>
        <w:rPr>
          <w:szCs w:val="28"/>
        </w:rPr>
        <w:t>Their sequence also changes the observer. Beside an instrument, the observer is a trained body at a place and time. Before the mountain plate, the observer becomes a reader coordinating image and inscription. Before the world map, the observer occupies an abstract planetary position assembled from many other people's locations.</w:t>
      </w:r>
    </w:p>
    <w:p w14:paraId="7BAE9098" w14:textId="77777777" w:rsidR="004A6C7A" w:rsidRDefault="007849EA">
      <w:pPr>
        <w:pStyle w:val="BookBody"/>
      </w:pPr>
      <w:r>
        <w:rPr>
          <w:szCs w:val="28"/>
        </w:rPr>
        <w:t>Humboldt's cosmos depends on moving responsibly among those positions. No one view is sufficient, and the planetary view is not morally superior simply because it is larger. The whole earns authority only by remaining answerable to the situated encounters from which it was built.</w:t>
      </w:r>
    </w:p>
    <w:p w14:paraId="72EE1FE3" w14:textId="77777777" w:rsidR="00A04EE8" w:rsidRDefault="003E50B9">
      <w:pPr>
        <w:pStyle w:val="SectionHeading"/>
      </w:pPr>
      <w:r>
        <w:rPr>
          <w:color w:val="2E74B5"/>
        </w:rPr>
        <w:t>The Last Scientific Cosmos</w:t>
      </w:r>
    </w:p>
    <w:p w14:paraId="344A2D4B" w14:textId="77777777" w:rsidR="00A04EE8" w:rsidRDefault="003E50B9">
      <w:pPr>
        <w:pStyle w:val="BookBody"/>
      </w:pPr>
      <w:r>
        <w:t>Humboldt's cosmos was "last" not because later science abandoned synthesis. Ecology, Earth-system science, climatology, biogeography, and cosmology all seek wholes. It was last because one author could still plausibly present a physical description of the universe as a continuous literary-scientific work addressed to a broad public.</w:t>
      </w:r>
    </w:p>
    <w:p w14:paraId="1CB86A65" w14:textId="77777777" w:rsidR="00A04EE8" w:rsidRDefault="003E50B9">
      <w:pPr>
        <w:pStyle w:val="BookBody"/>
      </w:pPr>
      <w:r>
        <w:t xml:space="preserve">Specialization soon made that role increasingly impossible. Knowledge grew through disciplines with distinct instruments, mathematics, archives, and professional languages. A synthesis required institutions and teams rather than a cosmographer's lifetime of correspondence. The authority that held </w:t>
      </w:r>
      <w:r>
        <w:rPr>
          <w:i/>
        </w:rPr>
        <w:t>Cosmos</w:t>
      </w:r>
      <w:r>
        <w:t xml:space="preserve"> together could no longer be concentrated so easily in a person.</w:t>
      </w:r>
    </w:p>
    <w:p w14:paraId="69D6577E" w14:textId="77777777" w:rsidR="00A04EE8" w:rsidRDefault="003E50B9">
      <w:pPr>
        <w:pStyle w:val="BookBody"/>
      </w:pPr>
      <w:r>
        <w:t>The project also reached a historical boundary. Humboldt's nature was dynamic, but the deep history of life and Earth had not yet been reorganized by evolutionary theory, thermodynamics, and industrial geology. His comparative distributions prepared questions that Darwin and others would transform. His concern with deforestation anticipated environmental science, but fossil energy would alter the scale of human action.</w:t>
      </w:r>
    </w:p>
    <w:p w14:paraId="5EE75C75" w14:textId="77777777" w:rsidR="00A04EE8" w:rsidRDefault="003E50B9">
      <w:pPr>
        <w:pStyle w:val="BookBody"/>
      </w:pPr>
      <w:r>
        <w:t>What survives is not a finished worldview. It is a discipline of connection. Measure precisely. Record position. Compare widely. Attend to anomalies. Preserve qualitative experience. Make the form of representation answerable to the evidence. Trace natural relations into political and economic life. Refuse both the isolated fact and the mystical whole.</w:t>
      </w:r>
    </w:p>
    <w:p w14:paraId="6CD2CC9E" w14:textId="77777777" w:rsidR="00A04EE8" w:rsidRDefault="003E50B9">
      <w:pPr>
        <w:pStyle w:val="SectionHeading"/>
      </w:pPr>
      <w:r>
        <w:rPr>
          <w:color w:val="2E74B5"/>
        </w:rPr>
        <w:t>From Cosmos to History</w:t>
      </w:r>
    </w:p>
    <w:p w14:paraId="6E00BA9D" w14:textId="77777777" w:rsidR="00A04EE8" w:rsidRDefault="003E50B9">
      <w:pPr>
        <w:pStyle w:val="BookBody"/>
      </w:pPr>
      <w:r>
        <w:t xml:space="preserve">The </w:t>
      </w:r>
      <w:r>
        <w:rPr>
          <w:i/>
        </w:rPr>
        <w:t>Naturgemälde</w:t>
      </w:r>
      <w:r>
        <w:t xml:space="preserve"> gathers a mountain into one page. The next transformation will unfold the page into time. Strata, fossils, erosion, extinction, and evolutionary descent will make nature historical at depths that exceed human memory. The cosmos will no longer be only an order of simultaneous relations. It will become a sequence of irreversible transformations.</w:t>
      </w:r>
    </w:p>
    <w:p w14:paraId="2D04048F" w14:textId="77777777" w:rsidR="00A04EE8" w:rsidRDefault="003E50B9">
      <w:pPr>
        <w:pStyle w:val="BookBody"/>
      </w:pPr>
      <w:r>
        <w:t>At the same moment, industry will read the strata as inventory. Coal seams, metals, forests, rivers, and labor will enter systems of extraction whose powers dwarf the mines Humboldt first administered. Instruments that disclosed connection will be joined by machines that reorganize it.</w:t>
      </w:r>
    </w:p>
    <w:p w14:paraId="0E2FAE9B" w14:textId="77777777" w:rsidR="00A04EE8" w:rsidRDefault="003E50B9">
      <w:pPr>
        <w:pStyle w:val="BookBody"/>
      </w:pPr>
      <w:r>
        <w:t>Humboldt stands at this crossing. His vertical sections connect plants, climate, rock, cultivation, and experience. They can be read ecologically, as accounts of dependence. They can also be read operationally, as distributions of resources and conditions. The scientific whole is not protected from the uses to which its knowledge is put.</w:t>
      </w:r>
    </w:p>
    <w:p w14:paraId="564A1CD1" w14:textId="77777777" w:rsidR="00A04EE8" w:rsidRDefault="003E50B9">
      <w:pPr>
        <w:pStyle w:val="BookBody"/>
      </w:pPr>
      <w:r>
        <w:t>The death of the living cosmos therefore does not end with disenchantment. It continues through a more intimate knowledge of relation. Nature can be measured as a connected whole and still be treated as raw material. The next chapters follow that paradox into deep time, evolution, energy, and the industrial Earth.</w:t>
      </w:r>
    </w:p>
    <w:p w14:paraId="744053B7" w14:textId="77777777" w:rsidR="00A04EE8" w:rsidRDefault="003E50B9">
      <w:pPr>
        <w:pStyle w:val="NotesHeading"/>
      </w:pPr>
      <w:r>
        <w:rPr>
          <w:color w:val="2E74B5"/>
        </w:rPr>
        <w:t>Notes</w:t>
      </w:r>
    </w:p>
    <w:p w14:paraId="62D892DB" w14:textId="77777777" w:rsidR="00A04EE8" w:rsidRDefault="003E50B9">
      <w:pPr>
        <w:pStyle w:val="NoteEntry"/>
      </w:pPr>
      <w:r>
        <w:t xml:space="preserve">1. Alexander von Humboldt and Aimé Bonpland, </w:t>
      </w:r>
      <w:r>
        <w:rPr>
          <w:i/>
        </w:rPr>
        <w:t>Essay on the Geography of Plants</w:t>
      </w:r>
      <w:r>
        <w:t>, trans. Sylvie Romanowski, ed. Stephen T. Jackson (Chicago: University of Chicago Press, 2009), 61-71, 172-83; Sylvie Romanowski, "Humboldt's Pictorial Science," in the same volume, 184-229.</w:t>
      </w:r>
    </w:p>
    <w:p w14:paraId="2986D3AC" w14:textId="77777777" w:rsidR="00A04EE8" w:rsidRDefault="003E50B9">
      <w:pPr>
        <w:pStyle w:val="NoteEntry"/>
      </w:pPr>
      <w:r>
        <w:t xml:space="preserve">2. Stephen T. Jackson, "Instruments Utilized in Developing the Tableau physique," in Humboldt and Bonpland, </w:t>
      </w:r>
      <w:r>
        <w:rPr>
          <w:i/>
        </w:rPr>
        <w:t>Essay on the Geography of Plants</w:t>
      </w:r>
      <w:r>
        <w:t xml:space="preserve">, 252-57; Alexander von Humboldt, </w:t>
      </w:r>
      <w:r>
        <w:rPr>
          <w:i/>
        </w:rPr>
        <w:t>Personal Narrative of a Journey to the Equinoctial Regions of the New Continent</w:t>
      </w:r>
      <w:r>
        <w:t>, abridged and trans. Jason Wilson (London: Penguin, 1995), 12-31.</w:t>
      </w:r>
    </w:p>
    <w:p w14:paraId="3473277B" w14:textId="77777777" w:rsidR="00A04EE8" w:rsidRDefault="003E50B9">
      <w:pPr>
        <w:pStyle w:val="NoteEntry"/>
      </w:pPr>
      <w:r>
        <w:t xml:space="preserve">3. Humboldt, </w:t>
      </w:r>
      <w:r>
        <w:rPr>
          <w:i/>
        </w:rPr>
        <w:t>Personal Narrative</w:t>
      </w:r>
      <w:r>
        <w:t xml:space="preserve">, 39-67, 165-90; Andrea Wulf, </w:t>
      </w:r>
      <w:r>
        <w:rPr>
          <w:i/>
        </w:rPr>
        <w:t>The Invention of Nature: Alexander von Humboldt's New World</w:t>
      </w:r>
      <w:r>
        <w:t xml:space="preserve"> (London: John Murray, 2015), 57-96.</w:t>
      </w:r>
    </w:p>
    <w:p w14:paraId="40BE63CA" w14:textId="77777777" w:rsidR="00A04EE8" w:rsidRDefault="003E50B9">
      <w:pPr>
        <w:pStyle w:val="NoteEntry"/>
      </w:pPr>
      <w:r>
        <w:t xml:space="preserve">4. Andreas W. Daum, </w:t>
      </w:r>
      <w:r>
        <w:rPr>
          <w:i/>
        </w:rPr>
        <w:t>Alexander von Humboldt: A Concise Biography</w:t>
      </w:r>
      <w:r>
        <w:t xml:space="preserve">, trans. Robert Savage (Princeton: Princeton University Press, 2024), 25-47; Wulf, </w:t>
      </w:r>
      <w:r>
        <w:rPr>
          <w:i/>
        </w:rPr>
        <w:t>Invention of Nature</w:t>
      </w:r>
      <w:r>
        <w:t>, 25-45.</w:t>
      </w:r>
    </w:p>
    <w:p w14:paraId="63070882" w14:textId="77777777" w:rsidR="00A04EE8" w:rsidRDefault="003E50B9">
      <w:pPr>
        <w:pStyle w:val="NoteEntry"/>
      </w:pPr>
      <w:r>
        <w:t xml:space="preserve">5. Humboldt, </w:t>
      </w:r>
      <w:r>
        <w:rPr>
          <w:i/>
        </w:rPr>
        <w:t>Personal Narrative</w:t>
      </w:r>
      <w:r>
        <w:t xml:space="preserve">, 1-11; Daum, </w:t>
      </w:r>
      <w:r>
        <w:rPr>
          <w:i/>
        </w:rPr>
        <w:t>Alexander von Humboldt</w:t>
      </w:r>
      <w:r>
        <w:t>, 48-93.</w:t>
      </w:r>
    </w:p>
    <w:p w14:paraId="1FDE520C" w14:textId="77777777" w:rsidR="00A04EE8" w:rsidRDefault="003E50B9">
      <w:pPr>
        <w:pStyle w:val="NoteEntry"/>
      </w:pPr>
      <w:r>
        <w:t xml:space="preserve">6. Humboldt and Bonpland, </w:t>
      </w:r>
      <w:r>
        <w:rPr>
          <w:i/>
        </w:rPr>
        <w:t>Essay on the Geography of Plants</w:t>
      </w:r>
      <w:r>
        <w:t>, 122-71, 252-57.</w:t>
      </w:r>
    </w:p>
    <w:p w14:paraId="2EFE62A3" w14:textId="77777777" w:rsidR="00A04EE8" w:rsidRDefault="003E50B9">
      <w:pPr>
        <w:pStyle w:val="NoteEntry"/>
      </w:pPr>
      <w:r>
        <w:t xml:space="preserve">7. Alexander von Humboldt, </w:t>
      </w:r>
      <w:r>
        <w:rPr>
          <w:i/>
        </w:rPr>
        <w:t>Views of Nature</w:t>
      </w:r>
      <w:r>
        <w:t xml:space="preserve">, trans. Mark W. Person, ed. Stephen T. Jackson and Laura Dassow Walls (Chicago: University of Chicago Press, 2014), 13-34; Laura Dassow Walls, </w:t>
      </w:r>
      <w:r>
        <w:rPr>
          <w:i/>
        </w:rPr>
        <w:t>The Passage to Cosmos: Alexander von Humboldt and the Shaping of America</w:t>
      </w:r>
      <w:r>
        <w:t xml:space="preserve"> (Chicago: University of Chicago Press, 2009), 42-75.</w:t>
      </w:r>
    </w:p>
    <w:p w14:paraId="701ADD9B" w14:textId="77777777" w:rsidR="00A04EE8" w:rsidRDefault="003E50B9">
      <w:pPr>
        <w:pStyle w:val="NoteEntry"/>
      </w:pPr>
      <w:r>
        <w:t xml:space="preserve">8. Mary Louise Pratt, </w:t>
      </w:r>
      <w:r>
        <w:rPr>
          <w:i/>
        </w:rPr>
        <w:t>Imperial Eyes: Travel Writing and Transculturation</w:t>
      </w:r>
      <w:r>
        <w:t xml:space="preserve">, 2nd ed. (London: Routledge, 2008), 111-43; Walls, </w:t>
      </w:r>
      <w:r>
        <w:rPr>
          <w:i/>
        </w:rPr>
        <w:t>Passage to Cosmos</w:t>
      </w:r>
      <w:r>
        <w:t>, 18-35.</w:t>
      </w:r>
    </w:p>
    <w:p w14:paraId="51B46DB5" w14:textId="77777777" w:rsidR="00A04EE8" w:rsidRDefault="003E50B9">
      <w:pPr>
        <w:pStyle w:val="NoteEntry"/>
      </w:pPr>
      <w:r>
        <w:t xml:space="preserve">9. Humboldt and Bonpland, </w:t>
      </w:r>
      <w:r>
        <w:rPr>
          <w:i/>
        </w:rPr>
        <w:t>Essay on the Geography of Plants</w:t>
      </w:r>
      <w:r>
        <w:t xml:space="preserve">, 31-35; Mauricio Nieto Olarte, </w:t>
      </w:r>
      <w:r>
        <w:rPr>
          <w:i/>
        </w:rPr>
        <w:t>Remedies for the Empire: The Eighteenth-Century Spanish Botanical Expeditions</w:t>
      </w:r>
      <w:r>
        <w:t xml:space="preserve"> (Bogotá: Universidad de los Andes, 2007), 185-219.</w:t>
      </w:r>
    </w:p>
    <w:p w14:paraId="11E18FE6" w14:textId="77777777" w:rsidR="00A04EE8" w:rsidRDefault="003E50B9">
      <w:pPr>
        <w:pStyle w:val="NoteEntry"/>
      </w:pPr>
      <w:r>
        <w:t xml:space="preserve">10. Pratt, </w:t>
      </w:r>
      <w:r>
        <w:rPr>
          <w:i/>
        </w:rPr>
        <w:t>Imperial Eyes</w:t>
      </w:r>
      <w:r>
        <w:t>, 37-39, 111-43.</w:t>
      </w:r>
    </w:p>
    <w:p w14:paraId="155A278D" w14:textId="77777777" w:rsidR="00A04EE8" w:rsidRDefault="003E50B9">
      <w:pPr>
        <w:pStyle w:val="NoteEntry"/>
      </w:pPr>
      <w:r>
        <w:t xml:space="preserve">11. Alexander von Humboldt, </w:t>
      </w:r>
      <w:r>
        <w:rPr>
          <w:i/>
        </w:rPr>
        <w:t>Political Essay on the Island of Cuba: A Critical Edition</w:t>
      </w:r>
      <w:r>
        <w:t xml:space="preserve">, ed. and trans. Vera M. Kutzinski and Ottmar Ette (Chicago: University of Chicago Press, 2011), 124-46, 227-36; Walls, </w:t>
      </w:r>
      <w:r>
        <w:rPr>
          <w:i/>
        </w:rPr>
        <w:t>Passage to Cosmos</w:t>
      </w:r>
      <w:r>
        <w:t>, 173-209.</w:t>
      </w:r>
    </w:p>
    <w:p w14:paraId="3EABFA27" w14:textId="77777777" w:rsidR="00A04EE8" w:rsidRDefault="003E50B9">
      <w:pPr>
        <w:pStyle w:val="NoteEntry"/>
      </w:pPr>
      <w:r>
        <w:t xml:space="preserve">12. Humboldt, </w:t>
      </w:r>
      <w:r>
        <w:rPr>
          <w:i/>
        </w:rPr>
        <w:t>Personal Narrative</w:t>
      </w:r>
      <w:r>
        <w:t xml:space="preserve">, 115-23; Walls, </w:t>
      </w:r>
      <w:r>
        <w:rPr>
          <w:i/>
        </w:rPr>
        <w:t>Passage to Cosmos</w:t>
      </w:r>
      <w:r>
        <w:t>, 18-25.</w:t>
      </w:r>
    </w:p>
    <w:p w14:paraId="66A89144" w14:textId="77777777" w:rsidR="00A04EE8" w:rsidRDefault="003E50B9">
      <w:pPr>
        <w:pStyle w:val="NoteEntry"/>
      </w:pPr>
      <w:r>
        <w:t xml:space="preserve">13. Humboldt and Bonpland, </w:t>
      </w:r>
      <w:r>
        <w:rPr>
          <w:i/>
        </w:rPr>
        <w:t>Essay on the Geography of Plants</w:t>
      </w:r>
      <w:r>
        <w:t>, 172-83.</w:t>
      </w:r>
    </w:p>
    <w:p w14:paraId="6BD9DB81" w14:textId="77777777" w:rsidR="00A04EE8" w:rsidRDefault="003E50B9">
      <w:pPr>
        <w:pStyle w:val="NoteEntry"/>
      </w:pPr>
      <w:r>
        <w:t xml:space="preserve">14. Romanowski, "Humboldt's Pictorial Science," 184-229; Humboldt and Bonpland, </w:t>
      </w:r>
      <w:r>
        <w:rPr>
          <w:i/>
        </w:rPr>
        <w:t>Essay on the Geography of Plants</w:t>
      </w:r>
      <w:r>
        <w:t>, 43-47.</w:t>
      </w:r>
    </w:p>
    <w:p w14:paraId="1FC6E318" w14:textId="77777777" w:rsidR="00A04EE8" w:rsidRDefault="003E50B9">
      <w:pPr>
        <w:pStyle w:val="NoteEntry"/>
      </w:pPr>
      <w:r>
        <w:t xml:space="preserve">15. Humboldt and Bonpland, </w:t>
      </w:r>
      <w:r>
        <w:rPr>
          <w:i/>
        </w:rPr>
        <w:t>Essay on the Geography of Plants</w:t>
      </w:r>
      <w:r>
        <w:t>, 76-121; Stephen T. Jackson, "Humboldt, Ecology, and the Cosmos," in the same volume, 1-52.</w:t>
      </w:r>
    </w:p>
    <w:p w14:paraId="2C02D3AE" w14:textId="77777777" w:rsidR="00A04EE8" w:rsidRDefault="003E50B9">
      <w:pPr>
        <w:pStyle w:val="NoteEntry"/>
      </w:pPr>
      <w:r>
        <w:t xml:space="preserve">16. Daniela Bleichmar, </w:t>
      </w:r>
      <w:r>
        <w:rPr>
          <w:i/>
        </w:rPr>
        <w:t>Visible Empire: Botanical Expeditions and Visual Culture in the Hispanic Enlightenment</w:t>
      </w:r>
      <w:r>
        <w:t xml:space="preserve"> (Chicago: University of Chicago Press, 2012), 17-55, 151-88; Nicholas Jardine, James A. Secord, and Emma C. Spary, eds., </w:t>
      </w:r>
      <w:r>
        <w:rPr>
          <w:i/>
        </w:rPr>
        <w:t>Cultures of Natural History</w:t>
      </w:r>
      <w:r>
        <w:t xml:space="preserve"> (Cambridge: Cambridge University Press, 1996), 3-13.</w:t>
      </w:r>
    </w:p>
    <w:p w14:paraId="037F8A63" w14:textId="77777777" w:rsidR="00A04EE8" w:rsidRDefault="003E50B9">
      <w:pPr>
        <w:pStyle w:val="NoteEntry"/>
      </w:pPr>
      <w:r>
        <w:t xml:space="preserve">17. Humboldt and Bonpland, </w:t>
      </w:r>
      <w:r>
        <w:rPr>
          <w:i/>
        </w:rPr>
        <w:t>Essay on the Geography of Plants</w:t>
      </w:r>
      <w:r>
        <w:t>, 76-183; Jackson, "Humboldt, Ecology, and the Cosmos," 22-38.</w:t>
      </w:r>
    </w:p>
    <w:p w14:paraId="4EECB914" w14:textId="77777777" w:rsidR="00A04EE8" w:rsidRDefault="003E50B9">
      <w:pPr>
        <w:pStyle w:val="NoteEntry"/>
      </w:pPr>
      <w:r>
        <w:t xml:space="preserve">18. Humboldt and Bonpland, </w:t>
      </w:r>
      <w:r>
        <w:rPr>
          <w:i/>
        </w:rPr>
        <w:t>Essay on the Geography of Plants</w:t>
      </w:r>
      <w:r>
        <w:t xml:space="preserve">, 140-41, 252-57; Horace-Bénédict de Saussure, </w:t>
      </w:r>
      <w:r>
        <w:rPr>
          <w:i/>
        </w:rPr>
        <w:t>Voyages dans les Alpes</w:t>
      </w:r>
      <w:r>
        <w:t>, vol. 4 (Neuchâtel, 1796), 301-4.</w:t>
      </w:r>
    </w:p>
    <w:p w14:paraId="6A85082F" w14:textId="77777777" w:rsidR="00A04EE8" w:rsidRDefault="003E50B9">
      <w:pPr>
        <w:pStyle w:val="NoteEntry"/>
      </w:pPr>
      <w:r>
        <w:t xml:space="preserve">19. Humboldt, </w:t>
      </w:r>
      <w:r>
        <w:rPr>
          <w:i/>
        </w:rPr>
        <w:t>Personal Narrative</w:t>
      </w:r>
      <w:r>
        <w:t xml:space="preserve">, 115-23; Wulf, </w:t>
      </w:r>
      <w:r>
        <w:rPr>
          <w:i/>
        </w:rPr>
        <w:t>Invention of Nature</w:t>
      </w:r>
      <w:r>
        <w:t>, 65-69.</w:t>
      </w:r>
    </w:p>
    <w:p w14:paraId="0C97DDB3" w14:textId="77777777" w:rsidR="00A04EE8" w:rsidRDefault="003E50B9">
      <w:pPr>
        <w:pStyle w:val="NoteEntry"/>
      </w:pPr>
      <w:r>
        <w:t xml:space="preserve">20. Alexander von Humboldt, "Des lignes isothermes et de la distribution de la chaleur sur le globe," </w:t>
      </w:r>
      <w:r>
        <w:rPr>
          <w:i/>
        </w:rPr>
        <w:t>Annales de chimie et de physique</w:t>
      </w:r>
      <w:r>
        <w:t xml:space="preserve"> 5 (1817): 102-11; Susan Faye Cannon, </w:t>
      </w:r>
      <w:r>
        <w:rPr>
          <w:i/>
        </w:rPr>
        <w:t>Science in Culture: The Early Victorian Period</w:t>
      </w:r>
      <w:r>
        <w:t xml:space="preserve"> (New York: Science History Publications, 1978), 73-110.</w:t>
      </w:r>
    </w:p>
    <w:p w14:paraId="3920E1B6" w14:textId="77777777" w:rsidR="00A04EE8" w:rsidRDefault="003E50B9">
      <w:pPr>
        <w:pStyle w:val="NoteEntry"/>
      </w:pPr>
      <w:r>
        <w:t xml:space="preserve">21. Alexander von Humboldt, </w:t>
      </w:r>
      <w:r>
        <w:rPr>
          <w:i/>
        </w:rPr>
        <w:t>Views of the Cordilleras and Monuments of the Indigenous Peoples of the Americas: A Critical Edition</w:t>
      </w:r>
      <w:r>
        <w:t xml:space="preserve">, ed. and trans. Vera M. Kutzinski and Ottmar Ette (Chicago: University of Chicago Press, 2012), 3-19; Walls, </w:t>
      </w:r>
      <w:r>
        <w:rPr>
          <w:i/>
        </w:rPr>
        <w:t>Passage to Cosmos</w:t>
      </w:r>
      <w:r>
        <w:t>, 76-113.</w:t>
      </w:r>
    </w:p>
    <w:p w14:paraId="3D7FDA1C" w14:textId="77777777" w:rsidR="00A04EE8" w:rsidRDefault="003E50B9">
      <w:pPr>
        <w:pStyle w:val="NoteEntry"/>
      </w:pPr>
      <w:r>
        <w:t xml:space="preserve">22. Bleichmar, </w:t>
      </w:r>
      <w:r>
        <w:rPr>
          <w:i/>
        </w:rPr>
        <w:t>Visible Empire</w:t>
      </w:r>
      <w:r>
        <w:t xml:space="preserve">, 57-105; Jardine, Secord, and Spary, </w:t>
      </w:r>
      <w:r>
        <w:rPr>
          <w:i/>
        </w:rPr>
        <w:t>Cultures of Natural History</w:t>
      </w:r>
      <w:r>
        <w:t>, 137-60.</w:t>
      </w:r>
    </w:p>
    <w:p w14:paraId="6CDF3996" w14:textId="77777777" w:rsidR="00A04EE8" w:rsidRDefault="003E50B9">
      <w:pPr>
        <w:pStyle w:val="NoteEntry"/>
      </w:pPr>
      <w:r>
        <w:t xml:space="preserve">23. Daum, </w:t>
      </w:r>
      <w:r>
        <w:rPr>
          <w:i/>
        </w:rPr>
        <w:t>Alexander von Humboldt</w:t>
      </w:r>
      <w:r>
        <w:t xml:space="preserve">, 147-76; Alexander von Humboldt, </w:t>
      </w:r>
      <w:r>
        <w:rPr>
          <w:i/>
        </w:rPr>
        <w:t>Cosmos: A Sketch of a Physical Description of the Universe</w:t>
      </w:r>
      <w:r>
        <w:t>, trans. E. C. Otté, 5 vols. (New York: Harper, 1850-59), 1:23-76.</w:t>
      </w:r>
    </w:p>
    <w:p w14:paraId="4AB13264" w14:textId="77777777" w:rsidR="00A04EE8" w:rsidRDefault="003E50B9">
      <w:pPr>
        <w:pStyle w:val="NoteEntry"/>
      </w:pPr>
      <w:r>
        <w:t xml:space="preserve">24. Humboldt, </w:t>
      </w:r>
      <w:r>
        <w:rPr>
          <w:i/>
        </w:rPr>
        <w:t>Cosmos</w:t>
      </w:r>
      <w:r>
        <w:t>, 1:23-89.</w:t>
      </w:r>
    </w:p>
    <w:p w14:paraId="0AE70CC2" w14:textId="77777777" w:rsidR="00A04EE8" w:rsidRDefault="003E50B9">
      <w:pPr>
        <w:pStyle w:val="NoteEntry"/>
      </w:pPr>
      <w:r>
        <w:t xml:space="preserve">25. Humboldt, </w:t>
      </w:r>
      <w:r>
        <w:rPr>
          <w:i/>
        </w:rPr>
        <w:t>Views of Nature</w:t>
      </w:r>
      <w:r>
        <w:t xml:space="preserve">, 3-12; Humboldt, </w:t>
      </w:r>
      <w:r>
        <w:rPr>
          <w:i/>
        </w:rPr>
        <w:t>Cosmos</w:t>
      </w:r>
      <w:r>
        <w:t>, 1:23-76.</w:t>
      </w:r>
    </w:p>
    <w:p w14:paraId="5CE12D91" w14:textId="77777777" w:rsidR="00A04EE8" w:rsidRDefault="003E50B9">
      <w:pPr>
        <w:pStyle w:val="NoteEntry"/>
      </w:pPr>
      <w:r>
        <w:t xml:space="preserve">26. Walls, </w:t>
      </w:r>
      <w:r>
        <w:rPr>
          <w:i/>
        </w:rPr>
        <w:t>Passage to Cosmos</w:t>
      </w:r>
      <w:r>
        <w:t xml:space="preserve">, 210-50; Wulf, </w:t>
      </w:r>
      <w:r>
        <w:rPr>
          <w:i/>
        </w:rPr>
        <w:t>Invention of Nature</w:t>
      </w:r>
      <w:r>
        <w:t xml:space="preserve">, 335-53; Daum, </w:t>
      </w:r>
      <w:r>
        <w:rPr>
          <w:i/>
        </w:rPr>
        <w:t>Alexander von Humboldt</w:t>
      </w:r>
      <w:r>
        <w:t>, 177-208.</w:t>
      </w:r>
    </w:p>
    <w:p w14:paraId="459DEB44" w14:textId="77777777" w:rsidR="00A04EE8" w:rsidRDefault="003E50B9">
      <w:pPr>
        <w:pStyle w:val="NoteEntry"/>
      </w:pPr>
      <w:r>
        <w:t xml:space="preserve">27. Walls, </w:t>
      </w:r>
      <w:r>
        <w:rPr>
          <w:i/>
        </w:rPr>
        <w:t>Passage to Cosmos</w:t>
      </w:r>
      <w:r>
        <w:t xml:space="preserve">, 251-321; Wulf, </w:t>
      </w:r>
      <w:r>
        <w:rPr>
          <w:i/>
        </w:rPr>
        <w:t>Invention of Nature</w:t>
      </w:r>
      <w:r>
        <w:t>, 257-334.</w:t>
      </w:r>
    </w:p>
    <w:p w14:paraId="56577681" w14:textId="77777777" w:rsidR="00A04EE8" w:rsidRDefault="003E50B9">
      <w:pPr>
        <w:pStyle w:val="NoteEntry"/>
      </w:pPr>
      <w:r>
        <w:t xml:space="preserve">28. Anne Buttimer, "Beyond Humboldtian Science and Goethe's Way of Science," </w:t>
      </w:r>
      <w:r>
        <w:rPr>
          <w:i/>
        </w:rPr>
        <w:t>Erdkunde</w:t>
      </w:r>
      <w:r>
        <w:t xml:space="preserve"> 55, no. 2 (2001): 105-20; Humboldt, </w:t>
      </w:r>
      <w:r>
        <w:rPr>
          <w:i/>
        </w:rPr>
        <w:t>Cosmos</w:t>
      </w:r>
      <w:r>
        <w:t>, 2:1-105.</w:t>
      </w:r>
    </w:p>
    <w:p w14:paraId="746A14CB" w14:textId="77777777" w:rsidR="00A04EE8" w:rsidRDefault="003E50B9">
      <w:pPr>
        <w:pStyle w:val="NoteEntry"/>
      </w:pPr>
      <w:r>
        <w:t xml:space="preserve">29. Humboldt, </w:t>
      </w:r>
      <w:r>
        <w:rPr>
          <w:i/>
        </w:rPr>
        <w:t>Cosmos</w:t>
      </w:r>
      <w:r>
        <w:t>, 1:23-76; Jackson, "Humboldt, Ecology, and the Cosmos," 1-52.</w:t>
      </w:r>
    </w:p>
    <w:p w14:paraId="24AC9919" w14:textId="77777777" w:rsidR="00A04EE8" w:rsidRDefault="003E50B9">
      <w:pPr>
        <w:pStyle w:val="NoteEntry"/>
      </w:pPr>
      <w:r>
        <w:t xml:space="preserve">30. Alexander von Humboldt, </w:t>
      </w:r>
      <w:r>
        <w:rPr>
          <w:i/>
        </w:rPr>
        <w:t>Political Essay on the Kingdom of New Spain: A Critical Edition</w:t>
      </w:r>
      <w:r>
        <w:t>, ed. and trans. Vera M. Kutzinski and Ottmar Ette, 2 vols. (Chicago: University of Chicago Press, 2019), 1:1-52, 239-306; 2:477-566.</w:t>
      </w:r>
    </w:p>
    <w:p w14:paraId="0C7A168C" w14:textId="77777777" w:rsidR="004A6C7A" w:rsidRDefault="007849EA">
      <w:pPr>
        <w:pStyle w:val="ChapterHeading"/>
      </w:pPr>
      <w:bookmarkStart w:id="24" w:name="toc_chapter_19"/>
      <w:r>
        <w:rPr>
          <w:sz w:val="28"/>
        </w:rPr>
        <w:t>Chapter 19</w:t>
      </w:r>
      <w:r>
        <w:rPr>
          <w:sz w:val="28"/>
        </w:rPr>
        <w:br/>
      </w:r>
      <w:r>
        <w:t>Deep Time and Industrial Earth</w:t>
      </w:r>
      <w:bookmarkEnd w:id="24"/>
    </w:p>
    <w:p w14:paraId="42BFB0C2" w14:textId="77777777" w:rsidR="004A6C7A" w:rsidRDefault="007849EA">
      <w:pPr>
        <w:pStyle w:val="BookBody"/>
      </w:pPr>
      <w:r>
        <w:t>Humboldt's mountain gathered a world into one image. Geology opened the image downward. The colored bands of vegetation on Chimborazo became, in another kind of section, strata laid one beneath another: limestone, shale, sandstone, coal, igneous intrusions, buried organisms, lost environments. Space acquired depth, and depth acquired duration. A cliff was no longer only a wall of stone. It was an archive whose pages had been folded, broken, erased, and written over.</w:t>
      </w:r>
    </w:p>
    <w:p w14:paraId="4EECC949" w14:textId="77777777" w:rsidR="004A6C7A" w:rsidRDefault="007849EA">
      <w:pPr>
        <w:pStyle w:val="BookBody"/>
      </w:pPr>
      <w:r>
        <w:t>The archive could be read in two directions. One reading reconstructed worlds that had vanished before human memory: ancient seas, forests, volcanoes, extinctions, and forms of life without living descendants. The other treated the same ground as inventory. A coal seam was a record of vanished vegetation and a concentrated store of combustible power. Ironstone, limestone, and clay were simultaneously evidence and resource. The Earth became more historical at the same moment that it became more intensively extractable.</w:t>
      </w:r>
    </w:p>
    <w:p w14:paraId="6CF2C1F2" w14:textId="77777777" w:rsidR="004A6C7A" w:rsidRDefault="007849EA">
      <w:pPr>
        <w:pStyle w:val="BookBody"/>
      </w:pPr>
      <w:r>
        <w:t>This convergence defines the industrial Earth. Hutton and Lyell enlarged natural history until the human interval became almost imperceptible. Darwin made living form intelligible through descent, variation, selection, and extinction rather than through a fixed hierarchy of completed kinds. Coal, steam, railways, factories, clocks, and artificial light compressed distance and reorganized the day. Geological duration entered furnaces and engines. Accumulated past life became motion, profit, illumination, smoke, and a new power to alter planetary processes.</w:t>
      </w:r>
    </w:p>
    <w:p w14:paraId="3807453E" w14:textId="77777777" w:rsidR="004A6C7A" w:rsidRDefault="007849EA">
      <w:pPr>
        <w:pStyle w:val="BookBody"/>
      </w:pPr>
      <w:r>
        <w:t>No single discovery caused this transformation. Geology did not simply abolish creation, Darwin did not prove that existence is meaningless, and the steam engine did not by itself invent capitalism. The historical forces converged unevenly. Their conjunction nevertheless changed the structure of experience. Nature could now appear creative without a guaranteed end, productive without benevolence, ancient beyond imagination, and indifferent to human purposes. The living cosmos did not return. History entered matter instead.</w:t>
      </w:r>
    </w:p>
    <w:p w14:paraId="09F83DC2" w14:textId="77777777" w:rsidR="004A6C7A" w:rsidRDefault="007849EA">
      <w:pPr>
        <w:pStyle w:val="SectionHeading"/>
      </w:pPr>
      <w:r>
        <w:t>A Mountain Unfolded into Time</w:t>
      </w:r>
    </w:p>
    <w:p w14:paraId="1365F3FA" w14:textId="77777777" w:rsidR="004A6C7A" w:rsidRDefault="007849EA">
      <w:pPr>
        <w:pStyle w:val="BookBody"/>
      </w:pPr>
      <w:r>
        <w:t>The most immediate lesson of stratigraphy is simple: what looks solid has happened. A horizontal bed was deposited. A tilted bed was lifted and deformed. A fault records rupture. An unconformity marks an interval in which earlier deposits were exposed, eroded, and then buried again. Fossils place former lives inside these sequences. To see strata historically is to exchange a static noun for a series of verbs.</w:t>
      </w:r>
    </w:p>
    <w:p w14:paraId="494D6FA6" w14:textId="77777777" w:rsidR="004A6C7A" w:rsidRDefault="007849EA">
      <w:pPr>
        <w:pStyle w:val="BookBody"/>
      </w:pPr>
      <w:r>
        <w:t>That exchange was not automatic. Stone had long carried sacred, practical, and antiquarian meanings. Miners knew the order of seams; quarry workers knew the grain and fracture of rock; engineers recognized stable and unstable ground; collectors compared shells and petrifactions. Natural philosophers proposed floods, fires, chemical precipitations, subterranean heat, and successive creations. Modern geohistory emerged when such local knowledges were coordinated into a practice of reconstructing events that no human had witnessed.</w:t>
      </w:r>
    </w:p>
    <w:p w14:paraId="3AC10521" w14:textId="77777777" w:rsidR="004A6C7A" w:rsidRDefault="007849EA">
      <w:pPr>
        <w:pStyle w:val="BookBody"/>
      </w:pPr>
      <w:r>
        <w:t>The reconstruction required disciplined imagination. Present processes supplied analogies, but the record was fragmentary. A geologist had to infer an absent sea from shells now high above sea level, a vanished river from sorted gravels, a former forest from coal and plant impressions, a period of erosion from missing beds. The evidence was material, yet its order was temporal. The Earth could be observed only by reasoning from traces.</w:t>
      </w:r>
    </w:p>
    <w:p w14:paraId="19EE83F4" w14:textId="77777777" w:rsidR="004A6C7A" w:rsidRDefault="007849EA">
      <w:pPr>
        <w:pStyle w:val="BookBody"/>
      </w:pPr>
      <w:r>
        <w:t>The result enlarged the category of history. History no longer began with documents, monuments, or human testimony. It could precede writing, nations, agriculture, even humanity. Rocks became documents of a past without memory. Their mute durability made the human archive seem both recent and fragile.</w:t>
      </w:r>
    </w:p>
    <w:p w14:paraId="6E48ED9F" w14:textId="77777777" w:rsidR="004A6C7A" w:rsidRDefault="007849EA">
      <w:pPr>
        <w:pStyle w:val="SectionHeading"/>
      </w:pPr>
      <w:r>
        <w:rPr>
          <w:rFonts w:cstheme="majorBidi"/>
          <w:bCs/>
          <w:color w:val="2E74B5"/>
          <w:szCs w:val="28"/>
        </w:rPr>
        <w:t>The Fossil as a Difficult Witness</w:t>
      </w:r>
    </w:p>
    <w:p w14:paraId="7ED0DFA0" w14:textId="77777777" w:rsidR="004A6C7A" w:rsidRDefault="007849EA">
      <w:pPr>
        <w:pStyle w:val="BookBody"/>
      </w:pPr>
      <w:r>
        <w:rPr>
          <w:szCs w:val="28"/>
        </w:rPr>
        <w:t>A fossil is a difficult witness because it is at once body, stone, and absence. Its shape can preserve the organization of a creature, yet the creature's soft tissues, behavior, habitat, and companions may be gone. The surrounding rock fixes a relation of sequence while rarely supplying a calendar date by itself. To read a fossil is therefore to reconstruct an event from a survival produced by exceptional conditions.</w:t>
      </w:r>
    </w:p>
    <w:p w14:paraId="2E1FE880" w14:textId="77777777" w:rsidR="004A6C7A" w:rsidRDefault="007849EA">
      <w:pPr>
        <w:pStyle w:val="BookBody"/>
      </w:pPr>
      <w:r>
        <w:rPr>
          <w:szCs w:val="28"/>
        </w:rPr>
        <w:t>This reconstruction changed the evidentiary status of the Earth. Strata ceased to be a damaged surface covering a timeless structure and became archives of successive worlds. Repeated assemblages of shells and bones could correlate distant layers. Abrupt disappearances raised the possibility that forms of life had ended entirely. The stone acquired temporal depth because naturalists learned to compare position, composition, and organic remains.</w:t>
      </w:r>
    </w:p>
    <w:p w14:paraId="19273538" w14:textId="77777777" w:rsidR="004A6C7A" w:rsidRDefault="007849EA">
      <w:pPr>
        <w:pStyle w:val="BookBody"/>
      </w:pPr>
      <w:r>
        <w:rPr>
          <w:szCs w:val="28"/>
        </w:rPr>
        <w:t>Extinction was especially disruptive. If a fossil resembled no living species, one might first suspect that its analogue survived in an unexplored region. As collections grew and anatomical comparison improved, permanent loss became harder to avoid. Creation could no longer be pictured only as a complete inventory distributed across climates. The history of life contained vacancies that no present expedition could fill.</w:t>
      </w:r>
    </w:p>
    <w:p w14:paraId="10315A19" w14:textId="77777777" w:rsidR="004A6C7A" w:rsidRDefault="007849EA">
      <w:pPr>
        <w:pStyle w:val="BookBody"/>
      </w:pPr>
      <w:r>
        <w:rPr>
          <w:szCs w:val="28"/>
        </w:rPr>
        <w:t>The fossil record also trained humility. Preservation is selective; exposed strata are partial; erosion destroys pages; collection follows roads, quarries, mines, and imperial routes. The archive can reveal a sequence without preserving every transition. Geological reasoning therefore joins positive evidence to an account of missing evidence. Absence must be interpreted, but it cannot be made to say whatever a theory needs.</w:t>
      </w:r>
    </w:p>
    <w:p w14:paraId="505A1FC3" w14:textId="77777777" w:rsidR="004A6C7A" w:rsidRDefault="007849EA">
      <w:pPr>
        <w:pStyle w:val="BookBody"/>
      </w:pPr>
      <w:r>
        <w:rPr>
          <w:szCs w:val="28"/>
        </w:rPr>
        <w:t>This disciplined incompleteness will matter for Darwin. The imperfection of the geological record is not an escape from evidence but a prediction of the conditions under which gradual transformation would appear discontinuous. Deep time becomes scientifically usable when gaps are neither ignored nor treated as proof that no history occurred between surviving layers.</w:t>
      </w:r>
      <w:r>
        <w:rPr>
          <w:szCs w:val="28"/>
          <w:vertAlign w:val="superscript"/>
        </w:rPr>
        <w:t>11</w:t>
      </w:r>
    </w:p>
    <w:p w14:paraId="2C815BE6" w14:textId="77777777" w:rsidR="004A6C7A" w:rsidRDefault="007849EA">
      <w:pPr>
        <w:pStyle w:val="SectionHeading"/>
      </w:pPr>
      <w:r>
        <w:t>Hutton's Habitable Machine</w:t>
      </w:r>
    </w:p>
    <w:p w14:paraId="79AF5B25" w14:textId="77777777" w:rsidR="004A6C7A" w:rsidRDefault="007849EA">
      <w:pPr>
        <w:pStyle w:val="BookBody"/>
      </w:pPr>
      <w:r>
        <w:t>James Hutton described the Earth as a system in which destruction and renewal belonged to one economy. Rain, rivers, waves, and weather wore continents down. Sediment accumulated beneath the sea. Heat consolidated and elevated new land. The surface then entered another round of erosion. What appeared locally as waste served, at the scale of the globe, the continuation of a habitable world. Soil was lost from one place and prepared in another. Ruin was a phase of maintenance.</w:t>
      </w:r>
      <w:r>
        <w:rPr>
          <w:vertAlign w:val="superscript"/>
        </w:rPr>
        <w:t>1</w:t>
      </w:r>
    </w:p>
    <w:p w14:paraId="57489D6A" w14:textId="77777777" w:rsidR="004A6C7A" w:rsidRDefault="007849EA">
      <w:pPr>
        <w:pStyle w:val="BookBody"/>
      </w:pPr>
      <w:r>
        <w:t>Hutton's Earth was therefore neither dead matter nor a modern ecosystem in advance. He repeatedly called it a machine, but a machine ordered toward the maintenance of life. Plants, animals, and rational beings belonged to the purpose by which terrestrial processes were judged. The cycle of denudation and uplift supplied fertile land and preserved the conditions of habitation. Deep time appeared inside a natural theology of renewal.</w:t>
      </w:r>
    </w:p>
    <w:p w14:paraId="17CBD8D5" w14:textId="77777777" w:rsidR="004A6C7A" w:rsidRDefault="007849EA">
      <w:pPr>
        <w:pStyle w:val="BookBody"/>
      </w:pPr>
      <w:r>
        <w:t>This point matters because later memory often turns Hutton into a solitary herald of secular infinity. His geology did loosen Earth history from the chronology of human records. Yet it did so by intensifying order. The immense cycle guaranteed that destructive processes were not failures in design. A river carrying soil to the sea did not reveal a world running down; it revealed the operation of a system whose repair could be inferred from the very persistence of habitable continents.</w:t>
      </w:r>
      <w:r>
        <w:rPr>
          <w:vertAlign w:val="superscript"/>
        </w:rPr>
        <w:t>2</w:t>
      </w:r>
    </w:p>
    <w:p w14:paraId="024A1762" w14:textId="77777777" w:rsidR="004A6C7A" w:rsidRDefault="007849EA">
      <w:pPr>
        <w:pStyle w:val="BookBody"/>
      </w:pPr>
      <w:r>
        <w:t>The famous conclusion—"no vestige of a beginning" and "no prospect of an end"—did not mean that nothing happened. It meant that no observed formation disclosed the absolute first operation of the terrestrial system, and no present process announced its final exhaustion. Every accessible rock could itself have been made from older materials. The investigator found cycles within cycles, not an exposed foundation stone.</w:t>
      </w:r>
      <w:r>
        <w:rPr>
          <w:vertAlign w:val="superscript"/>
        </w:rPr>
        <w:t>3</w:t>
      </w:r>
    </w:p>
    <w:p w14:paraId="6F6FC053" w14:textId="77777777" w:rsidR="004A6C7A" w:rsidRDefault="007849EA">
      <w:pPr>
        <w:pStyle w:val="BookBody"/>
      </w:pPr>
      <w:r>
        <w:t>Hutton's formulation produced a peculiar vertigo. The Earth was historical in every visible detail, yet the whole system had no readable origin. Change was everywhere, but novelty was subordinated to recurrence. Time extended beyond measure because the machine repaired the losses it continually produced. The discovery of depth was inseparable from a theory of return.</w:t>
      </w:r>
    </w:p>
    <w:p w14:paraId="2D321310" w14:textId="77777777" w:rsidR="004A6C7A" w:rsidRDefault="007849EA">
      <w:pPr>
        <w:pStyle w:val="SectionHeading"/>
      </w:pPr>
      <w:r>
        <w:t>Worlds Before Adam</w:t>
      </w:r>
    </w:p>
    <w:p w14:paraId="75120E5F" w14:textId="77777777" w:rsidR="004A6C7A" w:rsidRDefault="007849EA">
      <w:pPr>
        <w:pStyle w:val="BookBody"/>
      </w:pPr>
      <w:r>
        <w:t>Fossils altered this cyclic picture by making loss harder to domesticate. A shell embedded in mountain limestone could be understood as the remains of an organism that had lived when water covered the site. But as collections expanded and formations were compared, fossils did more than prove that environments had changed. They disclosed assemblages of creatures characteristic of different strata. Some had no known living counterparts.</w:t>
      </w:r>
    </w:p>
    <w:p w14:paraId="50BE503E" w14:textId="77777777" w:rsidR="004A6C7A" w:rsidRDefault="007849EA">
      <w:pPr>
        <w:pStyle w:val="BookBody"/>
      </w:pPr>
      <w:r>
        <w:t>Georges Cuvier's comparative anatomy gave extinction a new evidential force. If an unfamiliar fossil could be reconstructed from correlated parts, and if intensive searches found no living specimen, the simplest conclusion was not concealment in an unexplored region but disappearance. Mammoths, mastodons, giant ground sloths, and marine reptiles belonged to former worlds. Extinction broke the assumption that the plenitude of creation must be permanently preserved.</w:t>
      </w:r>
      <w:r>
        <w:rPr>
          <w:vertAlign w:val="superscript"/>
        </w:rPr>
        <w:t>4</w:t>
      </w:r>
    </w:p>
    <w:p w14:paraId="30192C92" w14:textId="77777777" w:rsidR="004A6C7A" w:rsidRDefault="007849EA">
      <w:pPr>
        <w:pStyle w:val="BookBody"/>
      </w:pPr>
      <w:r>
        <w:t>The phrase "worlds before Adam" named more than antiquity. It marked a decentering of the human story. Long sequences of environments and organisms had risen and vanished without human observers. Their existence had not waited for human use, nor had their destruction been arranged as a scene in human history. Fossil remains made absence palpable: bone, shell, and impression were presences whose meaning was irrecoverable life.</w:t>
      </w:r>
    </w:p>
    <w:p w14:paraId="50CFB2E8" w14:textId="77777777" w:rsidR="004A6C7A" w:rsidRDefault="007849EA">
      <w:pPr>
        <w:pStyle w:val="BookBody"/>
      </w:pPr>
      <w:r>
        <w:t>Yet extinction did not immediately impose one philosophy. It could be joined to catastrophes and renewed creations, to providential progress, to cycles, or to a developing Earth. Geohistory enlarged the range of permissible narratives before it settled their interpretation. The stones established succession more securely than they established purpose.</w:t>
      </w:r>
    </w:p>
    <w:p w14:paraId="4B0F4E44" w14:textId="77777777" w:rsidR="004A6C7A" w:rsidRDefault="007849EA">
      <w:pPr>
        <w:pStyle w:val="BookBody"/>
      </w:pPr>
      <w:r>
        <w:t>The fossil itself stood at the threshold between thing and sign. It had weight, texture, mineral composition, and a place in a cabinet. At the same time, it referred beyond itself to an absent organism and an absent environment. A collector could possess the specimen without possessing the world that made it. Interpretation depended on relations among specimens, strata, sites, drawings, labels, and anatomical comparisons.</w:t>
      </w:r>
    </w:p>
    <w:p w14:paraId="253A5455" w14:textId="77777777" w:rsidR="004A6C7A" w:rsidRDefault="007849EA">
      <w:pPr>
        <w:pStyle w:val="BookBody"/>
      </w:pPr>
      <w:r>
        <w:t>This relational character changed collecting. A curiosity prized for rarity or resemblance became more powerful when its exact position was recorded. The question was no longer only what the object looked like, but where it had been found, above and below which beds, and in association with which other remains. Provenance turned the cabinet into an instrument of geohistory.</w:t>
      </w:r>
    </w:p>
    <w:p w14:paraId="49C1FB3F" w14:textId="77777777" w:rsidR="004A6C7A" w:rsidRDefault="007849EA">
      <w:pPr>
        <w:pStyle w:val="BookBody"/>
      </w:pPr>
      <w:r>
        <w:t>Museums and illustrated publications then made local discoveries comparable. Fossils removed from quarries entered metropolitan rooms, where sequences could be assembled across regions. The operation increased knowledge and introduced losses. Extraction separated remains from their material setting; imperial and commercial networks determined which objects traveled and whose knowledge accompanied them. The reconstruction of prehuman worlds relied on a thoroughly human geography of access.</w:t>
      </w:r>
    </w:p>
    <w:p w14:paraId="31D08CD5" w14:textId="77777777" w:rsidR="004A6C7A" w:rsidRDefault="007849EA">
      <w:pPr>
        <w:pStyle w:val="BookBody"/>
      </w:pPr>
      <w:r>
        <w:t>A fossil was therefore not nature speaking without mediation. It was a durable trace made legible by field practice, labor, institutions, and argument. Its force came from surviving those mediations while continuing to resist arbitrary interpretation. A shell could not tell its own history, but neither could it be made to support any history whatsoever.</w:t>
      </w:r>
    </w:p>
    <w:p w14:paraId="28B7A544" w14:textId="77777777" w:rsidR="004A6C7A" w:rsidRDefault="007849EA">
      <w:pPr>
        <w:pStyle w:val="SectionHeading"/>
      </w:pPr>
      <w:r>
        <w:t>Lyell and the Incomplete Record</w:t>
      </w:r>
    </w:p>
    <w:p w14:paraId="284BEC09" w14:textId="77777777" w:rsidR="004A6C7A" w:rsidRDefault="007849EA">
      <w:pPr>
        <w:pStyle w:val="BookBody"/>
      </w:pPr>
      <w:r>
        <w:t>Charles Lyell made the reconstruction of geological time depend on causes that could be investigated in the present. Rivers deposit sediment; waves erode coasts; volcanoes build and destroy land; earthquakes elevate or lower regions; organisms migrate as climates and habitats change. The cumulative effects of such causes, acting across durations far beyond human experience, could produce transformations that once seemed to require singular convulsions.</w:t>
      </w:r>
      <w:r>
        <w:rPr>
          <w:vertAlign w:val="superscript"/>
        </w:rPr>
        <w:t>5</w:t>
      </w:r>
    </w:p>
    <w:p w14:paraId="03AACFF1" w14:textId="77777777" w:rsidR="004A6C7A" w:rsidRDefault="007849EA">
      <w:pPr>
        <w:pStyle w:val="BookBody"/>
      </w:pPr>
      <w:r>
        <w:t>The methodological power of this approach did not consist in saying that change is slow. Lyell admitted events that were locally violent and rapid. The stronger claim was that the kinds of causes invoked should be continuous with those available to observation. Geological explanation became comparative: rates, magnitudes, and combinations could differ, but the investigator should not multiply unknown agencies when known ones, granted sufficient time, could do the work.</w:t>
      </w:r>
    </w:p>
    <w:p w14:paraId="4AF80CA5" w14:textId="77777777" w:rsidR="004A6C7A" w:rsidRDefault="007849EA">
      <w:pPr>
        <w:pStyle w:val="BookBody"/>
      </w:pPr>
      <w:r>
        <w:t>Lyell also insisted that the exposed crust was radically incomplete. Deposition was intermittent. Erosion removed earlier beds. Metamorphism altered them. Igneous activity intruded from below. Later formations concealed older ones, while uplift exposed only fragments. A column of strata was not the Earth's complete book. It was a damaged remainder of local episodes.</w:t>
      </w:r>
    </w:p>
    <w:p w14:paraId="2909E358" w14:textId="77777777" w:rsidR="004A6C7A" w:rsidRDefault="007849EA">
      <w:pPr>
        <w:pStyle w:val="FigureImage"/>
      </w:pPr>
      <w:r>
        <w:rPr>
          <w:noProof/>
        </w:rPr>
        <w:drawing>
          <wp:inline distT="0" distB="0" distL="0" distR="0" wp14:anchorId="57102A0F" wp14:editId="222A767D">
            <wp:extent cx="4983480" cy="4688758"/>
            <wp:effectExtent l="0" t="0" r="0" b="0"/>
            <wp:docPr id="1866470657" name="Picture 1866470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yell_plutonic_sedimentary_diagram_1833.png"/>
                    <pic:cNvPicPr/>
                  </pic:nvPicPr>
                  <pic:blipFill>
                    <a:blip r:embed="rId28"/>
                    <a:stretch>
                      <a:fillRect/>
                    </a:stretch>
                  </pic:blipFill>
                  <pic:spPr>
                    <a:xfrm>
                      <a:off x="0" y="0"/>
                      <a:ext cx="4983480" cy="4688758"/>
                    </a:xfrm>
                    <a:prstGeom prst="rect">
                      <a:avLst/>
                    </a:prstGeom>
                  </pic:spPr>
                </pic:pic>
              </a:graphicData>
            </a:graphic>
          </wp:inline>
        </w:drawing>
      </w:r>
    </w:p>
    <w:p w14:paraId="7B6372CB" w14:textId="77777777" w:rsidR="004A6C7A" w:rsidRDefault="007849EA">
      <w:pPr>
        <w:pStyle w:val="FigureCaption"/>
      </w:pPr>
      <w:r>
        <w:t>Figure 19.1. Charles Lyell's diagram of the relative positions of sedimentary and plutonic formations of different ages. The numbered beds visualize a crust in which superposition, intrusion, uplift, and denudation complicate any simple descent toward origins. Source: Charles Lyell, Principles of Geology, vol. 3 (London: John Murray, 1833), 388. Public domain.</w:t>
      </w:r>
    </w:p>
    <w:p w14:paraId="3137CF0E" w14:textId="77777777" w:rsidR="004A6C7A" w:rsidRDefault="007849EA">
      <w:pPr>
        <w:pStyle w:val="BookBody"/>
      </w:pPr>
      <w:r>
        <w:t>His 1833 diagram of sedimentary and plutonic formations visualized this difficulty. The numbered sedimentary series lies in familiar superposition: younger beds above older. The plutonic masses beneath display an inverted relation, because younger intrusions may remain deeper while older bodies have been uplifted and denuded into view. The drawing refuses a simple descent toward origins. Going downward does not guarantee arrival at the oldest accessible matter. The crust has been rearranged by its own activity.</w:t>
      </w:r>
    </w:p>
    <w:p w14:paraId="450F28EC" w14:textId="77777777" w:rsidR="004A6C7A" w:rsidRDefault="007849EA">
      <w:pPr>
        <w:pStyle w:val="BookBody"/>
      </w:pPr>
      <w:r>
        <w:t>Lyell's history could therefore be vast without becoming a progressive epic. He resisted the claim that the fossil record displayed a necessary ascent toward humanity. Apparent beginnings might register only the limits of preservation and discovery. Apparent revolutions might be artifacts of missing intervals. The restraint was epistemic, but it had metaphysical consequences: the Earth no longer offered an easily legible sequence from creation to human culmination.</w:t>
      </w:r>
    </w:p>
    <w:p w14:paraId="71A1C198" w14:textId="77777777" w:rsidR="004A6C7A" w:rsidRDefault="007849EA">
      <w:pPr>
        <w:pStyle w:val="SectionHeading"/>
      </w:pPr>
      <w:r>
        <w:t>Time's Cycle and Time's Arrow</w:t>
      </w:r>
    </w:p>
    <w:p w14:paraId="658CD895" w14:textId="77777777" w:rsidR="004A6C7A" w:rsidRDefault="007849EA">
      <w:pPr>
        <w:pStyle w:val="BookBody"/>
      </w:pPr>
      <w:r>
        <w:t>Stephen Jay Gould later described Hutton and Lyell through the tension between time's cycle and time's arrow. The arrow marks irreversible sequence: this event before that one, a world that cannot be restored in the same historical position. The cycle marks recurrence, regularity, and intelligibility through repeated processes. Geology required both. Without sequence there was no history; without recurrence there was no warrant for inferring absent causes from present effects.</w:t>
      </w:r>
      <w:r>
        <w:rPr>
          <w:vertAlign w:val="superscript"/>
        </w:rPr>
        <w:t>6</w:t>
      </w:r>
    </w:p>
    <w:p w14:paraId="675DA96A" w14:textId="77777777" w:rsidR="004A6C7A" w:rsidRDefault="007849EA">
      <w:pPr>
        <w:pStyle w:val="BookBody"/>
      </w:pPr>
      <w:r>
        <w:t>The distinction corrects two legends. Hutton was not simply the discoverer of unlimited linear time, because his system used cycles to deny any observable origin or terminal decay. Lyell was not merely the apostle of gradualism, because his central achievement was to make geological reconstruction answerable to observable causation while distrusting narratives of necessary progress. Their work expanded time while disciplining the stories told within it.</w:t>
      </w:r>
    </w:p>
    <w:p w14:paraId="0F3926D2" w14:textId="77777777" w:rsidR="004A6C7A" w:rsidRDefault="007849EA">
      <w:pPr>
        <w:pStyle w:val="BookBody"/>
      </w:pPr>
      <w:r>
        <w:t>This discipline also made geology a science of unequal tempos. A landslide might occur in seconds; a delta might advance over centuries; a coastline might migrate over millennia; species might persist across formations and then disappear. The visible landscape joined processes whose rates differed by orders of magnitude. Human life occupied one band in a spectrum of durations.</w:t>
      </w:r>
    </w:p>
    <w:p w14:paraId="1E92FB91" w14:textId="77777777" w:rsidR="004A6C7A" w:rsidRDefault="007849EA">
      <w:pPr>
        <w:pStyle w:val="BookBody"/>
      </w:pPr>
      <w:r>
        <w:t>Deep time was thus not simply "more time." It reorganized scale. Causes imperceptible in a day could dominate across ages, while catastrophes decisive to a region might vanish into a thin boundary. The same rain that interrupted a journey participated in the denudation of a continent. Ordinary processes acquired geological magnitude through repetition.</w:t>
      </w:r>
      <w:r>
        <w:rPr>
          <w:vertAlign w:val="superscript"/>
        </w:rPr>
        <w:t>7</w:t>
      </w:r>
    </w:p>
    <w:p w14:paraId="07C9A2C6" w14:textId="77777777" w:rsidR="004A6C7A" w:rsidRDefault="007849EA">
      <w:pPr>
        <w:pStyle w:val="SectionHeading"/>
      </w:pPr>
      <w:r>
        <w:t>Darwin's Historical Nature</w:t>
      </w:r>
    </w:p>
    <w:p w14:paraId="5D764924" w14:textId="77777777" w:rsidR="004A6C7A" w:rsidRDefault="007849EA">
      <w:pPr>
        <w:pStyle w:val="BookBody"/>
      </w:pPr>
      <w:r>
        <w:t xml:space="preserve">Darwin carried this temporal discipline into living form. Species had often been treated as fixed kinds whose variations remained within prescribed boundaries. In </w:t>
      </w:r>
      <w:r>
        <w:rPr>
          <w:i/>
        </w:rPr>
        <w:t>On the Origin of Species</w:t>
      </w:r>
      <w:r>
        <w:t>, the stability of form became a historical outcome. Organisms varied. Some variations were inherited. More individuals were produced than could survive and reproduce. In particular environments, small differences affected success. Across generations, differential survival and reproduction accumulated.</w:t>
      </w:r>
      <w:r>
        <w:rPr>
          <w:vertAlign w:val="superscript"/>
        </w:rPr>
        <w:t>8</w:t>
      </w:r>
    </w:p>
    <w:p w14:paraId="1DE0C14C" w14:textId="77777777" w:rsidR="004A6C7A" w:rsidRDefault="007849EA">
      <w:pPr>
        <w:pStyle w:val="BookBody"/>
      </w:pPr>
      <w:r>
        <w:t>Natural selection was not a conscious selector. Darwin borrowed the analogy of breeders because it made cumulative change imaginable, then removed intention from the process. Human selection works toward desired traits; natural selection preserves variations in relation to conditions of life. The environment does not foresee what will be useful later. A feature succeeds here and now within a shifting web of competition, dependence, climate, food, predation, disease, and mating.</w:t>
      </w:r>
    </w:p>
    <w:p w14:paraId="52644492" w14:textId="77777777" w:rsidR="004A6C7A" w:rsidRDefault="007849EA">
      <w:pPr>
        <w:pStyle w:val="BookBody"/>
      </w:pPr>
      <w:r>
        <w:t>The phrase "struggle for existence" named this web more broadly than direct combat. A plant at the edge of a desert struggles against drought; a seed depends on the insects that pollinate its flower; predators, parasites, and competitors alter one another's chances. Organisms do not confront a passive stage. Their conditions include other organisms whose lives are also changing. The history of a lineage is relational from the beginning.</w:t>
      </w:r>
    </w:p>
    <w:p w14:paraId="6BA76536" w14:textId="77777777" w:rsidR="004A6C7A" w:rsidRDefault="007849EA">
      <w:pPr>
        <w:pStyle w:val="BookBody"/>
      </w:pPr>
      <w:r>
        <w:t>Darwin therefore replaced a ladder with a branching history. Higher and lower did not supply the universal grammar. Divergence, adaptation, persistence, and extinction did. Existing forms occupied the surviving tips of a tree whose broken branches outnumbered the living ones.</w:t>
      </w:r>
    </w:p>
    <w:p w14:paraId="0FE2B019" w14:textId="77777777" w:rsidR="004A6C7A" w:rsidRDefault="007849EA">
      <w:pPr>
        <w:pStyle w:val="SectionHeading"/>
      </w:pPr>
      <w:r>
        <w:rPr>
          <w:rFonts w:cstheme="majorBidi"/>
          <w:bCs/>
          <w:color w:val="2E74B5"/>
          <w:szCs w:val="28"/>
        </w:rPr>
        <w:t>Historical Causes and Imperfect Archives</w:t>
      </w:r>
    </w:p>
    <w:p w14:paraId="068A5CB8" w14:textId="77777777" w:rsidR="004A6C7A" w:rsidRDefault="007849EA">
      <w:pPr>
        <w:pStyle w:val="BookBody"/>
      </w:pPr>
      <w:r>
        <w:rPr>
          <w:szCs w:val="28"/>
        </w:rPr>
        <w:t>Darwin's causes are historical in a demanding sense. Variation arises in populations; inheritance preserves some differences; struggle makes some differences consequential; selection changes the composition of descendants. None of these propositions predicts the exact organism that must appear at a distant future date. The process is lawful without unfolding from a blueprint.</w:t>
      </w:r>
    </w:p>
    <w:p w14:paraId="0513A3B6" w14:textId="77777777" w:rsidR="004A6C7A" w:rsidRDefault="007849EA">
      <w:pPr>
        <w:pStyle w:val="BookBody"/>
      </w:pPr>
      <w:r>
        <w:rPr>
          <w:szCs w:val="28"/>
        </w:rPr>
        <w:t>This distinguishes evolutionary explanation from both miracle and mechanical clockwork. A mechanical system can often be solved from initial conditions and laws. An evolving lineage carries contingencies forward. A mutation, migration, drought, barrier, or encounter may redirect later possibilities. Once a branch is lost, the futures it might have generated disappear with it.</w:t>
      </w:r>
    </w:p>
    <w:p w14:paraId="5D7C3EAE" w14:textId="77777777" w:rsidR="004A6C7A" w:rsidRDefault="007849EA">
      <w:pPr>
        <w:pStyle w:val="BookBody"/>
      </w:pPr>
      <w:r>
        <w:rPr>
          <w:szCs w:val="28"/>
        </w:rPr>
        <w:t>Contingency does not mean arbitrariness. Wings must bear loads, eyes interact with light, metabolisms require energy, and organisms inherit structures they did not choose. Natural selection works through these constraints. The result is neither free invention nor the execution of a prior design, but historical modification within a field of physical and biological limits.</w:t>
      </w:r>
    </w:p>
    <w:p w14:paraId="027D7095" w14:textId="77777777" w:rsidR="004A6C7A" w:rsidRDefault="007849EA">
      <w:pPr>
        <w:pStyle w:val="BookBody"/>
      </w:pPr>
      <w:r>
        <w:rPr>
          <w:szCs w:val="28"/>
        </w:rPr>
        <w:t>Adaptation can therefore look purposive without requiring foresight. An organ's fit to a function is real; the process that produced it need not have represented the goal in advance. This is one of Darwin's deepest transformations of final causation. Purpose-like organization is explained through differential survival and reproduction across generations, not denied as an illusion and not attributed to a planning intelligence within nature.</w:t>
      </w:r>
    </w:p>
    <w:p w14:paraId="2154AFAA" w14:textId="77777777" w:rsidR="004A6C7A" w:rsidRDefault="007849EA">
      <w:pPr>
        <w:pStyle w:val="BookBody"/>
      </w:pPr>
      <w:r>
        <w:rPr>
          <w:szCs w:val="28"/>
        </w:rPr>
        <w:t>The distinction blocks a careless passage from biology to nihilism. Evolutionary theory removes no meaning that living beings actually make and sustain. Courtship, care, communication, pain, and preference remain parts of the causal history. What the theory refuses is the inference that because an organism values its world, the entire history of life was arranged to produce that value.</w:t>
      </w:r>
    </w:p>
    <w:p w14:paraId="48E3D4B1" w14:textId="77777777" w:rsidR="004A6C7A" w:rsidRDefault="007849EA">
      <w:pPr>
        <w:pStyle w:val="SectionHeading"/>
      </w:pPr>
      <w:r>
        <w:t>Variation without Blueprint</w:t>
      </w:r>
    </w:p>
    <w:p w14:paraId="6763632A" w14:textId="77777777" w:rsidR="004A6C7A" w:rsidRDefault="007849EA">
      <w:pPr>
        <w:pStyle w:val="BookBody"/>
      </w:pPr>
      <w:r>
        <w:t>Variation gave Darwin's nature its creativity and its risk. Selection could preserve only differences that occurred. It did not summon the variation required by a future need. A lineage might adapt, migrate, divide, remain relatively stable, or disappear. The process produced intricate fit without guaranteeing permanence.</w:t>
      </w:r>
      <w:r>
        <w:rPr>
          <w:vertAlign w:val="superscript"/>
        </w:rPr>
        <w:t>9</w:t>
      </w:r>
    </w:p>
    <w:p w14:paraId="6AE02C6E" w14:textId="77777777" w:rsidR="004A6C7A" w:rsidRDefault="007849EA">
      <w:pPr>
        <w:pStyle w:val="BookBody"/>
      </w:pPr>
      <w:r>
        <w:t>Adaptation was consequently local. A structure advantageous in one relation could become burdensome when conditions changed. An organism could be exquisitely suited to a narrow environment and therefore vulnerable to its disturbance. Fitness did not measure progress toward an absolute ideal; it described differential success within a particular field of relations.</w:t>
      </w:r>
    </w:p>
    <w:p w14:paraId="35156090" w14:textId="77777777" w:rsidR="004A6C7A" w:rsidRDefault="007849EA">
      <w:pPr>
        <w:pStyle w:val="BookBody"/>
      </w:pPr>
      <w:r>
        <w:t>This localism prevented evolution from becoming a simple story of improvement. Complexity could increase in some lineages, but persistence did not always require it. Ancient forms could survive with little visible alteration. Parasites could lose structures. Selection had no obligation to produce intelligence, moral value, or human resemblance. The history of life was generative without being a curriculum.</w:t>
      </w:r>
    </w:p>
    <w:p w14:paraId="10263DAC" w14:textId="77777777" w:rsidR="004A6C7A" w:rsidRDefault="007849EA">
      <w:pPr>
        <w:pStyle w:val="BookBody"/>
      </w:pPr>
      <w:r>
        <w:t>Darwin's argument also depended on inherited imperfection. Organic structures were modified from earlier structures; new uses emerged through alteration, not from construction on an empty plan. Vestiges, awkward pathways, and compromises made sense as records of descent. The body itself became stratigraphic, carrying traces of previous functions within present organization.</w:t>
      </w:r>
    </w:p>
    <w:p w14:paraId="26189C4B" w14:textId="77777777" w:rsidR="004A6C7A" w:rsidRDefault="007849EA">
      <w:pPr>
        <w:pStyle w:val="BookBody"/>
      </w:pPr>
      <w:r>
        <w:t>The argument shifted attention from the ideal form to the varying population. A type can be pictured as complete and deviations measured against it. A population is encountered as a distribution of differences: size, color, timing, resistance, fertility, behavior. Evolution acts through that field. What had looked like imperfect copies of an essence became the material from which historical divergence could proceed.</w:t>
      </w:r>
    </w:p>
    <w:p w14:paraId="1930B48D" w14:textId="77777777" w:rsidR="004A6C7A" w:rsidRDefault="007849EA">
      <w:pPr>
        <w:pStyle w:val="BookBody"/>
      </w:pPr>
      <w:r>
        <w:t>Domestication gave Darwin an archive of such change within human time. Breeders did not create variation, but they noticed and preserved differences, often producing striking results through repeated selection. The analogy showed how small inherited departures could accumulate. It also established a contrast. A breeder has a goal, chooses among visible traits, and can cross or eliminate stocks deliberately. Nature has no corresponding eye or plan.</w:t>
      </w:r>
    </w:p>
    <w:p w14:paraId="7C8B4DC0" w14:textId="77777777" w:rsidR="004A6C7A" w:rsidRDefault="007849EA">
      <w:pPr>
        <w:pStyle w:val="BookBody"/>
      </w:pPr>
      <w:r>
        <w:t>Selection was therefore lawful without being scripted. A variation might arise without relation to current need, yet its consequences were tested in definite conditions. Chance and necessity did not divide the process into two separate worlds. Unforeseen differences entered structured relations; structured relations changed as organisms and environments changed one another.</w:t>
      </w:r>
    </w:p>
    <w:p w14:paraId="0732B85D" w14:textId="77777777" w:rsidR="004A6C7A" w:rsidRDefault="007849EA">
      <w:pPr>
        <w:pStyle w:val="BookBody"/>
      </w:pPr>
      <w:r>
        <w:t>This history also disturbed the boundary between normal and monstrous. A difference harmful in one setting might be neutral in another and useful in a third. The judgment belonged to relations, not to an isolated form. Biology acquired a temporal pluralism: the meaning of a trait could change because the world around it did.</w:t>
      </w:r>
    </w:p>
    <w:p w14:paraId="3FD773C5" w14:textId="77777777" w:rsidR="004A6C7A" w:rsidRDefault="007849EA">
      <w:pPr>
        <w:pStyle w:val="SectionHeading"/>
      </w:pPr>
      <w:r>
        <w:t>The Branching Diagram</w:t>
      </w:r>
    </w:p>
    <w:p w14:paraId="478117F2" w14:textId="77777777" w:rsidR="004A6C7A" w:rsidRDefault="007849EA">
      <w:pPr>
        <w:pStyle w:val="FigureImage"/>
      </w:pPr>
      <w:r>
        <w:rPr>
          <w:noProof/>
        </w:rPr>
        <w:drawing>
          <wp:inline distT="0" distB="0" distL="0" distR="0" wp14:anchorId="5210689C" wp14:editId="5A8A0249">
            <wp:extent cx="5029200" cy="3833945"/>
            <wp:effectExtent l="0" t="0" r="0" b="0"/>
            <wp:docPr id="1866470658" name="Picture 1866470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rwin_divergence_diagram.png"/>
                    <pic:cNvPicPr/>
                  </pic:nvPicPr>
                  <pic:blipFill>
                    <a:blip r:embed="rId29"/>
                    <a:stretch>
                      <a:fillRect/>
                    </a:stretch>
                  </pic:blipFill>
                  <pic:spPr>
                    <a:xfrm>
                      <a:off x="0" y="0"/>
                      <a:ext cx="5029200" cy="3833945"/>
                    </a:xfrm>
                    <a:prstGeom prst="rect">
                      <a:avLst/>
                    </a:prstGeom>
                  </pic:spPr>
                </pic:pic>
              </a:graphicData>
            </a:graphic>
          </wp:inline>
        </w:drawing>
      </w:r>
    </w:p>
    <w:p w14:paraId="3E806E6A" w14:textId="77777777" w:rsidR="004A6C7A" w:rsidRDefault="007849EA">
      <w:pPr>
        <w:pStyle w:val="FigureCaption"/>
      </w:pPr>
      <w:r>
        <w:t>Figure 19.2. The branching diagram in the first edition of Darwin's On the Origin of Species. Divergence, common descent, persistence, and terminated lines make extinction part of the image's structure. Source: Charles Darwin, On the Origin of Species (London: John Murray, 1859), foldout facing 117. Public domain.</w:t>
      </w:r>
    </w:p>
    <w:p w14:paraId="6018A7A1" w14:textId="77777777" w:rsidR="004A6C7A" w:rsidRDefault="007849EA">
      <w:pPr>
        <w:pStyle w:val="BookBody"/>
      </w:pPr>
      <w:r>
        <w:t xml:space="preserve">The only diagram in the first edition of </w:t>
      </w:r>
      <w:r>
        <w:rPr>
          <w:i/>
        </w:rPr>
        <w:t>Origin</w:t>
      </w:r>
      <w:r>
        <w:t xml:space="preserve"> gives visual form to this historical nature. Letters mark ancestral forms along a horizontal field. Lines rise through successive intervals. Some divide; many stop. Divergent descendants spread while intermediate forms disappear. The image is spare because it represents neither one actual genealogy nor a complete tree of life. It is a device for thinking cumulative divergence, common descent, and extinction together.</w:t>
      </w:r>
      <w:r>
        <w:rPr>
          <w:vertAlign w:val="superscript"/>
        </w:rPr>
        <w:t>10</w:t>
      </w:r>
    </w:p>
    <w:p w14:paraId="2CE3C480" w14:textId="77777777" w:rsidR="004A6C7A" w:rsidRDefault="007849EA">
      <w:pPr>
        <w:pStyle w:val="BookBody"/>
      </w:pPr>
      <w:r>
        <w:t>The stopped lines are as important as the branches that reach the top. They refuse the optical comfort of universal fulfillment. Most beginnings do not become present species. Survival makes the current world visible, but extinction structures the diagram. The living are a selected remainder, not the full expression of a plan.</w:t>
      </w:r>
    </w:p>
    <w:p w14:paraId="38F62363" w14:textId="77777777" w:rsidR="004A6C7A" w:rsidRDefault="007849EA">
      <w:pPr>
        <w:pStyle w:val="BookBody"/>
      </w:pPr>
      <w:r>
        <w:t>The diagram also changes the meaning of resemblance. Similarity can register shared descent rather than participation in an eternal archetype. Difference can record divergence rather than distance from a norm. Classification becomes historical: a good taxonomy should reveal genealogical relations even when the actual paths are only partially known.</w:t>
      </w:r>
    </w:p>
    <w:p w14:paraId="55B87258" w14:textId="77777777" w:rsidR="004A6C7A" w:rsidRDefault="007849EA">
      <w:pPr>
        <w:pStyle w:val="BookBody"/>
      </w:pPr>
      <w:r>
        <w:t>The page converts biological order into a temporal topology. It has no privileged center, no summit reserved for humanity, and no final border beyond which change must cease. Its upward direction indicates generations, not metaphysical ascent.</w:t>
      </w:r>
    </w:p>
    <w:p w14:paraId="20076A98" w14:textId="77777777" w:rsidR="004A6C7A" w:rsidRDefault="007849EA">
      <w:pPr>
        <w:pStyle w:val="SectionHeading"/>
      </w:pPr>
      <w:r>
        <w:t>Extinction and the Broken Archive</w:t>
      </w:r>
    </w:p>
    <w:p w14:paraId="57910DC7" w14:textId="77777777" w:rsidR="004A6C7A" w:rsidRDefault="007849EA">
      <w:pPr>
        <w:pStyle w:val="BookBody"/>
      </w:pPr>
      <w:r>
        <w:t>Darwin knew that the geological record seemed to resist his theory. If species changed through innumerable small modifications, why did formations not preserve every intermediate grade? His answer was not that the record was secretly complete. It was that preservation required an improbable chain: burial under suitable conditions, survival through later alteration, exposure at the surface, discovery, and recognition. Most organisms left no fossil; most sediments were never accessible; entire intervals had been erased.</w:t>
      </w:r>
      <w:r>
        <w:rPr>
          <w:vertAlign w:val="superscript"/>
        </w:rPr>
        <w:t>11</w:t>
      </w:r>
    </w:p>
    <w:p w14:paraId="72CA6CD9" w14:textId="77777777" w:rsidR="004A6C7A" w:rsidRDefault="007849EA">
      <w:pPr>
        <w:pStyle w:val="BookBody"/>
      </w:pPr>
      <w:r>
        <w:t>The imperfection of the record was not a convenient defect added after the theory. It followed from Lyellian geology. The same processes that created strata destroyed them. Oceans shifted. Land rose and fell. Sediments accumulated in some basins while erosion removed them elsewhere. Deep time multiplied possible transitions while simultaneously multiplying loss.</w:t>
      </w:r>
    </w:p>
    <w:p w14:paraId="5ABEADB4" w14:textId="77777777" w:rsidR="004A6C7A" w:rsidRDefault="007849EA">
      <w:pPr>
        <w:pStyle w:val="BookBody"/>
      </w:pPr>
      <w:r>
        <w:t>Fossils nevertheless established succession. Related forms appeared in patterned sequences; whole assemblages differed between formations; extinct organisms could resemble living forms from the same regions. The archive was broken but not random. Its gaps constrained what could be claimed even as they prevented a frame-by-frame history.</w:t>
      </w:r>
    </w:p>
    <w:p w14:paraId="601AA961" w14:textId="77777777" w:rsidR="004A6C7A" w:rsidRDefault="007849EA">
      <w:pPr>
        <w:pStyle w:val="BookBody"/>
      </w:pPr>
      <w:r>
        <w:t>Here geology and evolution reinforced one another. Geological incompleteness made abrupt appearance less decisive against gradual transformation. Evolution made fossil succession intelligible as descent with modification rather than as a sequence of independent displays. Together they turned natural history into the reconstruction of irreversible change from partial remains.</w:t>
      </w:r>
    </w:p>
    <w:p w14:paraId="79E0EA04" w14:textId="77777777" w:rsidR="004A6C7A" w:rsidRDefault="007849EA">
      <w:pPr>
        <w:pStyle w:val="SectionHeading"/>
      </w:pPr>
      <w:r>
        <w:t>What Darwin Did Not Prove</w:t>
      </w:r>
    </w:p>
    <w:p w14:paraId="447E9E5A" w14:textId="77777777" w:rsidR="004A6C7A" w:rsidRDefault="007849EA">
      <w:pPr>
        <w:pStyle w:val="BookBody"/>
      </w:pPr>
      <w:r>
        <w:t>The absence of a guaranteed biological design is not the same as a proof that life has no meaning. Natural selection explains how adaptations can arise without foresight. It does not decide whether persons may create purposes, inherit obligations, experience value, or interpret existence religiously. A scientific account of organic diversification is not a complete philosophy of value.</w:t>
      </w:r>
    </w:p>
    <w:p w14:paraId="488DC91F" w14:textId="77777777" w:rsidR="004A6C7A" w:rsidRDefault="007849EA">
      <w:pPr>
        <w:pStyle w:val="BookBody"/>
      </w:pPr>
      <w:r>
        <w:t xml:space="preserve">Darwin himself ended </w:t>
      </w:r>
      <w:r>
        <w:rPr>
          <w:i/>
        </w:rPr>
        <w:t>Origin</w:t>
      </w:r>
      <w:r>
        <w:t xml:space="preserve"> not with a declaration of nihilism but with wonder at the forms produced from simple beginnings through lawful processes. His language retained grandeur, while the mechanism refused a predetermined ladder. The tension is essential. Evolution displaced one source of cosmic assurance without logically abolishing every possible ground of significance.</w:t>
      </w:r>
      <w:r>
        <w:rPr>
          <w:vertAlign w:val="superscript"/>
        </w:rPr>
        <w:t>12</w:t>
      </w:r>
    </w:p>
    <w:p w14:paraId="02698FB8" w14:textId="77777777" w:rsidR="004A6C7A" w:rsidRDefault="007849EA">
      <w:pPr>
        <w:pStyle w:val="BookBody"/>
      </w:pPr>
      <w:r>
        <w:t>What changed was the evidential burden. Human centrality could no longer be read directly from biological history. Extinction, contingency, inherited compromise, and branching descent made the appearance of humanity an event rather than an obvious goal. Purpose could not be smuggled into the mechanism as though selection were a hidden breeder.</w:t>
      </w:r>
    </w:p>
    <w:p w14:paraId="26BB3713" w14:textId="77777777" w:rsidR="004A6C7A" w:rsidRDefault="007849EA">
      <w:pPr>
        <w:pStyle w:val="BookBody"/>
      </w:pPr>
      <w:r>
        <w:t>The philosophical wound lay in this separation. Creative nature did not need to intend its creations. Order could emerge historically. Fit could arise without anticipation. A world capable of generating eyes, orchids, corals, and minds could also eliminate lineages without preserving their achievements. Productivity and indifference belonged to the same process.</w:t>
      </w:r>
    </w:p>
    <w:p w14:paraId="773C9457" w14:textId="77777777" w:rsidR="004A6C7A" w:rsidRDefault="007849EA">
      <w:pPr>
        <w:pStyle w:val="SectionHeading"/>
      </w:pPr>
      <w:r>
        <w:t>Coal: Buried Time</w:t>
      </w:r>
    </w:p>
    <w:p w14:paraId="6A13C68A" w14:textId="77777777" w:rsidR="004A6C7A" w:rsidRDefault="007849EA">
      <w:pPr>
        <w:pStyle w:val="BookBody"/>
      </w:pPr>
      <w:r>
        <w:t>While geology reconstructed vanished worlds, industrial society learned to burn one of them. Coal had long been used for heat, salt making, metalworking, and domestic fuel. Its decisive expansion did not begin with a sudden recognition that it contained ancient sunlight. It emerged from mines, markets, transport systems, legal arrangements, engineering practices, labor supplies, and the changing demands of cities and manufactures.</w:t>
      </w:r>
    </w:p>
    <w:p w14:paraId="13B47C92" w14:textId="77777777" w:rsidR="004A6C7A" w:rsidRDefault="007849EA">
      <w:pPr>
        <w:pStyle w:val="BookBody"/>
      </w:pPr>
      <w:r>
        <w:t>Geologically, a coal seam is neither a generic black stone nor a simple forest pressed into a line. It is the transformed residue of organic matter accumulated under particular conditions, buried, compacted, chemically altered, and preserved through deep time. The great British coal measures were material witnesses to Carboniferous environments unimaginably older than the factories that consumed them.</w:t>
      </w:r>
    </w:p>
    <w:p w14:paraId="0E1B97C0" w14:textId="77777777" w:rsidR="004A6C7A" w:rsidRDefault="007849EA">
      <w:pPr>
        <w:pStyle w:val="BookBody"/>
      </w:pPr>
      <w:r>
        <w:t>The seam joined archive and stock. Fossil plants could be studied as evidence of vanished life, while the carbon-rich bed could be priced by thickness, depth, accessibility, quality, and transport cost. A miner's section and a geologist's section might depict the same layers for different purposes. One asked what history had occurred; the other where profitable extraction might proceed. In practice the questions often shared surveys, maps, shafts, and expertise.</w:t>
      </w:r>
    </w:p>
    <w:p w14:paraId="539968C1" w14:textId="77777777" w:rsidR="004A6C7A" w:rsidRDefault="007849EA">
      <w:pPr>
        <w:pStyle w:val="BookBody"/>
      </w:pPr>
      <w:r>
        <w:t>The mine made this double vision bodily. Descent through a shaft crossed beds that a surface map rendered as lines and colors. Roof pressure, water, gas, dust, heat, and darkness were not abstractions. They governed every movement underground. Knowledge of strata was inseparable from the danger that stone might fall, an atmosphere might ignite, or a pump might fail.</w:t>
      </w:r>
    </w:p>
    <w:p w14:paraId="3F54A34F" w14:textId="77777777" w:rsidR="004A6C7A" w:rsidRDefault="007849EA">
      <w:pPr>
        <w:pStyle w:val="BookBody"/>
      </w:pPr>
      <w:r>
        <w:t>Mining also depended on a divided field of visibility. Investors and engineers read accounts, plans, output figures, and geological reports. Hewers, haulers, children, surface workers, and engine attendants encountered the seam through labor. The polished lump in a collection, the black line in a section, and the ton entered in a ledger condensed different experiences of the same material.</w:t>
      </w:r>
    </w:p>
    <w:p w14:paraId="2D09D675" w14:textId="77777777" w:rsidR="004A6C7A" w:rsidRDefault="007849EA">
      <w:pPr>
        <w:pStyle w:val="BookBody"/>
      </w:pPr>
      <w:r>
        <w:t>Because coal seemed to be waiting underground, extraction could be imagined as the removal of a ready-made gift. The mine revealed otherwise. Galleries had to be cut, drained, ventilated, supported, and connected. The stock became available through continuous work and exposure to risk. Geological abundance did not cancel social scarcity; it rearranged who paid to reach the reserve and who received its benefits.</w:t>
      </w:r>
    </w:p>
    <w:p w14:paraId="6D75084A" w14:textId="77777777" w:rsidR="004A6C7A" w:rsidRDefault="007849EA">
      <w:pPr>
        <w:pStyle w:val="BookBody"/>
      </w:pPr>
      <w:r>
        <w:t>The underworld also inverted older cosmologies. Classical and Christian imaginations had placed moral or chthonic powers beneath the surface. The industrial mine replaced these beings with seams, gases, pressures, and calculable hazards, yet it did not make the underground passive. Explosions, collapses, flooding, and disease repeatedly disclosed agencies that engineering could manage but never simply abolish.</w:t>
      </w:r>
    </w:p>
    <w:p w14:paraId="3DCBEB28" w14:textId="77777777" w:rsidR="004A6C7A" w:rsidRDefault="007849EA">
      <w:pPr>
        <w:pStyle w:val="BookBody"/>
      </w:pPr>
      <w:r>
        <w:t>To burn coal was to release energy accumulated on a geological timescale into the tempo of a working day. The phrase "fossil fuel" can become so familiar that this temporal disproportion disappears. A steam engine consumed in hours matter whose formation required durations outside ordinary imagination. Industrial power was deep time made rapidly expendable.</w:t>
      </w:r>
    </w:p>
    <w:p w14:paraId="53092324" w14:textId="77777777" w:rsidR="004A6C7A" w:rsidRDefault="007849EA">
      <w:pPr>
        <w:pStyle w:val="SectionHeading"/>
      </w:pPr>
      <w:r>
        <w:t>From Organic Economy to Mineral Economy</w:t>
      </w:r>
    </w:p>
    <w:p w14:paraId="2095EC1B" w14:textId="77777777" w:rsidR="004A6C7A" w:rsidRDefault="007849EA">
      <w:pPr>
        <w:pStyle w:val="BookBody"/>
      </w:pPr>
      <w:r>
        <w:t>E. A. Wrigley describes the preindustrial economy as constrained by flows of energy tied closely to the annual productivity of land. Food sustained human and animal labor. Wood supplied heat and construction material. Wind and water moved mills and ships. Nearly every increase in output competed, directly or indirectly, for acres: grain for people, fodder for animals, timber for fuel, fibers for clothing. Solar energy was abundant, but the rate at which photosynthesis captured it within an accessible territory set stubborn limits.</w:t>
      </w:r>
      <w:r>
        <w:rPr>
          <w:vertAlign w:val="superscript"/>
        </w:rPr>
        <w:t>13</w:t>
      </w:r>
    </w:p>
    <w:p w14:paraId="328F7AFC" w14:textId="77777777" w:rsidR="004A6C7A" w:rsidRDefault="007849EA">
      <w:pPr>
        <w:pStyle w:val="BookBody"/>
      </w:pPr>
      <w:r>
        <w:t>Coal altered these relations because a subterranean stock could supplement contemporary flows. Its energy did not require the same annual acreage as firewood. Expanding consumption therefore did not demand an equivalent expansion of managed forest. Mineral energy opened an escape from one set of land constraints, especially where dense coal deposits lay near centers of manufacture and navigable transport.</w:t>
      </w:r>
    </w:p>
    <w:p w14:paraId="456DF1B5" w14:textId="77777777" w:rsidR="004A6C7A" w:rsidRDefault="007849EA">
      <w:pPr>
        <w:pStyle w:val="BookBody"/>
      </w:pPr>
      <w:r>
        <w:t>The escape was neither automatic nor universal. Coal was heavy. Mines flooded. Shafts required timbering and ventilation. Deeper workings increased danger and expense. Roads, canals, coastal shipping, and later railways connected pits to users. Iron, machine tools, credit, technical knowledge, and organized labor mattered. An accessible deposit became an energy system only through institutions and infrastructure.</w:t>
      </w:r>
      <w:r>
        <w:rPr>
          <w:vertAlign w:val="superscript"/>
        </w:rPr>
        <w:t>14</w:t>
      </w:r>
    </w:p>
    <w:p w14:paraId="25DE96A1" w14:textId="77777777" w:rsidR="004A6C7A" w:rsidRDefault="007849EA">
      <w:pPr>
        <w:pStyle w:val="BookBody"/>
      </w:pPr>
      <w:r>
        <w:t>Nor did coal simply replace older energies. Horses hauled coal; water powered factories and mine equipment; wood remained indispensable; human bodies loaded, sorted, maintained, and carried. Industrialization assembled mixed regimes. The importance of fossil fuel lay not in instant substitution but in a widening capacity to increase energy use without remaining proportionate to current biological production.</w:t>
      </w:r>
    </w:p>
    <w:p w14:paraId="67456B36" w14:textId="77777777" w:rsidR="004A6C7A" w:rsidRDefault="007849EA">
      <w:pPr>
        <w:pStyle w:val="BookBody"/>
      </w:pPr>
      <w:r>
        <w:t>This distinction between flow and stock changed the horizon of growth. A river delivers power at a rate governed by season, gradient, and location. A coal reserve can be accumulated, transported, and burned when demanded, although never without geological and logistical limits. Stored energy appeared commercially as a supply awaiting mobilization. The Earth became a warehouse of past productivity.</w:t>
      </w:r>
    </w:p>
    <w:p w14:paraId="6D2EF6D1" w14:textId="77777777" w:rsidR="004A6C7A" w:rsidRDefault="007849EA">
      <w:pPr>
        <w:pStyle w:val="SectionHeading"/>
      </w:pPr>
      <w:r>
        <w:rPr>
          <w:rFonts w:cstheme="majorBidi"/>
          <w:bCs/>
          <w:color w:val="2E74B5"/>
          <w:szCs w:val="28"/>
        </w:rPr>
        <w:t>Coal, Labor, and Stored Sunlight</w:t>
      </w:r>
    </w:p>
    <w:p w14:paraId="3DBFA7F6" w14:textId="77777777" w:rsidR="004A6C7A" w:rsidRDefault="007849EA">
      <w:pPr>
        <w:pStyle w:val="BookBody"/>
      </w:pPr>
      <w:r>
        <w:rPr>
          <w:szCs w:val="28"/>
        </w:rPr>
        <w:t>Coal is geological history made transportable. Ancient photosynthesis captured solar energy; burial, pressure, heat, and time transformed plant matter; mining brought the concentrated residue into the industrial present. A furnace could consume in hours what ecosystems accumulated and geological processes preserved across immense durations. Industrial power was thus a new relation between human schedules and Earth history.</w:t>
      </w:r>
    </w:p>
    <w:p w14:paraId="7C9B61E7" w14:textId="77777777" w:rsidR="004A6C7A" w:rsidRDefault="007849EA">
      <w:pPr>
        <w:pStyle w:val="BookBody"/>
      </w:pPr>
      <w:r>
        <w:rPr>
          <w:szCs w:val="28"/>
        </w:rPr>
        <w:t xml:space="preserve">The phrase </w:t>
      </w:r>
      <w:r>
        <w:rPr>
          <w:i/>
          <w:szCs w:val="28"/>
        </w:rPr>
        <w:t>stored sunlight</w:t>
      </w:r>
      <w:r>
        <w:rPr>
          <w:szCs w:val="28"/>
        </w:rPr>
        <w:t xml:space="preserve"> is illuminating but incomplete. Coal is not a gift simply waiting underground. It becomes an energy resource through shafts, pumps, ventilation, rails, ports, contracts, property law, credit, and disciplined labor. The seam must be mapped, owned, broken, lifted, graded, transported, and burned. Energy history is inseparable from the social organization that makes a substance available at scale.</w:t>
      </w:r>
    </w:p>
    <w:p w14:paraId="7007DD71" w14:textId="77777777" w:rsidR="004A6C7A" w:rsidRDefault="007849EA">
      <w:pPr>
        <w:pStyle w:val="BookBody"/>
      </w:pPr>
      <w:r>
        <w:rPr>
          <w:szCs w:val="28"/>
        </w:rPr>
        <w:t>Steam altered that organization because motive power no longer had to remain beside a fast river or depend directly on variable wind. Factories could be located nearer labor markets, ports, and commercial networks. Andreas Malm emphasizes that this spatial command mattered to capital: steam was adopted not only because it was physically efficient, but because it helped concentrate workers and stabilize control over production.</w:t>
      </w:r>
    </w:p>
    <w:p w14:paraId="78C72212" w14:textId="77777777" w:rsidR="004A6C7A" w:rsidRDefault="007849EA">
      <w:pPr>
        <w:pStyle w:val="BookBody"/>
      </w:pPr>
      <w:r>
        <w:rPr>
          <w:szCs w:val="28"/>
        </w:rPr>
        <w:t>That argument should not become another single cause. Water power persisted; technologies varied by region and industry; coal had long served heating and metallurgy; states, wars, finance, transport, and colonial commodities shaped industrialization. The point is more exact: fossil energy offered forms of temporal and spatial flexibility that became advantageous within particular relations of property and labor.</w:t>
      </w:r>
    </w:p>
    <w:p w14:paraId="0A730DA5" w14:textId="77777777" w:rsidR="004A6C7A" w:rsidRDefault="007849EA">
      <w:pPr>
        <w:pStyle w:val="BookBody"/>
      </w:pPr>
      <w:r>
        <w:rPr>
          <w:szCs w:val="28"/>
        </w:rPr>
        <w:t>The mine makes the double movement visible. Geological strata enter the commodity system, while workers enter an underground environment organized by clocks, danger, and mechanical dependence. Flooding demands pumps; ventilation conditions survival; explosions reveal the chemistry of air; bodily exhaustion sets limits that accounting tries to overcome. Earth and labor are abstracted together, one as fuel and the other as time.</w:t>
      </w:r>
    </w:p>
    <w:p w14:paraId="7ADF2537" w14:textId="77777777" w:rsidR="004A6C7A" w:rsidRDefault="007849EA">
      <w:pPr>
        <w:pStyle w:val="BookBody"/>
      </w:pPr>
      <w:r>
        <w:rPr>
          <w:szCs w:val="28"/>
        </w:rPr>
        <w:t>Industrial modernity therefore does not merely use a neutral stock of energy. It constructs an apparatus that couples ancient carbon to wages, machines, cities, and markets. Once established, the apparatus produces its own dependencies. Railways require fuel and freight; factories require regular supply; households adapt to artificial heat and light. The usable Earth becomes infrastructure.</w:t>
      </w:r>
    </w:p>
    <w:p w14:paraId="5DA3AA9C" w14:textId="77777777" w:rsidR="004A6C7A" w:rsidRDefault="007849EA">
      <w:pPr>
        <w:pStyle w:val="SectionHeading"/>
      </w:pPr>
      <w:r>
        <w:t>Steam and the Geography of Power</w:t>
      </w:r>
    </w:p>
    <w:p w14:paraId="6AD517C8" w14:textId="77777777" w:rsidR="004A6C7A" w:rsidRDefault="007849EA">
      <w:pPr>
        <w:pStyle w:val="BookBody"/>
      </w:pPr>
      <w:r>
        <w:t>The early steam engine was intimately connected to coal because it solved a problem created by coal mining: water in deep pits. Atmospheric engines pumped mines and consumed large amounts of fuel, making them economical near the seam. Later improvements reduced fuel use and made rotary motion practical in a wider range of industries. Steam moved from being an accessory of extraction to becoming a general source of motive power.</w:t>
      </w:r>
      <w:r>
        <w:rPr>
          <w:vertAlign w:val="superscript"/>
        </w:rPr>
        <w:t>15</w:t>
      </w:r>
    </w:p>
    <w:p w14:paraId="0BFE5031" w14:textId="77777777" w:rsidR="004A6C7A" w:rsidRDefault="007849EA">
      <w:pPr>
        <w:pStyle w:val="BookBody"/>
      </w:pPr>
      <w:r>
        <w:t>The transformation cannot be told as a tale of superior efficiency alone. Andreas Malm emphasizes the contest between water power and steam in British cotton manufacture. Water could be cheaper as motive power, but it fixed mills to suitable streams and subjected production to fluctuations. Steam allowed capital to place factories nearer cities, ports, markets, and concentrated labor. The engine offered not simply energy but spatial and temporal command.</w:t>
      </w:r>
      <w:r>
        <w:rPr>
          <w:vertAlign w:val="superscript"/>
        </w:rPr>
        <w:t>16</w:t>
      </w:r>
    </w:p>
    <w:p w14:paraId="36571715" w14:textId="77777777" w:rsidR="004A6C7A" w:rsidRDefault="007849EA">
      <w:pPr>
        <w:pStyle w:val="BookBody"/>
      </w:pPr>
      <w:r>
        <w:t>This argument reveals why a technology may spread without being thermodynamically optimal in every setting. Owners valued regularity, relocation, expansion, and control over the labor process. Steam could run where workers were available and where transport and finance already converged. Power was selected inside social relations.</w:t>
      </w:r>
    </w:p>
    <w:p w14:paraId="461D4BB5" w14:textId="77777777" w:rsidR="004A6C7A" w:rsidRDefault="007849EA">
      <w:pPr>
        <w:pStyle w:val="BookBody"/>
      </w:pPr>
      <w:r>
        <w:t>Yet labor control alone does not explain the entire fossil transition. Britain's coal geography, mining expertise, transport network, iron industry, urban demand, imperial commerce, and patterns of investment all mattered. Water continued to power major industries. Steam itself improved through many local innovations. A single-cause account would merely replace technological inevitability with social inevitability.</w:t>
      </w:r>
      <w:r>
        <w:rPr>
          <w:vertAlign w:val="superscript"/>
        </w:rPr>
        <w:t>17</w:t>
      </w:r>
    </w:p>
    <w:p w14:paraId="6CEE38BE" w14:textId="77777777" w:rsidR="004A6C7A" w:rsidRDefault="007849EA">
      <w:pPr>
        <w:pStyle w:val="BookBody"/>
      </w:pPr>
      <w:r>
        <w:t>The more durable point is that fossil energy loosened production from the rhythms and sites of living flows. Water and wind arrive. Coal is extracted, stocked, exchanged, and fed into a machine. This difference encouraged the expectation that power should be available where and when production required it. Variability came to look like a defect rather than a condition of dependence.</w:t>
      </w:r>
    </w:p>
    <w:p w14:paraId="0A03B0A3" w14:textId="77777777" w:rsidR="004A6C7A" w:rsidRDefault="007849EA">
      <w:pPr>
        <w:pStyle w:val="BookBody"/>
      </w:pPr>
      <w:r>
        <w:t>The steam engine thus condensed an industrial metaphysics. Nature appeared as a reserve of convertible forces. Fire became pressure, pressure became reciprocating motion, motion turned shafts and spindles. The sequence invited abstraction: so much coal, so much work, so much output. But every conversion remained material—heat lost, smoke emitted, boilers scaled, parts worn, bodies endangered. The apparent autonomy of the machine depended on mines, waters, atmospheres, and workers beyond its frame.</w:t>
      </w:r>
    </w:p>
    <w:p w14:paraId="4A9C0800" w14:textId="77777777" w:rsidR="004A6C7A" w:rsidRDefault="007849EA">
      <w:pPr>
        <w:pStyle w:val="SectionHeading"/>
      </w:pPr>
      <w:r>
        <w:t>The Factory Clock</w:t>
      </w:r>
    </w:p>
    <w:p w14:paraId="5EEBB6F9" w14:textId="77777777" w:rsidR="004A6C7A" w:rsidRDefault="007849EA">
      <w:pPr>
        <w:pStyle w:val="BookBody"/>
      </w:pPr>
      <w:r>
        <w:t>Industrial energy altered the day because machines profitable only when running encouraged a stricter coordination of labor. E. P. Thompson distinguished work organized around tasks from work organized by measured time. Task-oriented labor could be arduous, but its rhythms followed the completion of activities, the weather, daylight, seasons, animals, tools, and customary pauses. The boundary between labor and life was often irregular.</w:t>
      </w:r>
      <w:r>
        <w:rPr>
          <w:vertAlign w:val="superscript"/>
        </w:rPr>
        <w:t>18</w:t>
      </w:r>
    </w:p>
    <w:p w14:paraId="13D75988" w14:textId="77777777" w:rsidR="004A6C7A" w:rsidRDefault="007849EA">
      <w:pPr>
        <w:pStyle w:val="BookBody"/>
      </w:pPr>
      <w:r>
        <w:t>Clock time did not suddenly appear with the factory. Bells, watches, calendars, monastic hours, markets, military routines, schools, and domestic service had long disciplined conduct. What changed was the intensity with which homogeneous units became a measure of labor owed and output expected. Time could be spent, saved, wasted, lost, paid for, and stolen.</w:t>
      </w:r>
    </w:p>
    <w:p w14:paraId="47927F89" w14:textId="77777777" w:rsidR="004A6C7A" w:rsidRDefault="007849EA">
      <w:pPr>
        <w:pStyle w:val="BookBody"/>
      </w:pPr>
      <w:r>
        <w:t>The factory gathered bodies into synchronization. Gates closed at fixed hours. Shifts began and ended by the bell. Overseers recorded lateness. Fines translated minutes into money. Time sheets divided presence into accountable intervals. The machine's motion established a norm to which workers were required to adapt.</w:t>
      </w:r>
    </w:p>
    <w:p w14:paraId="5A338F66" w14:textId="77777777" w:rsidR="004A6C7A" w:rsidRDefault="007849EA">
      <w:pPr>
        <w:pStyle w:val="BookBody"/>
      </w:pPr>
      <w:r>
        <w:t>This was not merely an external imposition. Industrial discipline recruited moral language. Punctuality became virtue; irregularity became idleness; thrift in time joined thrift in money. Schools and religious instruction trained children to internalize the schedule. The clock migrated from tower and workshop into conscience.</w:t>
      </w:r>
      <w:r>
        <w:rPr>
          <w:vertAlign w:val="superscript"/>
        </w:rPr>
        <w:t>19</w:t>
      </w:r>
    </w:p>
    <w:p w14:paraId="071113B9" w14:textId="77777777" w:rsidR="004A6C7A" w:rsidRDefault="007849EA">
      <w:pPr>
        <w:pStyle w:val="BookBody"/>
      </w:pPr>
      <w:r>
        <w:t>Resistance persisted. Saint Monday, customary holidays, slowdowns, absenteeism, machine breaking, collective bargaining, and demands for shorter hours contested ownership of time. Workers did not simply become appendages. The history of industrial discipline is also the history of struggles to limit, price, and reclaim duration.</w:t>
      </w:r>
    </w:p>
    <w:p w14:paraId="352E679D" w14:textId="77777777" w:rsidR="004A6C7A" w:rsidRDefault="007849EA">
      <w:pPr>
        <w:pStyle w:val="BookBody"/>
      </w:pPr>
      <w:r>
        <w:t>The contradiction was sharp. Geology had expanded time beyond human comprehension while industry subdivided the day with unprecedented insistence. The Earth became immeasurably old; the worker's minute became increasingly chargeable. Deep duration and exact schedule were not opposites. Coal connected them. Geological ages were consumed to intensify the accounting of hours.</w:t>
      </w:r>
    </w:p>
    <w:p w14:paraId="5049CFD8" w14:textId="77777777" w:rsidR="004A6C7A" w:rsidRDefault="007849EA">
      <w:pPr>
        <w:pStyle w:val="SectionHeading"/>
      </w:pPr>
      <w:r>
        <w:t>Railway Earth</w:t>
      </w:r>
    </w:p>
    <w:p w14:paraId="3AB77B31" w14:textId="77777777" w:rsidR="004A6C7A" w:rsidRDefault="007849EA">
      <w:pPr>
        <w:pStyle w:val="BookBody"/>
      </w:pPr>
      <w:r>
        <w:t>Railways extended this coordination across territory. Tracks required gradients, cuttings, embankments, bridges, tunnels, drainage, standardized gauges, stations, timetables, signaling, repair depots, and vast quantities of iron, timber, stone, and coal. The line did not merely cross a landscape. It rebuilt the ground to meet the requirements of mechanical regularity.</w:t>
      </w:r>
      <w:r>
        <w:rPr>
          <w:vertAlign w:val="superscript"/>
        </w:rPr>
        <w:t>20</w:t>
      </w:r>
    </w:p>
    <w:p w14:paraId="2BFDEBF5" w14:textId="77777777" w:rsidR="004A6C7A" w:rsidRDefault="007849EA">
      <w:pPr>
        <w:pStyle w:val="BookBody"/>
      </w:pPr>
      <w:r>
        <w:t>Earlier travel followed roads, rivers, winds, animal capacities, and the textures of terrain. The railway reduced many of these variations to the controlled relation between wheel and rail. Hills were cut, valleys filled, curves moderated. The route transformed geographic difference into engineering problems.</w:t>
      </w:r>
    </w:p>
    <w:p w14:paraId="4751D1B9" w14:textId="77777777" w:rsidR="004A6C7A" w:rsidRDefault="007849EA">
      <w:pPr>
        <w:pStyle w:val="BookBody"/>
      </w:pPr>
      <w:r>
        <w:t>Speed then altered the experience of distance. Places formerly separated by days became hours apart. Markets widened. Perishable goods moved farther. Commuting and tourism acquired new scales. News and prices traveled through linked transport and communication systems. The meaning of near and far changed without the map shrinking.</w:t>
      </w:r>
    </w:p>
    <w:p w14:paraId="28E77722" w14:textId="77777777" w:rsidR="004A6C7A" w:rsidRDefault="007849EA">
      <w:pPr>
        <w:pStyle w:val="BookBody"/>
      </w:pPr>
      <w:r>
        <w:t>Time itself required standardization. Local solar times became inconvenient when trains joined towns whose clocks differed by minutes. Timetables demanded comparable hours; signaling demanded coordination; missed connections converted small discrepancies into systemic failures. Railway time helped turn an abstract, uniform time into public infrastructure.</w:t>
      </w:r>
    </w:p>
    <w:p w14:paraId="52D20D6C" w14:textId="77777777" w:rsidR="004A6C7A" w:rsidRDefault="007849EA">
      <w:pPr>
        <w:pStyle w:val="BookBody"/>
      </w:pPr>
      <w:r>
        <w:t>Wolfgang Schivelbusch called attention to the violence concealed by smooth transit. The passenger experienced a carriage interior and a view, while the line depended on displaced earth, dangerous construction, disciplined employees, fuel, maintenance, and the exclusion of incompatible uses from the track. Mechanical continuity was an achievement imposed on material and social worlds.</w:t>
      </w:r>
      <w:r>
        <w:rPr>
          <w:vertAlign w:val="superscript"/>
        </w:rPr>
        <w:t>21</w:t>
      </w:r>
    </w:p>
    <w:p w14:paraId="5F59B94E" w14:textId="77777777" w:rsidR="004A6C7A" w:rsidRDefault="007849EA">
      <w:pPr>
        <w:pStyle w:val="SectionHeading"/>
      </w:pPr>
      <w:r>
        <w:t>Panoramic Perception</w:t>
      </w:r>
    </w:p>
    <w:p w14:paraId="1026D3B5" w14:textId="77777777" w:rsidR="004A6C7A" w:rsidRDefault="007849EA">
      <w:pPr>
        <w:pStyle w:val="BookBody"/>
      </w:pPr>
      <w:r>
        <w:t>From the carriage window, speed reorganized vision. Nearby objects crossed the field too quickly to be inspected. The foreground blurred; distant forms remained visible longer. The traveler received a succession of framed scenes without the bodily effort of walking through them. Landscape became panoramic.</w:t>
      </w:r>
      <w:r>
        <w:rPr>
          <w:vertAlign w:val="superscript"/>
        </w:rPr>
        <w:t>22</w:t>
      </w:r>
    </w:p>
    <w:p w14:paraId="3C948F96" w14:textId="77777777" w:rsidR="004A6C7A" w:rsidRDefault="007849EA">
      <w:pPr>
        <w:pStyle w:val="BookBody"/>
      </w:pPr>
      <w:r>
        <w:t>This did not simply impoverish perception. It created new pleasures and new powers of comparison. Geological sections flashed past in cuttings. Towns, fields, factories, and rivers entered rapid sequence. The passenger could apprehend regional pattern at a scale unavailable to the pedestrian. But the view was detached from texture, smell, weather, labor, and local encounter.</w:t>
      </w:r>
    </w:p>
    <w:p w14:paraId="2A553640" w14:textId="77777777" w:rsidR="004A6C7A" w:rsidRDefault="007849EA">
      <w:pPr>
        <w:pStyle w:val="BookBody"/>
      </w:pPr>
      <w:r>
        <w:t>The carriage also enclosed the traveler within an industrial interior. Upholstery, glass, schedule, ticket, and class compartment mediated contact with the outside. The window offered the world as image while the rails determined the path. Motion felt self-contained because the infrastructure that made it possible receded from attention.</w:t>
      </w:r>
    </w:p>
    <w:p w14:paraId="220EF70A" w14:textId="77777777" w:rsidR="004A6C7A" w:rsidRDefault="007849EA">
      <w:pPr>
        <w:pStyle w:val="BookBody"/>
      </w:pPr>
      <w:r>
        <w:t>The railway therefore generalized a double relation to nature. It revealed landscapes by traversing them and abstracted from their resistance by engineering a corridor through them. It made geology visible in cuttings and made the ground subordinate to velocity. The industrial Earth was scenery and system at once.</w:t>
      </w:r>
    </w:p>
    <w:p w14:paraId="3328008B" w14:textId="77777777" w:rsidR="004A6C7A" w:rsidRDefault="007849EA">
      <w:pPr>
        <w:pStyle w:val="SectionHeading"/>
      </w:pPr>
      <w:r>
        <w:t>Artificial Suns</w:t>
      </w:r>
    </w:p>
    <w:p w14:paraId="20A99A08" w14:textId="77777777" w:rsidR="004A6C7A" w:rsidRDefault="007849EA">
      <w:pPr>
        <w:pStyle w:val="BookBody"/>
      </w:pPr>
      <w:r>
        <w:t>The extension of the working day required another independence: emancipation from natural darkness. Oil lamps, candles, and hearths had long made limited islands of light. Gas lighting and later electric illumination changed the scale, brightness, distribution, and administration of artificial light. Factories, streets, theaters, shops, stations, and homes entered new regimes of visibility.</w:t>
      </w:r>
      <w:r>
        <w:rPr>
          <w:vertAlign w:val="superscript"/>
        </w:rPr>
        <w:t>23</w:t>
      </w:r>
    </w:p>
    <w:p w14:paraId="2586EDF7" w14:textId="77777777" w:rsidR="004A6C7A" w:rsidRDefault="007849EA">
      <w:pPr>
        <w:pStyle w:val="FigureImage"/>
      </w:pPr>
      <w:r>
        <w:rPr>
          <w:noProof/>
        </w:rPr>
        <w:drawing>
          <wp:inline distT="0" distB="0" distL="0" distR="0" wp14:anchorId="7B868DA5" wp14:editId="73F4FF0E">
            <wp:extent cx="5349240" cy="3376573"/>
            <wp:effectExtent l="0" t="0" r="0" b="0"/>
            <wp:docPr id="1866470659" name="Picture 1866470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tory_arc_lighting_1877.png"/>
                    <pic:cNvPicPr/>
                  </pic:nvPicPr>
                  <pic:blipFill>
                    <a:blip r:embed="rId30"/>
                    <a:stretch>
                      <a:fillRect/>
                    </a:stretch>
                  </pic:blipFill>
                  <pic:spPr>
                    <a:xfrm>
                      <a:off x="0" y="0"/>
                      <a:ext cx="5349240" cy="3376573"/>
                    </a:xfrm>
                    <a:prstGeom prst="rect">
                      <a:avLst/>
                    </a:prstGeom>
                  </pic:spPr>
                </pic:pic>
              </a:graphicData>
            </a:graphic>
          </wp:inline>
        </w:drawing>
      </w:r>
    </w:p>
    <w:p w14:paraId="4463D407" w14:textId="77777777" w:rsidR="004A6C7A" w:rsidRDefault="007849EA">
      <w:pPr>
        <w:pStyle w:val="FigureCaption"/>
      </w:pPr>
      <w:r>
        <w:t>Figure 19.3. A factory illuminated by arc lamps. Artificial light made darkness less decisive in setting the working day while concealing the wider energy network behind the luminous interior. Source: H. Fontaine, Éclairage à l'électricité (Paris, 1877), reproduced in Wolfgang Schivelbusch, Disenchanted Night, 8. Original image public domain.</w:t>
      </w:r>
    </w:p>
    <w:p w14:paraId="44C9EC55" w14:textId="77777777" w:rsidR="004A6C7A" w:rsidRDefault="007849EA">
      <w:pPr>
        <w:pStyle w:val="BookBody"/>
      </w:pPr>
      <w:r>
        <w:t>A factory illuminated by arc lamps appears almost as a demonstration of conquest. High points of light flood the interior; rows of machines continue beneath them; the darkness outside no longer determines the end of work. The image celebrates technical brilliance, but its deeper subject is temporal control. Illumination makes additional hours available to production.</w:t>
      </w:r>
    </w:p>
    <w:p w14:paraId="117C3FEA" w14:textId="77777777" w:rsidR="004A6C7A" w:rsidRDefault="007849EA">
      <w:pPr>
        <w:pStyle w:val="BookBody"/>
      </w:pPr>
      <w:r>
        <w:t>Gaslight depended on an urban metabolism. Coal arrived at gasworks, where heating released an inflammable gas that was purified, stored, pressurized, and distributed through buried pipes. Light at the burner depended on retorts, mains, meters, maintenance, by-products, leakage, smoke, and labor elsewhere. The luminous flame concealed an industrial network.</w:t>
      </w:r>
      <w:r>
        <w:rPr>
          <w:vertAlign w:val="superscript"/>
        </w:rPr>
        <w:t>24</w:t>
      </w:r>
    </w:p>
    <w:p w14:paraId="66ACAEF9" w14:textId="77777777" w:rsidR="004A6C7A" w:rsidRDefault="007849EA">
      <w:pPr>
        <w:pStyle w:val="BookBody"/>
      </w:pPr>
      <w:r>
        <w:t>Public lighting also reorganized authority. Lamps made streets more navigable and commercial after dark. They aided policing, display, and surveillance. Shop windows turned goods into nocturnal spectacle. The lit center marked wealth and order while darker districts registered neglect or danger. Visibility was unequally distributed.</w:t>
      </w:r>
    </w:p>
    <w:p w14:paraId="09C184CA" w14:textId="77777777" w:rsidR="004A6C7A" w:rsidRDefault="007849EA">
      <w:pPr>
        <w:pStyle w:val="BookBody"/>
      </w:pPr>
      <w:r>
        <w:t>Electric light intensified the fantasy of immaterial brilliance. An incandescent bulb appeared cleaner at the point of use than coal gas or oil. Its smoke and combustion had moved to a generating station. The separation between luminous interior and distant fuel source made energy seem abstract, delivered by a switch rather than extracted from a landscape.</w:t>
      </w:r>
      <w:r>
        <w:rPr>
          <w:vertAlign w:val="superscript"/>
        </w:rPr>
        <w:t>25</w:t>
      </w:r>
    </w:p>
    <w:p w14:paraId="600FF64C" w14:textId="77777777" w:rsidR="004A6C7A" w:rsidRDefault="007849EA">
      <w:pPr>
        <w:pStyle w:val="BookBody"/>
      </w:pPr>
      <w:r>
        <w:t>Industrial light did not abolish night, but it made darkness governable. Hours once differentiated by sunrise, dusk, moon, and season could be rendered operationally equivalent. The clock divided time; artificial light supplied the environment in which the divisions could be used.</w:t>
      </w:r>
    </w:p>
    <w:p w14:paraId="5F68B54C" w14:textId="77777777" w:rsidR="004A6C7A" w:rsidRDefault="007849EA">
      <w:pPr>
        <w:pStyle w:val="SectionHeading"/>
      </w:pPr>
      <w:r>
        <w:t>The Disenchanted Night</w:t>
      </w:r>
    </w:p>
    <w:p w14:paraId="4F000FD5" w14:textId="77777777" w:rsidR="004A6C7A" w:rsidRDefault="007849EA">
      <w:pPr>
        <w:pStyle w:val="BookBody"/>
      </w:pPr>
      <w:r>
        <w:t>Wolfgang Schivelbusch described the industrialization of light as a transformation of night itself. Earlier urban darkness contained danger, concealment, festivity, intimacy, fear, and celestial orientation. Street lighting created illuminated routes and interiors, but it also altered the boundary between public and private and changed what could remain unseen.</w:t>
      </w:r>
      <w:r>
        <w:rPr>
          <w:vertAlign w:val="superscript"/>
        </w:rPr>
        <w:t>26</w:t>
      </w:r>
    </w:p>
    <w:p w14:paraId="506C3572" w14:textId="77777777" w:rsidR="004A6C7A" w:rsidRDefault="007849EA">
      <w:pPr>
        <w:pStyle w:val="BookBody"/>
      </w:pPr>
      <w:r>
        <w:t>The loss was not merely romantic. Human and nonhuman rhythms evolved within cycles of light and darkness. Extended illumination changed sleep, labor, migration, feeding, and reproduction. Nineteenth-century cities did not yet produce the planetary glow visible from orbit, but they established the principle that night was an obstacle to be overcome.</w:t>
      </w:r>
    </w:p>
    <w:p w14:paraId="624B32CD" w14:textId="77777777" w:rsidR="004A6C7A" w:rsidRDefault="007849EA">
      <w:pPr>
        <w:pStyle w:val="BookBody"/>
      </w:pPr>
      <w:r>
        <w:t>The urban sky consequently began to withdraw. Smoke from domestic fires, factories, locomotives, and gasworks obscured stars by day and night; artificial illumination weakened contrast; dense buildings narrowed the visible horizon. The cosmos that had oriented calendars, navigation, ritual, and imagination became harder to see in the places where industrial modernity was most concentrated.</w:t>
      </w:r>
    </w:p>
    <w:p w14:paraId="79E8BAE3" w14:textId="77777777" w:rsidR="004A6C7A" w:rsidRDefault="007849EA">
      <w:pPr>
        <w:pStyle w:val="BookBody"/>
      </w:pPr>
      <w:r>
        <w:t>This was a material form of disenchantment. The stars did not vanish because astronomy explained them. They vanished from ordinary attention behind smoke and light. A celestial order could remain scientifically known while becoming experientially remote.</w:t>
      </w:r>
    </w:p>
    <w:p w14:paraId="70567D30" w14:textId="77777777" w:rsidR="004A6C7A" w:rsidRDefault="007849EA">
      <w:pPr>
        <w:pStyle w:val="BookBody"/>
      </w:pPr>
      <w:r>
        <w:t>The city gained a new magnificence: illuminated boulevards, glowing shopfronts, stations under glass and iron, factories alive after sunset. The achievement was real. So were the costs. Industrial light expanded safety, sociability, reading, commerce, and labor while exporting pollution and reorganizing darkness. The ambiguity cannot be resolved by calling illumination either liberation or domination alone.</w:t>
      </w:r>
    </w:p>
    <w:p w14:paraId="410D9BD7" w14:textId="77777777" w:rsidR="004A6C7A" w:rsidRDefault="007849EA">
      <w:pPr>
        <w:pStyle w:val="BookBody"/>
      </w:pPr>
      <w:r>
        <w:t>Smoke gave the industrial city its most visible atmosphere. It blackened walls, entered lungs, dimmed daylight, damaged plants, and settled as soot. It was at once nuisance, health hazard, and sign of production. A smoking chimney could symbolize prosperity because it showed furnaces and workers in motion. The same plume made the costs of motion breathable.</w:t>
      </w:r>
    </w:p>
    <w:p w14:paraId="42205542" w14:textId="77777777" w:rsidR="004A6C7A" w:rsidRDefault="007849EA">
      <w:pPr>
        <w:pStyle w:val="BookBody"/>
      </w:pPr>
      <w:r>
        <w:t>The symbolism encouraged displacement. Pollution appeared local when smoke fell nearby, yet the energy system that produced it connected distant mines, forests, ports, factories, households, and colonies. Some harms were immediate and visible; others accumulated beyond perception. The industrial atmosphere trained modern societies to accept a separation between useful activity and dispersed consequence.</w:t>
      </w:r>
    </w:p>
    <w:p w14:paraId="6D7389C2" w14:textId="77777777" w:rsidR="004A6C7A" w:rsidRDefault="007849EA">
      <w:pPr>
        <w:pStyle w:val="BookBody"/>
      </w:pPr>
      <w:r>
        <w:t>Urban reform gradually made some effects governable. Smoke abatement, sanitation, ventilation, building standards, parks, and public health converted environmental conditions into administrative problems. These measures saved lives and improved cities. They could also move dirty industries and wastes toward poorer districts or distant regions. A cleaner center did not necessarily mean a less extractive system.</w:t>
      </w:r>
    </w:p>
    <w:p w14:paraId="0478CDF1" w14:textId="77777777" w:rsidR="004A6C7A" w:rsidRDefault="007849EA">
      <w:pPr>
        <w:pStyle w:val="BookBody"/>
      </w:pPr>
      <w:r>
        <w:t>The emerging ecological consequence was thus more than pollution in the narrow sense. Industrial systems changed habitats through mining, transport corridors, urban expansion, resource frontiers, and altered water and air. They also changed expectations: continuous growth, regular supply, nighttime activity, rapid mobility, and insulation from seasonal variation came to appear normal. Ecological dependence persisted beneath a culture of apparent independence.</w:t>
      </w:r>
    </w:p>
    <w:p w14:paraId="298150C6" w14:textId="77777777" w:rsidR="004A6C7A" w:rsidRDefault="007849EA">
      <w:pPr>
        <w:pStyle w:val="SectionHeading"/>
      </w:pPr>
      <w:r>
        <w:t>The Productive and Indifferent Earth</w:t>
      </w:r>
    </w:p>
    <w:p w14:paraId="61047493" w14:textId="77777777" w:rsidR="004A6C7A" w:rsidRDefault="007849EA">
      <w:pPr>
        <w:pStyle w:val="BookBody"/>
      </w:pPr>
      <w:r>
        <w:t>By the late nineteenth century, Earth could be understood through several incompatible but interacting images. Geology presented a self-transforming planet whose archives exceeded human history. Evolution presented life as branching descent shaped by contingent relations. Political economy and engineering presented matter and energy as productive forces. Industry presented the underground as reserve. None of these images simply replaced the others.</w:t>
      </w:r>
    </w:p>
    <w:p w14:paraId="02F91189" w14:textId="77777777" w:rsidR="004A6C7A" w:rsidRDefault="007849EA">
      <w:pPr>
        <w:pStyle w:val="BookBody"/>
      </w:pPr>
      <w:r>
        <w:t>Their convergence produced a world rich in process but poor in guarantees. The Earth generated continents, soils, species, fuels, and climates without arranging them for permanent human convenience. The same processes that made coal available did not make its combustion harmless. The same evolutionary creativity that produced complex life included extinction. Productivity did not imply care.</w:t>
      </w:r>
    </w:p>
    <w:p w14:paraId="282257FD" w14:textId="77777777" w:rsidR="004A6C7A" w:rsidRDefault="007849EA">
      <w:pPr>
        <w:pStyle w:val="BookBody"/>
      </w:pPr>
      <w:r>
        <w:t>This is the point at which "indifference" must be used carefully. The Earth is not indifferent as a person is indifferent. It does not refuse a duty. Rather, physical and biological processes do not ordinarily bend to human meanings. A flood destroys a home without intending harm; a climate system responds to altered atmospheric composition without judging the societies responsible; a species disappears without the biosphere preserving its value.</w:t>
      </w:r>
    </w:p>
    <w:p w14:paraId="489646A0" w14:textId="77777777" w:rsidR="004A6C7A" w:rsidRDefault="007849EA">
      <w:pPr>
        <w:pStyle w:val="BookBody"/>
      </w:pPr>
      <w:r>
        <w:t>Indifference therefore intensifies responsibility instead of canceling it. If no cosmic parent guarantees repair, consequences become more urgent. Human purposes must be negotiated within systems that have thresholds, delays, feedbacks, and irreversibilities of their own.</w:t>
      </w:r>
    </w:p>
    <w:p w14:paraId="48203E11" w14:textId="77777777" w:rsidR="004A6C7A" w:rsidRDefault="007849EA">
      <w:pPr>
        <w:pStyle w:val="SectionHeading"/>
      </w:pPr>
      <w:r>
        <w:t>From World History to Planetary History</w:t>
      </w:r>
    </w:p>
    <w:p w14:paraId="17F9F921" w14:textId="77777777" w:rsidR="004A6C7A" w:rsidRDefault="007849EA">
      <w:pPr>
        <w:pStyle w:val="BookBody"/>
      </w:pPr>
      <w:r>
        <w:t>Dipesh Chakrabarty argues that climate change forces a collision between the history of capitalist modernity and the history of humans as a species capable of acting as a geological force. The two scales cannot be collapsed. Capital, empire, class, race, technology, and unequal consumption explain who built fossil systems, who profited, and who bears disproportionate harm. Species history names a collective biological predicament that no account of social difference can simply dissolve.</w:t>
      </w:r>
      <w:r>
        <w:rPr>
          <w:vertAlign w:val="superscript"/>
        </w:rPr>
        <w:t>27</w:t>
      </w:r>
    </w:p>
    <w:p w14:paraId="6BD7307E" w14:textId="77777777" w:rsidR="004A6C7A" w:rsidRDefault="007849EA">
      <w:pPr>
        <w:pStyle w:val="BookBody"/>
      </w:pPr>
      <w:r>
        <w:t>The difficulty is conceptual as well as political. Traditional world history follows institutions, states, commerce, labor, ideas, violence, and emancipation across human timescales. Planetary history includes carbon cycles, ocean circulation, ice, soils, evolution, and the long co-production of living and nonliving systems. Climate change makes these histories cross within ordinary politics.</w:t>
      </w:r>
      <w:r>
        <w:rPr>
          <w:vertAlign w:val="superscript"/>
        </w:rPr>
        <w:t>28</w:t>
      </w:r>
    </w:p>
    <w:p w14:paraId="396C32E2" w14:textId="77777777" w:rsidR="004A6C7A" w:rsidRDefault="007849EA">
      <w:pPr>
        <w:pStyle w:val="BookBody"/>
      </w:pPr>
      <w:r>
        <w:t>Humans have always altered environments, but fossil energy changed the magnitude, speed, and reach of alteration. Emissions from countless local acts accumulated in an atmosphere that mixes them globally. Effects unfold over decades, centuries, and longer. Causes are socially differentiated; consequences propagate through planetary systems.</w:t>
      </w:r>
    </w:p>
    <w:p w14:paraId="06E8CB2B" w14:textId="77777777" w:rsidR="004A6C7A" w:rsidRDefault="007849EA">
      <w:pPr>
        <w:pStyle w:val="BookBody"/>
      </w:pPr>
      <w:r>
        <w:t>To say that humanity has become a geological agent is therefore not to say that all humans are equally responsible. A geological category can obscure political inequality if used carelessly. But a purely political category can miss the species-wide dependence on climatic conditions and the nonnegotiable behavior of Earth systems. Adequate history must hold both truths together.</w:t>
      </w:r>
      <w:r>
        <w:rPr>
          <w:vertAlign w:val="superscript"/>
        </w:rPr>
        <w:t>29</w:t>
      </w:r>
    </w:p>
    <w:p w14:paraId="2BC6D38A" w14:textId="77777777" w:rsidR="004A6C7A" w:rsidRDefault="007849EA">
      <w:pPr>
        <w:pStyle w:val="BookBody"/>
      </w:pPr>
      <w:r>
        <w:t>The industrial Earth is planetary in this sense: not because it forms one harmonious whole, but because local extraction and combustion enter processes that exceed borders and generations. The atmosphere joins actions whose agents remain radically unequal. Coal burned in one century becomes climatic inheritance in another.</w:t>
      </w:r>
    </w:p>
    <w:p w14:paraId="05AE2157" w14:textId="77777777" w:rsidR="004A6C7A" w:rsidRDefault="007849EA">
      <w:pPr>
        <w:pStyle w:val="SectionHeading"/>
      </w:pPr>
      <w:r>
        <w:t>No Single Cause</w:t>
      </w:r>
    </w:p>
    <w:p w14:paraId="0441AFAC" w14:textId="77777777" w:rsidR="004A6C7A" w:rsidRDefault="007849EA">
      <w:pPr>
        <w:pStyle w:val="BookBody"/>
      </w:pPr>
      <w:r>
        <w:t>It is tempting to organize this history around a villain or an invention. Capitalism demands endless accumulation; therefore coal. Steam provides abundant power; therefore industrial capitalism. A disenchanted worldview reduces nature to matter; therefore extraction. Each formula identifies something real and becomes misleading when made sufficient.</w:t>
      </w:r>
    </w:p>
    <w:p w14:paraId="66FCFB46" w14:textId="77777777" w:rsidR="004A6C7A" w:rsidRDefault="007849EA">
      <w:pPr>
        <w:pStyle w:val="BookBody"/>
      </w:pPr>
      <w:r>
        <w:t>Fossil industrialization required deposits, technologies, property regimes, wage labor, markets, state power, transport, scientific knowledge, imperial networks, and cultural expectations. Their relative importance differed by region and period. Coal did not generate one inevitable social order, and capitalism has repeatedly used biological, hydraulic, electrical, and now digital systems. Causation is distributed across an evolving assemblage.</w:t>
      </w:r>
      <w:r>
        <w:rPr>
          <w:vertAlign w:val="superscript"/>
        </w:rPr>
        <w:t>30</w:t>
      </w:r>
    </w:p>
    <w:p w14:paraId="1240A990" w14:textId="77777777" w:rsidR="004A6C7A" w:rsidRDefault="007849EA">
      <w:pPr>
        <w:pStyle w:val="BookBody"/>
      </w:pPr>
      <w:r>
        <w:t>The rejection of a single cause does not imply the absence of responsibility. Owners chose locations and machines; states protected property and built infrastructure; consumers inhabited unequal systems of provision; workers were compelled and also organized; imperial powers redirected land, labor, and resources. Explanation becomes more responsible when it specifies these relations rather than attributing agency to an abstraction alone.</w:t>
      </w:r>
    </w:p>
    <w:p w14:paraId="55B5B9D3" w14:textId="77777777" w:rsidR="004A6C7A" w:rsidRDefault="007849EA">
      <w:pPr>
        <w:pStyle w:val="BookBody"/>
      </w:pPr>
      <w:r>
        <w:t>Nor should "humanity" become an undifferentiated geological monster. The capacity to alter the planet was concentrated through particular institutions and energy regimes. Many people contributed little to cumulative emissions and remain most exposed to drought, heat, flood, displacement, and ecological loss. Planetary consequence and historical inequality are simultaneous.</w:t>
      </w:r>
      <w:r>
        <w:rPr>
          <w:vertAlign w:val="superscript"/>
        </w:rPr>
        <w:t>31</w:t>
      </w:r>
    </w:p>
    <w:p w14:paraId="37A6BC8E" w14:textId="77777777" w:rsidR="004A6C7A" w:rsidRDefault="007849EA">
      <w:pPr>
        <w:pStyle w:val="BookBody"/>
      </w:pPr>
      <w:r>
        <w:t>The deepest cause may be less a single origin than a ratchet. Coal enabled larger systems; larger systems created infrastructures and expectations that demanded continued energy; those infrastructures shaped investment, settlement, labor, and politics; their durability made alternatives costly. Industrial power became a path that reproduced the conditions of its own necessity.</w:t>
      </w:r>
    </w:p>
    <w:p w14:paraId="129C5274" w14:textId="77777777" w:rsidR="004A6C7A" w:rsidRDefault="007849EA">
      <w:pPr>
        <w:pStyle w:val="SectionHeading"/>
      </w:pPr>
      <w:r>
        <w:rPr>
          <w:rFonts w:cstheme="majorBidi"/>
          <w:bCs/>
          <w:color w:val="2E74B5"/>
          <w:szCs w:val="28"/>
        </w:rPr>
        <w:t>Two Times in One Present</w:t>
      </w:r>
    </w:p>
    <w:p w14:paraId="1213EED4" w14:textId="77777777" w:rsidR="004A6C7A" w:rsidRDefault="007849EA">
      <w:pPr>
        <w:pStyle w:val="BookBody"/>
      </w:pPr>
      <w:r>
        <w:rPr>
          <w:szCs w:val="28"/>
        </w:rPr>
        <w:t>By the late nineteenth century, two temporalities occupied the same city. Geological and evolutionary sciences stretched the past beyond imagination, while railways, factories, telegraphs, and artificial light compressed the practical present. One movement made human history vanishingly brief; the other demanded that each minute be coordinated and productive.</w:t>
      </w:r>
    </w:p>
    <w:p w14:paraId="21BE07D2" w14:textId="77777777" w:rsidR="004A6C7A" w:rsidRDefault="007849EA">
      <w:pPr>
        <w:pStyle w:val="BookBody"/>
      </w:pPr>
      <w:r>
        <w:rPr>
          <w:szCs w:val="28"/>
        </w:rPr>
        <w:t>The contradiction was only apparent. Industrial acceleration depended on deep time. Coal made ancient biological accumulation available to the schedule of the machine. Steel rails joined mineral extraction to synchronized transport. Gas and electric light extended activity beyond solar rhythms. The faster present was powered by a slower Earth whose conditions could not be replenished on the timescale of consumption.</w:t>
      </w:r>
    </w:p>
    <w:p w14:paraId="123EBDBC" w14:textId="77777777" w:rsidR="004A6C7A" w:rsidRDefault="007849EA">
      <w:pPr>
        <w:pStyle w:val="BookBody"/>
      </w:pPr>
      <w:r>
        <w:rPr>
          <w:szCs w:val="28"/>
        </w:rPr>
        <w:t>This coupling changed the meaning of consequence. Smoke dispersed from a chimney and seemed local; carbon dioxide entered a circulating atmosphere and persisted. A railway embankment altered a valley immediately; expanded extraction reorganized regions over generations. Industrial systems multiplied effects whose causes and victims were separated by distance and time.</w:t>
      </w:r>
    </w:p>
    <w:p w14:paraId="0C01A2DA" w14:textId="77777777" w:rsidR="004A6C7A" w:rsidRDefault="007849EA">
      <w:pPr>
        <w:pStyle w:val="BookBody"/>
      </w:pPr>
      <w:r>
        <w:rPr>
          <w:szCs w:val="28"/>
        </w:rPr>
        <w:t>Planetary history becomes necessary when those separations can no longer be treated as externalities. The atmosphere, ocean, soils, and living systems integrate actions that markets and states record separately. Human beings act as differentiated societies, not as one undivided agent, yet the resulting transformations enter Earth systems that do not respect political borders.</w:t>
      </w:r>
    </w:p>
    <w:p w14:paraId="35D13899" w14:textId="77777777" w:rsidR="004A6C7A" w:rsidRDefault="007849EA">
      <w:pPr>
        <w:pStyle w:val="BookBody"/>
      </w:pPr>
      <w:r>
        <w:rPr>
          <w:szCs w:val="28"/>
        </w:rPr>
        <w:t>The industrial Earth is therefore neither a passive stage nor a moral person. It is a historical system that stores, transforms, and feeds back the consequences of action. Its indifference to human purpose does not mean it is inert. The atmosphere answers combustion physically; bodies answer pollution physiologically; climates answer accumulated forcing over time. Meaning is not guaranteed, but consequences are real.</w:t>
      </w:r>
    </w:p>
    <w:p w14:paraId="36751049" w14:textId="77777777" w:rsidR="004A6C7A" w:rsidRDefault="007849EA">
      <w:pPr>
        <w:pStyle w:val="SectionHeading"/>
      </w:pPr>
      <w:r>
        <w:t>The Atmospheric Archive</w:t>
      </w:r>
    </w:p>
    <w:p w14:paraId="43FE9E08" w14:textId="77777777" w:rsidR="004A6C7A" w:rsidRDefault="007849EA">
      <w:pPr>
        <w:pStyle w:val="BookBody"/>
      </w:pPr>
      <w:r>
        <w:t>Geology taught investigators to read past environments from material deposits. Industrialization began to create deposits of its own: soot in sediments and ice, altered chemical signatures, mine spoil, slag, concrete, metals, plastics, radionuclides, and the changing composition of the atmosphere. The archive was no longer only inherited. It was being written at industrial speed.</w:t>
      </w:r>
    </w:p>
    <w:p w14:paraId="1A0166C2" w14:textId="77777777" w:rsidR="004A6C7A" w:rsidRDefault="007849EA">
      <w:pPr>
        <w:pStyle w:val="BookBody"/>
      </w:pPr>
      <w:r>
        <w:t>The atmosphere is an archive without visible pages. Carbon dioxide mixes beyond the place of combustion, remains for long intervals, and alters the balance by which energy moves through the climate system. No individual molecule carries a moral label. The historical difference lies in the institutions, fuels, and unequal activities that changed the aggregate.</w:t>
      </w:r>
    </w:p>
    <w:p w14:paraId="42CFEFC0" w14:textId="77777777" w:rsidR="004A6C7A" w:rsidRDefault="007849EA">
      <w:pPr>
        <w:pStyle w:val="BookBody"/>
      </w:pPr>
      <w:r>
        <w:t>This invisibility complicates responsibility. A coal fire is local and transient to the senses; its climatic contribution is dispersed and delayed. Political systems organized around short terms and territorial jurisdictions confront processes that accumulate across borders and generations. The causal chain is scientifically traceable while remaining experientially difficult to grasp.</w:t>
      </w:r>
    </w:p>
    <w:p w14:paraId="3E2D7955" w14:textId="77777777" w:rsidR="004A6C7A" w:rsidRDefault="007849EA">
      <w:pPr>
        <w:pStyle w:val="BookBody"/>
      </w:pPr>
      <w:r>
        <w:t xml:space="preserve">Planetary history therefore requires representations comparable in ambition to the stratigraphic section and Humboldt's </w:t>
      </w:r>
      <w:r>
        <w:rPr>
          <w:i/>
        </w:rPr>
        <w:t>Naturgemälde</w:t>
      </w:r>
      <w:r>
        <w:t>: graphs, maps, ice cores, models, emissions inventories, satellite images, and scenarios. Such instruments make relations visible, but they do not by themselves decide how burdens should be shared. Measurement discloses a common atmosphere; justice interprets unequal histories within it.</w:t>
      </w:r>
      <w:r>
        <w:rPr>
          <w:vertAlign w:val="superscript"/>
        </w:rPr>
        <w:t>32</w:t>
      </w:r>
    </w:p>
    <w:p w14:paraId="719490E3" w14:textId="77777777" w:rsidR="004A6C7A" w:rsidRDefault="007849EA">
      <w:pPr>
        <w:pStyle w:val="BookBody"/>
      </w:pPr>
      <w:r>
        <w:t>The atmospheric archive reverses the fossil relation. Fossils bring a vanished past into the present as stone. Greenhouse gases carry present combustion into the future as altered conditions. One archive is excavated; the other is emitted. Both join moments that ordinary experience keeps apart.</w:t>
      </w:r>
    </w:p>
    <w:p w14:paraId="6B873A97" w14:textId="77777777" w:rsidR="004A6C7A" w:rsidRDefault="007849EA">
      <w:pPr>
        <w:pStyle w:val="SectionHeading"/>
      </w:pPr>
      <w:r>
        <w:rPr>
          <w:rFonts w:cstheme="majorBidi"/>
          <w:bCs/>
          <w:color w:val="2E74B5"/>
          <w:szCs w:val="28"/>
        </w:rPr>
        <w:t>Acceleration Is Unequally Lived</w:t>
      </w:r>
    </w:p>
    <w:p w14:paraId="3DDFA2E0" w14:textId="77777777" w:rsidR="004A6C7A" w:rsidRDefault="007849EA">
      <w:pPr>
        <w:pStyle w:val="BookBody"/>
      </w:pPr>
      <w:r>
        <w:rPr>
          <w:szCs w:val="28"/>
        </w:rPr>
        <w:t>Acceleration was never lived uniformly. The railway passenger experienced distance as compressed while the navvy, miner, porter, and signal worker experienced the bodily discipline required to produce that compression. The factory owner could treat the clock as a measure of output; the worker experienced it as an authority separating paid minutes from the older variability of task, season, and household need.</w:t>
      </w:r>
    </w:p>
    <w:p w14:paraId="47783421" w14:textId="77777777" w:rsidR="004A6C7A" w:rsidRDefault="007849EA">
      <w:pPr>
        <w:pStyle w:val="BookBody"/>
      </w:pPr>
      <w:r>
        <w:rPr>
          <w:szCs w:val="28"/>
        </w:rPr>
        <w:t>Artificial light similarly divided the night. Illuminated streets promised safety, consumption, spectacle, and extended sociability. Night work also lengthened shifts and weakened darkness as a limit on production. The bright center depended on fuel extraction, gasworks, generating stations, maintenance crews, and neighborhoods exposed to smoke, glare, or danger.</w:t>
      </w:r>
    </w:p>
    <w:p w14:paraId="6974BE23" w14:textId="77777777" w:rsidR="004A6C7A" w:rsidRDefault="007849EA">
      <w:pPr>
        <w:pStyle w:val="BookBody"/>
      </w:pPr>
      <w:r>
        <w:rPr>
          <w:szCs w:val="28"/>
        </w:rPr>
        <w:t>The geography of industrial consequence extended beyond the city. Cotton factories coupled coal and machinery to plantation slavery and colonial land. Metal production joined mines, forests, furnaces, railways, and imperial demand. Food and raw materials moved through ports whose efficiency depended on coercive labor regimes elsewhere. Industrial Earth was planetary before its atmospheric effects were fully understood.</w:t>
      </w:r>
    </w:p>
    <w:p w14:paraId="3EAF30FD" w14:textId="77777777" w:rsidR="004A6C7A" w:rsidRDefault="007849EA">
      <w:pPr>
        <w:pStyle w:val="BookBody"/>
      </w:pPr>
      <w:r>
        <w:rPr>
          <w:szCs w:val="28"/>
        </w:rPr>
        <w:t xml:space="preserve">These connections prevent </w:t>
      </w:r>
      <w:r>
        <w:rPr>
          <w:i/>
          <w:szCs w:val="28"/>
        </w:rPr>
        <w:t>humanity</w:t>
      </w:r>
      <w:r>
        <w:rPr>
          <w:szCs w:val="28"/>
        </w:rPr>
        <w:t xml:space="preserve"> from serving as a sufficient historical agent. Human beings as a species possess capacities for combustion and transformation, but societies organize those capacities unequally. Owners, states, consumers, workers, colonized peoples, and future generations do not exercise the same power or receive the same benefits and injuries.</w:t>
      </w:r>
    </w:p>
    <w:p w14:paraId="61F71F71" w14:textId="77777777" w:rsidR="004A6C7A" w:rsidRDefault="007849EA">
      <w:pPr>
        <w:pStyle w:val="BookBody"/>
      </w:pPr>
      <w:r>
        <w:rPr>
          <w:szCs w:val="28"/>
        </w:rPr>
        <w:t>The distinction matters when deep time returns as responsibility. A coal seam may be millions of years old, but the decision to develop it occurs within a legal and economic order. Atmospheric molecules do not preserve moral labels, yet historical inquiry can reconstruct who knew, who profited, who lacked alternatives, and who bore risk. Planetary causation and political accountability operate at different scales and must be joined without confusion.</w:t>
      </w:r>
    </w:p>
    <w:p w14:paraId="607E2178" w14:textId="77777777" w:rsidR="004A6C7A" w:rsidRDefault="007849EA">
      <w:pPr>
        <w:pStyle w:val="BookBody"/>
      </w:pPr>
      <w:r>
        <w:rPr>
          <w:szCs w:val="28"/>
        </w:rPr>
        <w:t>Industrial systems also create inertia. A family may depend on a coal-heated house, a worker on a mine, a city on rail freight, and a state on fossil revenue. The resulting emissions are not explained by individual appetite alone. Infrastructure channels action and makes some choices cheap, normal, or necessary while rendering others difficult.</w:t>
      </w:r>
    </w:p>
    <w:p w14:paraId="61D6D641" w14:textId="77777777" w:rsidR="004A6C7A" w:rsidRDefault="007849EA">
      <w:pPr>
        <w:pStyle w:val="BookBody"/>
      </w:pPr>
      <w:r>
        <w:rPr>
          <w:szCs w:val="28"/>
        </w:rPr>
        <w:t>This is the social counterpart to Darwinian history. Present structures inherit paths they did not design, yet inheritance does not remove agency. Variation remains possible within constraints; institutions can be redirected; consequences can be anticipated. Historical explanation identifies why change is difficult without declaring it impossible.</w:t>
      </w:r>
    </w:p>
    <w:p w14:paraId="09E65767" w14:textId="77777777" w:rsidR="004A6C7A" w:rsidRDefault="007849EA">
      <w:pPr>
        <w:pStyle w:val="BookBody"/>
      </w:pPr>
      <w:r>
        <w:rPr>
          <w:szCs w:val="28"/>
        </w:rPr>
        <w:t>The loss of the night sky is a small but revealing consequence. It can be measured as radiance and described as ecological disturbance, energy waste, cultural deprivation, and the disappearance of celestial orientation. No one description exhausts the loss. The industrial system alters both physical environments and the forms through which people imagine their place in a cosmos.</w:t>
      </w:r>
    </w:p>
    <w:p w14:paraId="64B3D173" w14:textId="77777777" w:rsidR="004A6C7A" w:rsidRDefault="007849EA">
      <w:pPr>
        <w:pStyle w:val="BookBody"/>
      </w:pPr>
      <w:r>
        <w:rPr>
          <w:szCs w:val="28"/>
        </w:rPr>
        <w:t>By the time climate becomes a planetary problem, the old opposition between human history and natural history has failed. Economies act through geology; atmospheres register political decisions; bodies absorb industrial by-products; technologies reorganize perception. The Earth is indifferent to our moral categories, but the history of its transformation is saturated with them.</w:t>
      </w:r>
    </w:p>
    <w:p w14:paraId="61770A1C" w14:textId="77777777" w:rsidR="004A6C7A" w:rsidRDefault="007849EA">
      <w:pPr>
        <w:pStyle w:val="BookBody"/>
      </w:pPr>
      <w:r>
        <w:rPr>
          <w:szCs w:val="28"/>
        </w:rPr>
        <w:t>Deep time and acceleration also transform the scale of ignorance. A geological process may be certain in direction while uncertain in local timing; an evolutionary outcome may be intelligible in retrospect without having been predictable in detail; an industrial intervention may produce effects that appear only after infrastructures have become difficult to change. Knowledge must act before every consequence is visible.</w:t>
      </w:r>
    </w:p>
    <w:p w14:paraId="2ECBAC24" w14:textId="77777777" w:rsidR="004A6C7A" w:rsidRDefault="007849EA">
      <w:pPr>
        <w:pStyle w:val="BookBody"/>
      </w:pPr>
      <w:r>
        <w:rPr>
          <w:szCs w:val="28"/>
        </w:rPr>
        <w:t>This is not a license for panic or prophecy. It is a reason to treat irreversibility as evidence. Extinction cannot be repaired by later abundance, a depleted seam cannot be restored on a human schedule, and accumulated atmospheric change cannot be recalled like a defective commodity. Some uncertainty increases the case for caution because the losses would close future possibilities.</w:t>
      </w:r>
    </w:p>
    <w:p w14:paraId="56979DFE" w14:textId="77777777" w:rsidR="004A6C7A" w:rsidRDefault="007849EA">
      <w:pPr>
        <w:pStyle w:val="BookBody"/>
      </w:pPr>
      <w:r>
        <w:rPr>
          <w:szCs w:val="28"/>
        </w:rPr>
        <w:t>The Earth disclosed by geology and evolution is creative without being benevolent. It generates forms and destroys them, preserves traces and erases them, makes resources and withholds them. Industrial society converts that creativity into an assumption of availability: if one deposit is exhausted, another source or technique will appear. Deep history provides no warranty for that expectation.</w:t>
      </w:r>
    </w:p>
    <w:p w14:paraId="11950CF7" w14:textId="77777777" w:rsidR="004A6C7A" w:rsidRDefault="007849EA">
      <w:pPr>
        <w:pStyle w:val="BookBody"/>
      </w:pPr>
      <w:r>
        <w:rPr>
          <w:szCs w:val="28"/>
        </w:rPr>
        <w:t>Nor does the absence of cosmic purpose excuse indifference. Darwinian nature does not command preservation, but living beings value conditions of life, societies inherit obligations, and knowledge reveals preventable harms. Ethics need not be written into the strata in order to answer what the strata make possible and vulnerable.</w:t>
      </w:r>
    </w:p>
    <w:p w14:paraId="1E1F2498" w14:textId="77777777" w:rsidR="004A6C7A" w:rsidRDefault="007849EA">
      <w:pPr>
        <w:pStyle w:val="BookBody"/>
      </w:pPr>
      <w:r>
        <w:rPr>
          <w:szCs w:val="28"/>
        </w:rPr>
        <w:t>At this point the loss of cosmological guarantee becomes a psychological event. A species able to reconstruct vanished worlds and alter planetary systems must act without assurance that history bends toward justice or recovery. The old powers return as compulsion, guilt, affirmation, symbol, and fate within the modern self.</w:t>
      </w:r>
    </w:p>
    <w:p w14:paraId="2BCB8BEC" w14:textId="77777777" w:rsidR="004A6C7A" w:rsidRDefault="007849EA">
      <w:pPr>
        <w:pStyle w:val="BookBody"/>
      </w:pPr>
      <w:r>
        <w:rPr>
          <w:szCs w:val="28"/>
        </w:rPr>
        <w:t>The psychological turn is not an escape from industrial Earth. Factory discipline becomes habit, urban acceleration becomes nervous strain, commodity relations shape desire, and inherited moral languages organize guilt. The exterior system enters the person as tempo, expectation, and conflict.</w:t>
      </w:r>
    </w:p>
    <w:p w14:paraId="3AC3B91F" w14:textId="77777777" w:rsidR="004A6C7A" w:rsidRDefault="007849EA">
      <w:pPr>
        <w:pStyle w:val="BookBody"/>
      </w:pPr>
      <w:r>
        <w:rPr>
          <w:szCs w:val="28"/>
        </w:rPr>
        <w:t>Nor is the person merely a passive imprint of structure. Workers resist clocks, communities defend places, writers reconstruct lost skies, and scientists make consequences perceptible. Historical forces become inward pressures, but inward life can also become a site from which arrangements are judged.</w:t>
      </w:r>
    </w:p>
    <w:p w14:paraId="01A1B2AE" w14:textId="77777777" w:rsidR="004A6C7A" w:rsidRDefault="007849EA">
      <w:pPr>
        <w:pStyle w:val="BookBody"/>
      </w:pPr>
      <w:r>
        <w:rPr>
          <w:szCs w:val="28"/>
        </w:rPr>
        <w:t>Chapter 20 begins at this crossing. It asks how modern thought names powers that are experienced as necessary but no longer assigned to a publicly ordered cosmos. The answer will move through drives, dreams, archetypes, and forms of consciousness before returning to the world of living relations.</w:t>
      </w:r>
    </w:p>
    <w:p w14:paraId="33507D93" w14:textId="77777777" w:rsidR="004A6C7A" w:rsidRDefault="007849EA">
      <w:pPr>
        <w:pStyle w:val="BookBody"/>
      </w:pPr>
      <w:r>
        <w:rPr>
          <w:szCs w:val="28"/>
        </w:rPr>
        <w:t>This return inward also bears the marks of class and institution. The clinic, university, publishing market, and consulting room determine whose suffering becomes a case, whose memories become theory, and whose symbols become universal. The modern psyche is not found outside the industrial order; it is one of the sites in which that order becomes legible.</w:t>
      </w:r>
    </w:p>
    <w:p w14:paraId="31EE4B5E" w14:textId="77777777" w:rsidR="004A6C7A" w:rsidRDefault="007849EA">
      <w:pPr>
        <w:pStyle w:val="BookBody"/>
      </w:pPr>
      <w:r>
        <w:rPr>
          <w:szCs w:val="28"/>
        </w:rPr>
        <w:t>The sequence from coal seam to dream record is therefore continuous without being reductive. Material systems shape tempo and conflict, while psychic formations transform what they inherit. The person is neither an autonomous interior nor a mechanical effect of industry, but a historical organization in which outer arrangements acquire affective and symbolic life.</w:t>
      </w:r>
    </w:p>
    <w:p w14:paraId="1DCE27C2" w14:textId="77777777" w:rsidR="004A6C7A" w:rsidRDefault="007849EA">
      <w:pPr>
        <w:pStyle w:val="SectionHeading"/>
      </w:pPr>
      <w:r>
        <w:t>Deep Time Accelerated</w:t>
      </w:r>
    </w:p>
    <w:p w14:paraId="08D80E11" w14:textId="77777777" w:rsidR="004A6C7A" w:rsidRDefault="007849EA">
      <w:pPr>
        <w:pStyle w:val="BookBody"/>
      </w:pPr>
      <w:r>
        <w:t>The industrial Earth joins times that had previously remained apart. Carboniferous ecosystems become Victorian steam. Geological strata guide mines. Steam drains deeper seams. Railways distribute coal and bring geological cuttings before passengers. Factory clocks convert energy into scheduled output. Artificial light detaches work from sunset. Atmospheric accumulation carries the consequences beyond the life of the machinery that caused it.</w:t>
      </w:r>
    </w:p>
    <w:p w14:paraId="63A05011" w14:textId="77777777" w:rsidR="004A6C7A" w:rsidRDefault="007849EA">
      <w:pPr>
        <w:pStyle w:val="BookBody"/>
      </w:pPr>
      <w:r>
        <w:t>Acceleration does not make deep time disappear. It makes deep time active in the present. Fossil fuel is the past entering combustion; climate change is combustion entering the future. The industrial moment stands between two durations it did not create and cannot fully control.</w:t>
      </w:r>
    </w:p>
    <w:p w14:paraId="182C92FA" w14:textId="77777777" w:rsidR="004A6C7A" w:rsidRDefault="007849EA">
      <w:pPr>
        <w:pStyle w:val="BookBody"/>
      </w:pPr>
      <w:r>
        <w:t>This temporal structure explains why industrial modernity feels both powerful and trapped. It can mobilize ancient stores at extraordinary speed, yet it inherits the material consequences of earlier choices. It shortens travel time while lengthening chains of dependence. It accelerates production while committing future generations to infrastructures, wastes, altered climates, and extinctions.</w:t>
      </w:r>
    </w:p>
    <w:p w14:paraId="010F471B" w14:textId="77777777" w:rsidR="004A6C7A" w:rsidRDefault="007849EA">
      <w:pPr>
        <w:pStyle w:val="BookBody"/>
      </w:pPr>
      <w:r>
        <w:t>Geology once diminished human pretension by placing recorded history inside an abyss of time. Industrialization produced the opposite shock: a brief human interval could leave geological traces. Humanity was small in duration yet large in effect. The apparent contradiction is the signature of planetary agency.</w:t>
      </w:r>
    </w:p>
    <w:p w14:paraId="422798D2" w14:textId="77777777" w:rsidR="004A6C7A" w:rsidRDefault="007849EA">
      <w:pPr>
        <w:pStyle w:val="SectionHeading"/>
      </w:pPr>
      <w:r>
        <w:t>Powers Driven Inward</w:t>
      </w:r>
    </w:p>
    <w:p w14:paraId="041E8B1B" w14:textId="77777777" w:rsidR="004A6C7A" w:rsidRDefault="007849EA">
      <w:pPr>
        <w:pStyle w:val="BookBody"/>
      </w:pPr>
      <w:r>
        <w:t>The old cosmos had placed powers outside and around the human being: gods, stars, elements, sympathies, spirits, purposes, and living hierarchies. Mechanical philosophy withdrew many of those agencies from nature. Geology and evolution completed no simple evacuation. They returned creativity to matter and life, but without restoring a universal intention.</w:t>
      </w:r>
    </w:p>
    <w:p w14:paraId="22CB4F72" w14:textId="77777777" w:rsidR="004A6C7A" w:rsidRDefault="007849EA">
      <w:pPr>
        <w:pStyle w:val="BookBody"/>
      </w:pPr>
      <w:r>
        <w:t>Industrial systems then captured these powers as forces. Heat, pressure, electricity, chemical affinity, labor, and time were measured, disciplined, and converted. The world became more active in science and more available in economy. Its activity no longer guaranteed meaning; its availability no longer guaranteed safety.</w:t>
      </w:r>
    </w:p>
    <w:p w14:paraId="6CB38A93" w14:textId="77777777" w:rsidR="004A6C7A" w:rsidRDefault="007849EA">
      <w:pPr>
        <w:pStyle w:val="BookBody"/>
      </w:pPr>
      <w:r>
        <w:t>The resulting human subject faced a nature that was ancient, generative, and indifferent, and a society that demanded acceleration, punctuality, productivity, and adaptation. What had once been read cosmically could now be experienced inwardly: restless drive, exhaustion, symptom, dream, compulsion, archetype, and the obscure pressure of a life not transparent to itself.</w:t>
      </w:r>
    </w:p>
    <w:p w14:paraId="3ED81227" w14:textId="77777777" w:rsidR="004A6C7A" w:rsidRDefault="007849EA">
      <w:pPr>
        <w:pStyle w:val="BookBody"/>
      </w:pPr>
      <w:r>
        <w:t>The next chapter turns to that interior return. Nietzsche will treat becoming without cosmic purpose as a philosophical and physiological problem rather than a conclusion to be mourned from outside. Freud will find forces in the psyche that exceed conscious command. Jung will translate older figures into archetypal patterns. The powers have not vanished. They have crossed the boundary of the self.</w:t>
      </w:r>
    </w:p>
    <w:p w14:paraId="023D399D" w14:textId="77777777" w:rsidR="004A6C7A" w:rsidRDefault="007849EA">
      <w:pPr>
        <w:pStyle w:val="NotesHeading"/>
      </w:pPr>
      <w:r>
        <w:t>Notes</w:t>
      </w:r>
    </w:p>
    <w:p w14:paraId="01D7EE8A" w14:textId="77777777" w:rsidR="004A6C7A" w:rsidRDefault="007849EA">
      <w:pPr>
        <w:pStyle w:val="NoteEntry"/>
      </w:pPr>
      <w:r>
        <w:t xml:space="preserve">1. James Hutton, "Theory of the Earth; or an Investigation of the Laws Observable in the Composition, Dissolution, and Restoration of Land upon the Globe," </w:t>
      </w:r>
      <w:r>
        <w:rPr>
          <w:i/>
        </w:rPr>
        <w:t>Transactions of the Royal Society of Edinburgh</w:t>
      </w:r>
      <w:r>
        <w:t xml:space="preserve"> 1 (1788): 209-304, esp. 209-16 and 284-304.</w:t>
      </w:r>
    </w:p>
    <w:p w14:paraId="53E6E7F2" w14:textId="77777777" w:rsidR="004A6C7A" w:rsidRDefault="007849EA">
      <w:pPr>
        <w:pStyle w:val="NoteEntry"/>
      </w:pPr>
      <w:r>
        <w:t xml:space="preserve">2. Stephen Jay Gould, </w:t>
      </w:r>
      <w:r>
        <w:rPr>
          <w:i/>
        </w:rPr>
        <w:t>Time's Arrow, Time's Cycle: Myth and Metaphor in the Discovery of Geological Time</w:t>
      </w:r>
      <w:r>
        <w:t xml:space="preserve"> (Cambridge, MA: Harvard University Press, 1987), 67-104.</w:t>
      </w:r>
    </w:p>
    <w:p w14:paraId="5C5D0826" w14:textId="77777777" w:rsidR="004A6C7A" w:rsidRDefault="007849EA">
      <w:pPr>
        <w:pStyle w:val="NoteEntry"/>
      </w:pPr>
      <w:r>
        <w:t>3. Hutton, "Theory of the Earth," 284-304.</w:t>
      </w:r>
    </w:p>
    <w:p w14:paraId="780E78D0" w14:textId="77777777" w:rsidR="004A6C7A" w:rsidRDefault="007849EA">
      <w:pPr>
        <w:pStyle w:val="NoteEntry"/>
      </w:pPr>
      <w:r>
        <w:t xml:space="preserve">4. Martin J. S. Rudwick, </w:t>
      </w:r>
      <w:r>
        <w:rPr>
          <w:i/>
        </w:rPr>
        <w:t>Worlds Before Adam: The Reconstruction of Geohistory in the Age of Reform</w:t>
      </w:r>
      <w:r>
        <w:t xml:space="preserve"> (Chicago: University of Chicago Press, 2008), 19-36, 159-94.</w:t>
      </w:r>
    </w:p>
    <w:p w14:paraId="5E3DA9B0" w14:textId="77777777" w:rsidR="004A6C7A" w:rsidRDefault="007849EA">
      <w:pPr>
        <w:pStyle w:val="NoteEntry"/>
      </w:pPr>
      <w:r>
        <w:t xml:space="preserve">5. Charles Lyell, </w:t>
      </w:r>
      <w:r>
        <w:rPr>
          <w:i/>
        </w:rPr>
        <w:t>Principles of Geology</w:t>
      </w:r>
      <w:r>
        <w:t>, 3 vols. (London: John Murray, 1830-33), 1:1-90; 3:352-93.</w:t>
      </w:r>
    </w:p>
    <w:p w14:paraId="7EA3B4F4" w14:textId="77777777" w:rsidR="004A6C7A" w:rsidRDefault="007849EA">
      <w:pPr>
        <w:pStyle w:val="NoteEntry"/>
      </w:pPr>
      <w:r>
        <w:t xml:space="preserve">6. Gould, </w:t>
      </w:r>
      <w:r>
        <w:rPr>
          <w:i/>
        </w:rPr>
        <w:t>Time's Arrow, Time's Cycle</w:t>
      </w:r>
      <w:r>
        <w:t>, 105-79.</w:t>
      </w:r>
    </w:p>
    <w:p w14:paraId="6961E3AF" w14:textId="77777777" w:rsidR="004A6C7A" w:rsidRDefault="007849EA">
      <w:pPr>
        <w:pStyle w:val="NoteEntry"/>
      </w:pPr>
      <w:r>
        <w:t xml:space="preserve">7. Rudwick, </w:t>
      </w:r>
      <w:r>
        <w:rPr>
          <w:i/>
        </w:rPr>
        <w:t>Worlds Before Adam</w:t>
      </w:r>
      <w:r>
        <w:t>, 311-96.</w:t>
      </w:r>
    </w:p>
    <w:p w14:paraId="6B6891E7" w14:textId="77777777" w:rsidR="004A6C7A" w:rsidRDefault="007849EA">
      <w:pPr>
        <w:pStyle w:val="NoteEntry"/>
      </w:pPr>
      <w:r>
        <w:t xml:space="preserve">8. Charles Darwin, </w:t>
      </w:r>
      <w:r>
        <w:rPr>
          <w:i/>
        </w:rPr>
        <w:t>On the Origin of Species by Means of Natural Selection</w:t>
      </w:r>
      <w:r>
        <w:t xml:space="preserve"> (London: John Murray, 1859), 62-79.</w:t>
      </w:r>
    </w:p>
    <w:p w14:paraId="25B24940" w14:textId="77777777" w:rsidR="004A6C7A" w:rsidRDefault="007849EA">
      <w:pPr>
        <w:pStyle w:val="NoteEntry"/>
      </w:pPr>
      <w:r>
        <w:t xml:space="preserve">9. Darwin, </w:t>
      </w:r>
      <w:r>
        <w:rPr>
          <w:i/>
        </w:rPr>
        <w:t>Origin of Species</w:t>
      </w:r>
      <w:r>
        <w:t>, 80-130.</w:t>
      </w:r>
    </w:p>
    <w:p w14:paraId="43B0D951" w14:textId="77777777" w:rsidR="004A6C7A" w:rsidRDefault="007849EA">
      <w:pPr>
        <w:pStyle w:val="NoteEntry"/>
      </w:pPr>
      <w:r>
        <w:t xml:space="preserve">10. Darwin, </w:t>
      </w:r>
      <w:r>
        <w:rPr>
          <w:i/>
        </w:rPr>
        <w:t>Origin of Species</w:t>
      </w:r>
      <w:r>
        <w:t>, 116-25.</w:t>
      </w:r>
    </w:p>
    <w:p w14:paraId="728DD3B0" w14:textId="77777777" w:rsidR="004A6C7A" w:rsidRDefault="007849EA">
      <w:pPr>
        <w:pStyle w:val="NoteEntry"/>
      </w:pPr>
      <w:r>
        <w:t xml:space="preserve">11. Darwin, </w:t>
      </w:r>
      <w:r>
        <w:rPr>
          <w:i/>
        </w:rPr>
        <w:t>Origin of Species</w:t>
      </w:r>
      <w:r>
        <w:t>, 279-311.</w:t>
      </w:r>
    </w:p>
    <w:p w14:paraId="45FEE9EB" w14:textId="77777777" w:rsidR="004A6C7A" w:rsidRDefault="007849EA">
      <w:pPr>
        <w:pStyle w:val="NoteEntry"/>
      </w:pPr>
      <w:r>
        <w:t xml:space="preserve">12. Darwin, </w:t>
      </w:r>
      <w:r>
        <w:rPr>
          <w:i/>
        </w:rPr>
        <w:t>Origin of Species</w:t>
      </w:r>
      <w:r>
        <w:t>, 312-45, 489-90.</w:t>
      </w:r>
    </w:p>
    <w:p w14:paraId="5F60B443" w14:textId="77777777" w:rsidR="004A6C7A" w:rsidRDefault="007849EA">
      <w:pPr>
        <w:pStyle w:val="NoteEntry"/>
      </w:pPr>
      <w:r>
        <w:t xml:space="preserve">13. E. A. Wrigley, </w:t>
      </w:r>
      <w:r>
        <w:rPr>
          <w:i/>
        </w:rPr>
        <w:t>Energy and the English Industrial Revolution</w:t>
      </w:r>
      <w:r>
        <w:t xml:space="preserve"> (Cambridge: Cambridge University Press, 2010), 1-31, 39-60.</w:t>
      </w:r>
    </w:p>
    <w:p w14:paraId="1BF04AA7" w14:textId="77777777" w:rsidR="004A6C7A" w:rsidRDefault="007849EA">
      <w:pPr>
        <w:pStyle w:val="NoteEntry"/>
      </w:pPr>
      <w:r>
        <w:t xml:space="preserve">14. Wrigley, </w:t>
      </w:r>
      <w:r>
        <w:rPr>
          <w:i/>
        </w:rPr>
        <w:t>Energy and the English Industrial Revolution</w:t>
      </w:r>
      <w:r>
        <w:t>, 107-23, 194-223.</w:t>
      </w:r>
    </w:p>
    <w:p w14:paraId="6C6CBA1D" w14:textId="77777777" w:rsidR="004A6C7A" w:rsidRDefault="007849EA">
      <w:pPr>
        <w:pStyle w:val="NoteEntry"/>
      </w:pPr>
      <w:r>
        <w:t xml:space="preserve">15. Wrigley, </w:t>
      </w:r>
      <w:r>
        <w:rPr>
          <w:i/>
        </w:rPr>
        <w:t>Energy and the English Industrial Revolution</w:t>
      </w:r>
      <w:r>
        <w:t>, 194-223.</w:t>
      </w:r>
    </w:p>
    <w:p w14:paraId="222CD563" w14:textId="77777777" w:rsidR="004A6C7A" w:rsidRDefault="007849EA">
      <w:pPr>
        <w:pStyle w:val="NoteEntry"/>
      </w:pPr>
      <w:r>
        <w:t xml:space="preserve">16. Andreas Malm, </w:t>
      </w:r>
      <w:r>
        <w:rPr>
          <w:i/>
        </w:rPr>
        <w:t>Fossil Capital: The Rise of Steam Power and the Roots of Global Warming</w:t>
      </w:r>
      <w:r>
        <w:t xml:space="preserve"> (London: Verso, 2016), 22-62, 82-111.</w:t>
      </w:r>
    </w:p>
    <w:p w14:paraId="2D02EB57" w14:textId="77777777" w:rsidR="004A6C7A" w:rsidRDefault="007849EA">
      <w:pPr>
        <w:pStyle w:val="NoteEntry"/>
      </w:pPr>
      <w:r>
        <w:t xml:space="preserve">17. Malm, </w:t>
      </w:r>
      <w:r>
        <w:rPr>
          <w:i/>
        </w:rPr>
        <w:t>Fossil Capital</w:t>
      </w:r>
      <w:r>
        <w:t xml:space="preserve">, 120-63, 208-25; Wrigley, </w:t>
      </w:r>
      <w:r>
        <w:rPr>
          <w:i/>
        </w:rPr>
        <w:t>Energy and the English Industrial Revolution</w:t>
      </w:r>
      <w:r>
        <w:t>, 194-223.</w:t>
      </w:r>
    </w:p>
    <w:p w14:paraId="640B412B" w14:textId="77777777" w:rsidR="004A6C7A" w:rsidRDefault="007849EA">
      <w:pPr>
        <w:pStyle w:val="NoteEntry"/>
      </w:pPr>
      <w:r>
        <w:t xml:space="preserve">18. E. P. Thompson, "Time, Work-Discipline, and Industrial Capitalism," </w:t>
      </w:r>
      <w:r>
        <w:rPr>
          <w:i/>
        </w:rPr>
        <w:t>Past &amp; Present</w:t>
      </w:r>
      <w:r>
        <w:t xml:space="preserve"> 38 (1967): 56-97, esp. 60-79.</w:t>
      </w:r>
    </w:p>
    <w:p w14:paraId="1ED00349" w14:textId="77777777" w:rsidR="004A6C7A" w:rsidRDefault="007849EA">
      <w:pPr>
        <w:pStyle w:val="NoteEntry"/>
      </w:pPr>
      <w:r>
        <w:t>19. Thompson, "Time, Work-Discipline, and Industrial Capitalism," 80-87.</w:t>
      </w:r>
    </w:p>
    <w:p w14:paraId="2D1ADA3E" w14:textId="77777777" w:rsidR="004A6C7A" w:rsidRDefault="007849EA">
      <w:pPr>
        <w:pStyle w:val="NoteEntry"/>
      </w:pPr>
      <w:r>
        <w:t xml:space="preserve">20. Wolfgang Schivelbusch, </w:t>
      </w:r>
      <w:r>
        <w:rPr>
          <w:i/>
        </w:rPr>
        <w:t>The Railway Journey: The Industrialization of Time and Space in the Nineteenth Century</w:t>
      </w:r>
      <w:r>
        <w:t xml:space="preserve"> (Berkeley: University of California Press, 1986), 33-54.</w:t>
      </w:r>
    </w:p>
    <w:p w14:paraId="7A334460" w14:textId="77777777" w:rsidR="004A6C7A" w:rsidRDefault="007849EA">
      <w:pPr>
        <w:pStyle w:val="NoteEntry"/>
      </w:pPr>
      <w:r>
        <w:t xml:space="preserve">21. Schivelbusch, </w:t>
      </w:r>
      <w:r>
        <w:rPr>
          <w:i/>
        </w:rPr>
        <w:t>Railway Journey</w:t>
      </w:r>
      <w:r>
        <w:t>, 33-70.</w:t>
      </w:r>
    </w:p>
    <w:p w14:paraId="1BD31E7F" w14:textId="77777777" w:rsidR="004A6C7A" w:rsidRDefault="007849EA">
      <w:pPr>
        <w:pStyle w:val="NoteEntry"/>
      </w:pPr>
      <w:r>
        <w:t xml:space="preserve">22. Schivelbusch, </w:t>
      </w:r>
      <w:r>
        <w:rPr>
          <w:i/>
        </w:rPr>
        <w:t>Railway Journey</w:t>
      </w:r>
      <w:r>
        <w:t>, 54-70.</w:t>
      </w:r>
    </w:p>
    <w:p w14:paraId="0D45BF4A" w14:textId="77777777" w:rsidR="004A6C7A" w:rsidRDefault="007849EA">
      <w:pPr>
        <w:pStyle w:val="NoteEntry"/>
      </w:pPr>
      <w:r>
        <w:t xml:space="preserve">23. Wolfgang Schivelbusch, </w:t>
      </w:r>
      <w:r>
        <w:rPr>
          <w:i/>
        </w:rPr>
        <w:t>Disenchanted Night: The Industrialization of Light in the Nineteenth Century</w:t>
      </w:r>
      <w:r>
        <w:t xml:space="preserve"> (Berkeley: University of California Press, 1988), 8-24.</w:t>
      </w:r>
    </w:p>
    <w:p w14:paraId="47C8227E" w14:textId="77777777" w:rsidR="004A6C7A" w:rsidRDefault="007849EA">
      <w:pPr>
        <w:pStyle w:val="NoteEntry"/>
      </w:pPr>
      <w:r>
        <w:t xml:space="preserve">24. Schivelbusch, </w:t>
      </w:r>
      <w:r>
        <w:rPr>
          <w:i/>
        </w:rPr>
        <w:t>Disenchanted Night</w:t>
      </w:r>
      <w:r>
        <w:t>, 32-64, 82-103.</w:t>
      </w:r>
    </w:p>
    <w:p w14:paraId="63E026D8" w14:textId="77777777" w:rsidR="004A6C7A" w:rsidRDefault="007849EA">
      <w:pPr>
        <w:pStyle w:val="NoteEntry"/>
      </w:pPr>
      <w:r>
        <w:t xml:space="preserve">25. Schivelbusch, </w:t>
      </w:r>
      <w:r>
        <w:rPr>
          <w:i/>
        </w:rPr>
        <w:t>Disenchanted Night</w:t>
      </w:r>
      <w:r>
        <w:t>, 117-34, 178-201.</w:t>
      </w:r>
    </w:p>
    <w:p w14:paraId="293F1BF7" w14:textId="77777777" w:rsidR="004A6C7A" w:rsidRDefault="007849EA">
      <w:pPr>
        <w:pStyle w:val="NoteEntry"/>
      </w:pPr>
      <w:r>
        <w:t xml:space="preserve">26. Schivelbusch, </w:t>
      </w:r>
      <w:r>
        <w:rPr>
          <w:i/>
        </w:rPr>
        <w:t>Disenchanted Night</w:t>
      </w:r>
      <w:r>
        <w:t>, 82-134.</w:t>
      </w:r>
    </w:p>
    <w:p w14:paraId="752090FE" w14:textId="77777777" w:rsidR="004A6C7A" w:rsidRDefault="007849EA">
      <w:pPr>
        <w:pStyle w:val="NoteEntry"/>
      </w:pPr>
      <w:r>
        <w:t xml:space="preserve">27. Dipesh Chakrabarty, </w:t>
      </w:r>
      <w:r>
        <w:rPr>
          <w:i/>
        </w:rPr>
        <w:t>The Climate of History in a Planetary Age</w:t>
      </w:r>
      <w:r>
        <w:t xml:space="preserve"> (Chicago: University of Chicago Press, 2021), 24-55.</w:t>
      </w:r>
    </w:p>
    <w:p w14:paraId="7D675E4D" w14:textId="77777777" w:rsidR="004A6C7A" w:rsidRDefault="007849EA">
      <w:pPr>
        <w:pStyle w:val="NoteEntry"/>
      </w:pPr>
      <w:r>
        <w:t xml:space="preserve">28. Chakrabarty, </w:t>
      </w:r>
      <w:r>
        <w:rPr>
          <w:i/>
        </w:rPr>
        <w:t>Climate of History</w:t>
      </w:r>
      <w:r>
        <w:t>, 67-94, 156-82.</w:t>
      </w:r>
    </w:p>
    <w:p w14:paraId="01999DE6" w14:textId="77777777" w:rsidR="004A6C7A" w:rsidRDefault="007849EA">
      <w:pPr>
        <w:pStyle w:val="NoteEntry"/>
      </w:pPr>
      <w:r>
        <w:t xml:space="preserve">29. Chakrabarty, </w:t>
      </w:r>
      <w:r>
        <w:rPr>
          <w:i/>
        </w:rPr>
        <w:t>Climate of History</w:t>
      </w:r>
      <w:r>
        <w:t>, 33-45, 156-82.</w:t>
      </w:r>
    </w:p>
    <w:p w14:paraId="7D4B1FA6" w14:textId="77777777" w:rsidR="004A6C7A" w:rsidRDefault="007849EA">
      <w:pPr>
        <w:pStyle w:val="NoteEntry"/>
      </w:pPr>
      <w:r>
        <w:t xml:space="preserve">30. Malm, </w:t>
      </w:r>
      <w:r>
        <w:rPr>
          <w:i/>
        </w:rPr>
        <w:t>Fossil Capital</w:t>
      </w:r>
      <w:r>
        <w:t xml:space="preserve">, 22-111, 208-25; Wrigley, </w:t>
      </w:r>
      <w:r>
        <w:rPr>
          <w:i/>
        </w:rPr>
        <w:t>Energy and the English Industrial Revolution</w:t>
      </w:r>
      <w:r>
        <w:t>, 1-31, 194-223.</w:t>
      </w:r>
    </w:p>
    <w:p w14:paraId="460A0BC1" w14:textId="77777777" w:rsidR="004A6C7A" w:rsidRDefault="007849EA">
      <w:pPr>
        <w:pStyle w:val="NoteEntry"/>
      </w:pPr>
      <w:r>
        <w:t xml:space="preserve">31. Chakrabarty, </w:t>
      </w:r>
      <w:r>
        <w:rPr>
          <w:i/>
        </w:rPr>
        <w:t>Climate of History</w:t>
      </w:r>
      <w:r>
        <w:t>, 33-45.</w:t>
      </w:r>
    </w:p>
    <w:p w14:paraId="0A71D870" w14:textId="77777777" w:rsidR="004A6C7A" w:rsidRDefault="007849EA">
      <w:pPr>
        <w:pStyle w:val="NoteEntry"/>
      </w:pPr>
      <w:r>
        <w:t xml:space="preserve">32. Chakrabarty, </w:t>
      </w:r>
      <w:r>
        <w:rPr>
          <w:i/>
        </w:rPr>
        <w:t>Climate of History</w:t>
      </w:r>
      <w:r>
        <w:t xml:space="preserve">, 156-82; Malm, </w:t>
      </w:r>
      <w:r>
        <w:rPr>
          <w:i/>
        </w:rPr>
        <w:t>Fossil Capital</w:t>
      </w:r>
      <w:r>
        <w:t>, 1-21, 367-90.</w:t>
      </w:r>
    </w:p>
    <w:p w14:paraId="4C88F4B0" w14:textId="77777777" w:rsidR="00F93551" w:rsidRDefault="00DD7D58">
      <w:pPr>
        <w:pStyle w:val="PartHeading"/>
      </w:pPr>
      <w:bookmarkStart w:id="25" w:name="toc_part_20"/>
      <w:r>
        <w:t>Part VI</w:t>
      </w:r>
      <w:r>
        <w:br/>
      </w:r>
      <w:r>
        <w:rPr>
          <w:sz w:val="40"/>
        </w:rPr>
        <w:t>The Return of Living Relation</w:t>
      </w:r>
      <w:bookmarkEnd w:id="25"/>
    </w:p>
    <w:p w14:paraId="3D1FE006" w14:textId="77777777" w:rsidR="004A6C7A" w:rsidRDefault="007849EA">
      <w:pPr>
        <w:pStyle w:val="ChapterHeading"/>
      </w:pPr>
      <w:bookmarkStart w:id="26" w:name="toc_chapter_20"/>
      <w:r>
        <w:rPr>
          <w:sz w:val="28"/>
        </w:rPr>
        <w:t>Chapter 20</w:t>
      </w:r>
      <w:r>
        <w:rPr>
          <w:sz w:val="28"/>
        </w:rPr>
        <w:br/>
      </w:r>
      <w:r>
        <w:t>The Psychological Afterlife of the Cosmos</w:t>
      </w:r>
      <w:bookmarkEnd w:id="26"/>
    </w:p>
    <w:p w14:paraId="0AE22917" w14:textId="77777777" w:rsidR="004A6C7A" w:rsidRDefault="007849EA">
      <w:pPr>
        <w:pStyle w:val="BookBody"/>
      </w:pPr>
      <w:r>
        <w:rPr>
          <w:szCs w:val="28"/>
        </w:rPr>
        <w:t>A modern natal chart preserves the old sky in an altered form. Around a circular wheel stand the signs, planets, houses, aspects, and angular divisions once used to judge seasons, temperaments, events, and fate. But in a twentieth-century consulting room the same diagram is often presented as a map of personality. Mars becomes aggression or initiative, Saturn inhibition or discipline, the houses domains of experience, and the aspects tensions within a life. Celestial powers have not disappeared from the page. Their address has changed.</w:t>
      </w:r>
    </w:p>
    <w:p w14:paraId="214F01D8" w14:textId="77777777" w:rsidR="004A6C7A" w:rsidRDefault="007849EA">
      <w:pPr>
        <w:pStyle w:val="BookBody"/>
      </w:pPr>
      <w:r>
        <w:rPr>
          <w:szCs w:val="28"/>
        </w:rPr>
        <w:t>The change is easy to mistake for simple survival. The symbols are ancient, the geometry still refers to a moment of birth, and the language may invoke destiny. Yet psychological astrology operates after astronomy has removed the planets from the role of purposive governors and after critical philosophy has made objective causal claims answerable to public evidence. The chart therefore works mainly as an interpretive device. It organizes memory, expectation, conflict, and self-description whether or not its celestial correlations can be demonstrated.</w:t>
      </w:r>
    </w:p>
    <w:p w14:paraId="6F066E91" w14:textId="77777777" w:rsidR="004A6C7A" w:rsidRDefault="007849EA">
      <w:pPr>
        <w:pStyle w:val="BookBody"/>
      </w:pPr>
      <w:r>
        <w:rPr>
          <w:szCs w:val="28"/>
        </w:rPr>
        <w:t>That object condenses the problem of this chapter. Where do gods, fate, conflict, and qualitative powers go when public cosmology no longer authorizes them? They do not simply vanish. They return as drive, affect, symptom, fantasy, archetype, coincidence, and form of consciousness. Psychology preserves their necessity while changing their ontological address.</w:t>
      </w:r>
    </w:p>
    <w:p w14:paraId="64CCAC3B" w14:textId="77777777" w:rsidR="004A6C7A" w:rsidRDefault="007849EA">
      <w:pPr>
        <w:pStyle w:val="BookBody"/>
      </w:pPr>
      <w:r>
        <w:rPr>
          <w:szCs w:val="28"/>
        </w:rPr>
        <w:t>The nineteenth century had already made nature more dynamic than clockwork. Geology disclosed lost worlds; evolution made living form historical; industrial systems released ancient energy into accelerated cities. Yet this active Earth offered no guarantee that its transformations answered human purposes. At the same time clinics, case histories, genealogies, dream records, and theories of nerves constructed a new field in which opacity could be located inside the person.</w:t>
      </w:r>
    </w:p>
    <w:p w14:paraId="1AF84181" w14:textId="77777777" w:rsidR="004A6C7A" w:rsidRDefault="007849EA">
      <w:pPr>
        <w:pStyle w:val="BookBody"/>
      </w:pPr>
      <w:r>
        <w:rPr>
          <w:szCs w:val="28"/>
        </w:rPr>
        <w:t xml:space="preserve">Nietzsche, Freud, Jung, and Wolfgang Giegerich do not form a school. They disagree about drives, sexuality, myth, history, and what the word </w:t>
      </w:r>
      <w:r>
        <w:rPr>
          <w:i/>
          <w:szCs w:val="28"/>
        </w:rPr>
        <w:t>soul</w:t>
      </w:r>
      <w:r>
        <w:rPr>
          <w:szCs w:val="28"/>
        </w:rPr>
        <w:t xml:space="preserve"> can still mean. Their sequence matters not as four intellectual biographies but as four attempts to understand relocation. Nietzsche turns values into arrangements of forces. Freud reconstructs intention from dream-work, repression, and compulsion. Jung makes mythic images and meaningful coincidence psychological facts. Giegerich asks whether even the symbolic interior has become historically obsolete, because soul now lives through the logical forms of modern consciousness.</w:t>
      </w:r>
    </w:p>
    <w:p w14:paraId="40F5C52F" w14:textId="77777777" w:rsidR="004A6C7A" w:rsidRDefault="007849EA">
      <w:pPr>
        <w:pStyle w:val="BookBody"/>
      </w:pPr>
      <w:r>
        <w:rPr>
          <w:szCs w:val="28"/>
        </w:rPr>
        <w:t>The inward turn recovers something indispensable. It gives conflict, inheritance, fantasy, and bodily pressure an authority the transparent ego cannot command. It also confines something. A mountain, animal, planet, or ritual can become meaningful chiefly as an image in a human psychic drama. The more-than-human world supplies symbols while its own modes of existence recede.</w:t>
      </w:r>
    </w:p>
    <w:p w14:paraId="2F9A7551" w14:textId="77777777" w:rsidR="004A6C7A" w:rsidRDefault="007849EA">
      <w:pPr>
        <w:pStyle w:val="BookBody"/>
      </w:pPr>
      <w:r>
        <w:rPr>
          <w:szCs w:val="28"/>
        </w:rPr>
        <w:t>The chapter therefore follows a double judgment. Psychological interpretation can rescue experience from dismissal without restoring the old cosmos as public fact. But it cannot by itself establish a shared world, and it may convert every exterior power into a possession of the psyche. The question is not whether the inward powers are real. It is whether inwardness is their final and sufficient home.</w:t>
      </w:r>
    </w:p>
    <w:p w14:paraId="539364B7" w14:textId="77777777" w:rsidR="004A6C7A" w:rsidRDefault="007849EA">
      <w:pPr>
        <w:pStyle w:val="SectionHeading"/>
      </w:pPr>
      <w:r>
        <w:t>When the Gods Became Drives</w:t>
      </w:r>
    </w:p>
    <w:p w14:paraId="588B9479" w14:textId="77777777" w:rsidR="004A6C7A" w:rsidRDefault="007849EA">
      <w:pPr>
        <w:pStyle w:val="BookBody"/>
      </w:pPr>
      <w:r>
        <w:t xml:space="preserve">Nietzsche gives this migration its most unsettling early form. He is often reduced to the sentence "God is dead," as though it announced a completed victory of science over superstition. His actual image is slower and stranger. Even after a Buddha has died, he writes in </w:t>
      </w:r>
      <w:r>
        <w:rPr>
          <w:i/>
        </w:rPr>
        <w:t>The Gay Science</w:t>
      </w:r>
      <w:r>
        <w:t>, people may continue for centuries to display his shadow in a cave. Europe will have to defeat the dead God's shadows as well. The object of belief may be gone while its habits of valuation survive in grammar, morality, science, and the need for a final ground.</w:t>
      </w:r>
      <w:r>
        <w:rPr>
          <w:vertAlign w:val="superscript"/>
        </w:rPr>
        <w:t>1</w:t>
      </w:r>
    </w:p>
    <w:p w14:paraId="7DCBD78B" w14:textId="77777777" w:rsidR="004A6C7A" w:rsidRDefault="007849EA">
      <w:pPr>
        <w:pStyle w:val="BookBody"/>
      </w:pPr>
      <w:r>
        <w:t>A shadow is not nothing. It organizes perception without appearing as a substance. Nietzsche's drives work in a similar register. They are not miniature persons hidden behind consciousness, and they are not the old deities wearing medical names. They are tendencies to select, rank, appropriate, avoid, discharge, remember, and interpret. What a person calls a reason may be the articulate edge of a struggle whose decisive work occurred elsewhere. Consciousness reports a settlement and mistakes itself for the sovereign that issued the law.</w:t>
      </w:r>
    </w:p>
    <w:p w14:paraId="1018FDCA" w14:textId="77777777" w:rsidR="004A6C7A" w:rsidRDefault="007849EA">
      <w:pPr>
        <w:pStyle w:val="BookBody"/>
      </w:pPr>
      <w:r>
        <w:t>This is why Nietzsche reads philosophy physiologically. A system may present itself as a chain of disinterested deductions while also expressing the hierarchy of its author's drives. The philosopher's metaphysics becomes an involuntary memoir, not because every proposition is reducible to illness, but because thinking is an activity of an embodied form of life. Concepts have temperatures, diets, rhythms, fears, and preferred horizons. The body is not an inert vehicle carrying a detachable reason. It is the changing multiplicity from which reason speaks.</w:t>
      </w:r>
      <w:r>
        <w:rPr>
          <w:vertAlign w:val="superscript"/>
        </w:rPr>
        <w:t>2</w:t>
      </w:r>
    </w:p>
    <w:p w14:paraId="29CCDF76" w14:textId="77777777" w:rsidR="004A6C7A" w:rsidRDefault="007849EA">
      <w:pPr>
        <w:pStyle w:val="BookBody"/>
      </w:pPr>
      <w:r>
        <w:t>The physiological language is deliberately provocative. Nineteenth-century biology, medicine, and theories of heredity supplied Nietzsche with models of struggle and incorporation, but he did not simply convert philosophy into Darwinism. Organisms, for him, are not passive machines whose parts contribute harmoniously to survival. They are provisional organizations of competing forces. Gregory Moore has shown how closely Nietzsche worked within the biological debates of his time while refusing to let adaptation become the final explanation of value. The body is historical, but its history is not a single march toward fitness.</w:t>
      </w:r>
    </w:p>
    <w:p w14:paraId="33A58ABC" w14:textId="77777777" w:rsidR="004A6C7A" w:rsidRDefault="007849EA">
      <w:pPr>
        <w:pStyle w:val="SectionHeading"/>
      </w:pPr>
      <w:r>
        <w:t>Nietzsche's Physiological Philosophy</w:t>
      </w:r>
    </w:p>
    <w:p w14:paraId="70C8121B" w14:textId="77777777" w:rsidR="004A6C7A" w:rsidRDefault="007849EA">
      <w:pPr>
        <w:pStyle w:val="BookBody"/>
      </w:pPr>
      <w:r>
        <w:t>The phrase "will to power" names one of Nietzsche's attempts to describe this active plurality. It is safest not to treat it as a finished cosmological system. Nietzsche's published works use it as an interpretation of life, valuation, psychology, and organization, while the grand doctrine of a universe composed of will-to-power quanta belongs largely to notes that he did not publish as a book. In the texts he authorized, the phrase is most illuminating when it prevents us from imagining life as mere self-preservation. Living beings do not only endure; they organize, interpret, incorporate, resist, and impose form.</w:t>
      </w:r>
      <w:r>
        <w:rPr>
          <w:vertAlign w:val="superscript"/>
        </w:rPr>
        <w:t>3</w:t>
      </w:r>
    </w:p>
    <w:p w14:paraId="466B7E69" w14:textId="77777777" w:rsidR="004A6C7A" w:rsidRDefault="007849EA">
      <w:pPr>
        <w:pStyle w:val="BookBody"/>
      </w:pPr>
      <w:r>
        <w:t>Power here is relational. It is not a quantity stored in an isolated subject like fuel in a tank. A drive becomes what it is through encounters with other drives, institutions, bodies, and constraints. Even obedience can be an organization of power; even ascetic renunciation can intensify a will by giving it an enemy within. Nietzsche's psychology therefore dissolves the clean boundary between inward motive and outward world. Social forms enter the body as habits. Bodily suffering enters morality as an argument. A value is an arrangement of forces before it is a sentence.</w:t>
      </w:r>
    </w:p>
    <w:p w14:paraId="24DD4B80" w14:textId="77777777" w:rsidR="004A6C7A" w:rsidRDefault="007849EA">
      <w:pPr>
        <w:pStyle w:val="BookBody"/>
      </w:pPr>
      <w:r>
        <w:t>This does not re-enchant nature with benevolent purpose. Nietzsche ridicules the wish to live "according to nature" when nature is imagined as reasonable, just, or economical. Nature is prodigal and indifferent, without intentions and without mercy. The critique falls on both Stoic providence and modern projections of moral order into natural law. To accept becoming is not to discover that the universe secretly shares our values. It is to cease requiring that it do so.</w:t>
      </w:r>
    </w:p>
    <w:p w14:paraId="58A640AB" w14:textId="77777777" w:rsidR="004A6C7A" w:rsidRDefault="007849EA">
      <w:pPr>
        <w:pStyle w:val="BookBody"/>
      </w:pPr>
      <w:r>
        <w:t>Yet the rejection of purpose does not make the world dead. Nietzsche's world is crowded with perspectives and contests, not because atoms possess opinions, but because every living organization responds selectively. To live is to distinguish nourishment from poison, ally from obstacle, foreground from background. Interpretation precedes the reflective interpreter. Meaning begins as orientation and valuation within life, not as a label pasted by a detached mind onto otherwise neutral data.</w:t>
      </w:r>
    </w:p>
    <w:p w14:paraId="7D0BD1C9" w14:textId="77777777" w:rsidR="004A6C7A" w:rsidRDefault="007849EA">
      <w:pPr>
        <w:pStyle w:val="BookBody"/>
      </w:pPr>
      <w:r>
        <w:t>That move changes the site of the cosmic question. Earlier cosmologies asked what order surrounded the human being and what intelligence sustained it. Nietzsche asks what kind of body needs a particular order to be true. The question no longer ascends from the world to its author. It descends into the conditions under which a world becomes credible. Metaphysics becomes diagnosis.</w:t>
      </w:r>
    </w:p>
    <w:p w14:paraId="497BFAEA" w14:textId="77777777" w:rsidR="004A6C7A" w:rsidRDefault="007849EA">
      <w:pPr>
        <w:pStyle w:val="SectionHeading"/>
      </w:pPr>
      <w:r>
        <w:t>The Death of God and Its Shadows</w:t>
      </w:r>
    </w:p>
    <w:p w14:paraId="3455B641" w14:textId="77777777" w:rsidR="004A6C7A" w:rsidRDefault="007849EA">
      <w:pPr>
        <w:pStyle w:val="BookBody"/>
      </w:pPr>
      <w:r>
        <w:t xml:space="preserve">The madman of </w:t>
      </w:r>
      <w:r>
        <w:rPr>
          <w:i/>
        </w:rPr>
        <w:t>The Gay Science</w:t>
      </w:r>
      <w:r>
        <w:t xml:space="preserve"> enters the marketplace carrying a lantern in the morning and crying that he seeks God. The atheists laugh because they think disbelief has settled the matter. He answers that "we" have killed God, then asks how the deed could be possible: Who gave us the sponge to wipe away the horizon? What did we do when we unchained the earth from its sun? The imagery is cosmological because the loss is not one opinion among others. It removes the framework within which direction, measure, guilt, and redemption had been coordinated.</w:t>
      </w:r>
      <w:r>
        <w:rPr>
          <w:vertAlign w:val="superscript"/>
        </w:rPr>
        <w:t>4</w:t>
      </w:r>
    </w:p>
    <w:p w14:paraId="573DADE2" w14:textId="77777777" w:rsidR="004A6C7A" w:rsidRDefault="007849EA">
      <w:pPr>
        <w:pStyle w:val="BookBody"/>
      </w:pPr>
      <w:r>
        <w:t>The madman does not congratulate his listeners. He tells them that the event is still on its way. Deeds need time for their light to reach human beings. This delay matters. Institutions can preserve theological forms after belief has thinned; secular moralities can retain Christian valuations while denying Christian metaphysics; science can turn honesty into an unconditional command without asking where that command acquired its authority. The dead God's shadow survives wherever a human need is disguised as a necessity of the universe.</w:t>
      </w:r>
    </w:p>
    <w:p w14:paraId="7444A1DF" w14:textId="77777777" w:rsidR="004A6C7A" w:rsidRDefault="007849EA">
      <w:pPr>
        <w:pStyle w:val="BookBody"/>
      </w:pPr>
      <w:r>
        <w:t>Nietzsche later asks what follows when the belief that the Christian God is untenable begins to cast its first shadow over Europe. The answer is not immediate liberation but a long sequence of collapses. If truth was guaranteed by a truthful God, what becomes of the unconditional value of truth? If moral equality was secured by a divine order, can it simply be transferred into nature? Nihilism appears when inherited values lose their ground but continue to govern desire. The old heavens are empty, yet the body has learned to kneel.</w:t>
      </w:r>
      <w:r>
        <w:rPr>
          <w:vertAlign w:val="superscript"/>
        </w:rPr>
        <w:t>5</w:t>
      </w:r>
    </w:p>
    <w:p w14:paraId="0802E200" w14:textId="77777777" w:rsidR="004A6C7A" w:rsidRDefault="007849EA">
      <w:pPr>
        <w:pStyle w:val="BookBody"/>
      </w:pPr>
      <w:r>
        <w:t>This is why Nietzsche's critique is genealogical rather than merely skeptical. Skepticism can refute a proposition and leave the person who needed it unchanged. Genealogy investigates the need. It asks who benefits from a valuation, what affects it organizes, what memories it requires, what forms of suffering it makes intelligible, and what alternatives it excludes. The death of God becomes an inquiry into the human animal that manufactured divine guarantees and then forgot its manufacture.</w:t>
      </w:r>
    </w:p>
    <w:p w14:paraId="71A4C262" w14:textId="77777777" w:rsidR="004A6C7A" w:rsidRDefault="007849EA">
      <w:pPr>
        <w:pStyle w:val="BookBody"/>
      </w:pPr>
      <w:r>
        <w:t>The point is not that religion is only psychology. That formula would replace theology with a new sovereign science of the subject. Nietzsche's more corrosive claim is that every explanatory vocabulary, including psychology, bears the marks of valuation. The critic cannot stand outside the field of forces. Diagnosis must eventually turn upon the diagnostician.</w:t>
      </w:r>
    </w:p>
    <w:p w14:paraId="58C22622" w14:textId="77777777" w:rsidR="004A6C7A" w:rsidRDefault="007849EA">
      <w:pPr>
        <w:pStyle w:val="SectionHeading"/>
      </w:pPr>
      <w:r>
        <w:t>Genealogy and the Invention of an Interior</w:t>
      </w:r>
    </w:p>
    <w:p w14:paraId="2B3DBBFF" w14:textId="77777777" w:rsidR="004A6C7A" w:rsidRDefault="007849EA">
      <w:pPr>
        <w:pStyle w:val="BookBody"/>
      </w:pPr>
      <w:r>
        <w:rPr>
          <w:i/>
        </w:rPr>
        <w:t>On the Genealogy of Morality</w:t>
      </w:r>
      <w:r>
        <w:t xml:space="preserve"> reconstructs moral concepts as events in bodies and institutions. Good and evil do not descend fully formed from reason. They acquire meaning through conflicts among social ranks, priestly reinterpretations, practices of punishment, and the long cultivation of an animal able to promise. Genealogy replaces the timeless origin with a layered descent. A concept can preserve the debris of several purposes, just as a bodily organ can be recruited for uses different from those that formed it.</w:t>
      </w:r>
      <w:r>
        <w:rPr>
          <w:vertAlign w:val="superscript"/>
        </w:rPr>
        <w:t>6</w:t>
      </w:r>
    </w:p>
    <w:p w14:paraId="7A61F0B6" w14:textId="77777777" w:rsidR="004A6C7A" w:rsidRDefault="007849EA">
      <w:pPr>
        <w:pStyle w:val="BookBody"/>
      </w:pPr>
      <w:r>
        <w:t>The capacity to promise requires memory, but Nietzsche refuses to treat memory as a passive archive. An active forgetfulness normally protects the present from the weight of everything that has happened. To make a calculable person, societies must interrupt that health. Pain becomes a mnemonic technique. Punishments burn obligations into the body so that a future act can be held in place. The responsible subject emerges from a history of breeding, exchange, injury, and debt.</w:t>
      </w:r>
      <w:r>
        <w:rPr>
          <w:vertAlign w:val="superscript"/>
        </w:rPr>
        <w:t>7</w:t>
      </w:r>
    </w:p>
    <w:p w14:paraId="1A5C7679" w14:textId="77777777" w:rsidR="004A6C7A" w:rsidRDefault="007849EA">
      <w:pPr>
        <w:pStyle w:val="BookBody"/>
      </w:pPr>
      <w:r>
        <w:t>The decisive turn comes when outward discharge is blocked. Human beings enclosed within settled society can no longer act upon many of the aggressive impulses that had organized life in less constrained conditions. Those instincts do not disappear. They turn back against their possessor. Nietzsche calls this the internalization of man: the whole inner world grows as external outlets are inhibited. The soul, in this account, is not an original chamber. It is a space excavated by redirected force.</w:t>
      </w:r>
      <w:r>
        <w:rPr>
          <w:vertAlign w:val="superscript"/>
        </w:rPr>
        <w:t>8</w:t>
      </w:r>
    </w:p>
    <w:p w14:paraId="6839B946" w14:textId="77777777" w:rsidR="004A6C7A" w:rsidRDefault="007849EA">
      <w:pPr>
        <w:pStyle w:val="BookBody"/>
      </w:pPr>
      <w:r>
        <w:t>Bad conscience is the wound produced by that redirection. Cruelty becomes self-surveillance; aggression becomes self-punishment; the debtor learns to treat existence itself as a debt. Religious interpretation can then enlarge the creditor to infinity. Before an omnipotent God, finite failure becomes immeasurable guilt. A social relation has become a metaphysical condition, and a history of violence has been converted into the voice of conscience.</w:t>
      </w:r>
    </w:p>
    <w:p w14:paraId="0985B0EA" w14:textId="77777777" w:rsidR="004A6C7A" w:rsidRDefault="007849EA">
      <w:pPr>
        <w:pStyle w:val="BookBody"/>
      </w:pPr>
      <w:r>
        <w:t>The analysis is not a simple call to release every impulse. Nietzsche knows that inwardness created memory, imagination, responsibility, art, and the capacity to transform force rather than merely spend it. The human animal becomes interesting through this dangerous deepening. His question is whether inwardness can be reorganized without the machinery of guilt that produced it. Can a person give style to the drives without pretending they have been abolished? Can discipline become creation instead of self-torture?</w:t>
      </w:r>
      <w:r>
        <w:rPr>
          <w:vertAlign w:val="superscript"/>
        </w:rPr>
        <w:t>9</w:t>
      </w:r>
    </w:p>
    <w:p w14:paraId="68E0A57F" w14:textId="77777777" w:rsidR="004A6C7A" w:rsidRDefault="007849EA">
      <w:pPr>
        <w:pStyle w:val="BookBody"/>
      </w:pPr>
      <w:r>
        <w:t>The genealogy thus reverses an old cosmological pattern. Sin once explained why a soul was alienated from divine order. Nietzsche explains the soul through the practices that taught bodies to experience themselves as sinful. Transcendence becomes sedimented history. What looked like a voice from beyond is heard as the echo of social force inside the animal.</w:t>
      </w:r>
    </w:p>
    <w:p w14:paraId="0D39E496" w14:textId="77777777" w:rsidR="004A6C7A" w:rsidRDefault="007849EA">
      <w:pPr>
        <w:pStyle w:val="SectionHeading"/>
      </w:pPr>
      <w:r>
        <w:t>Eternal Recurrence Without Providence</w:t>
      </w:r>
    </w:p>
    <w:p w14:paraId="0103141B" w14:textId="77777777" w:rsidR="004A6C7A" w:rsidRDefault="007849EA">
      <w:pPr>
        <w:pStyle w:val="BookBody"/>
      </w:pPr>
      <w:r>
        <w:t xml:space="preserve">Nietzsche's most cosmic image returns the problem to the individual with almost unbearable pressure. A demon whispers that this life, in every pain and every joy, must be lived again innumerable times, with nothing new in it. The thought of eternal recurrence appears in </w:t>
      </w:r>
      <w:r>
        <w:rPr>
          <w:i/>
        </w:rPr>
        <w:t>The Gay Science</w:t>
      </w:r>
      <w:r>
        <w:t xml:space="preserve"> not first as a proof about physics but as a test: would the announcement crush you, or would you answer that you had never heard anything more divine?</w:t>
      </w:r>
      <w:r>
        <w:rPr>
          <w:vertAlign w:val="superscript"/>
        </w:rPr>
        <w:t>10</w:t>
      </w:r>
    </w:p>
    <w:p w14:paraId="6E26F977" w14:textId="77777777" w:rsidR="004A6C7A" w:rsidRDefault="007849EA">
      <w:pPr>
        <w:pStyle w:val="BookBody"/>
      </w:pPr>
      <w:r>
        <w:t>The recurrence removes both providence and final escape. There is no last judgment that redeems the sequence, no progress that makes the present merely instrumental, and no other world in which the injuries of this one are canceled. Every detail receives the weight formerly reserved for eternity because no transcendent scale will replace it. The question is whether one can affirm becoming without asking it to become something else.</w:t>
      </w:r>
    </w:p>
    <w:p w14:paraId="683D4A22" w14:textId="77777777" w:rsidR="004A6C7A" w:rsidRDefault="007849EA">
      <w:pPr>
        <w:pStyle w:val="BookBody"/>
      </w:pPr>
      <w:r>
        <w:t xml:space="preserve">Taken as an ethical experiment, the thought exposes the hidden structure of desire. Much of life is tolerated as a corridor to another condition: work for rest, suffering for reward, history for culmination, earth for heaven. Recurrence closes the corridor. It asks whether desire can cease bargaining with existence. </w:t>
      </w:r>
      <w:r>
        <w:rPr>
          <w:i/>
        </w:rPr>
        <w:t>Amor fati</w:t>
      </w:r>
      <w:r>
        <w:t>, love of fate, is not resignation to an external plan. It is an attempt to will the necessity of a world without a planner.</w:t>
      </w:r>
    </w:p>
    <w:p w14:paraId="1251E221" w14:textId="77777777" w:rsidR="004A6C7A" w:rsidRDefault="007849EA">
      <w:pPr>
        <w:pStyle w:val="BookBody"/>
      </w:pPr>
      <w:r>
        <w:t>But the test also reveals the danger of inward cosmology. The entire universe becomes the pressure applied to a single act of affirmation. Cosmic time is used to measure a psychological capacity. The stars no longer decree a fate, yet infinity is recruited as the mirror of a person's relation to life. Nietzsche's most anti-theological thought still needs a cosmic image to give inward valuation its maximum force.</w:t>
      </w:r>
    </w:p>
    <w:p w14:paraId="6A5CD56A" w14:textId="77777777" w:rsidR="004A6C7A" w:rsidRDefault="007849EA">
      <w:pPr>
        <w:pStyle w:val="BookBody"/>
      </w:pPr>
      <w:r>
        <w:t>That tension will remain throughout the psychology of depth. The new sciences of the psyche will deny that the world is arranged for human meaning, then use myths, origins, universal histories, and speculative drives to describe what exceeds consciousness. The heavens are dismantled and rebuilt as diagrams of interior motion.</w:t>
      </w:r>
    </w:p>
    <w:p w14:paraId="06744403" w14:textId="77777777" w:rsidR="004A6C7A" w:rsidRDefault="007849EA">
      <w:pPr>
        <w:pStyle w:val="SectionHeading"/>
      </w:pPr>
      <w:r>
        <w:t>Freud and the Divided Apparatus</w:t>
      </w:r>
    </w:p>
    <w:p w14:paraId="3561EE46" w14:textId="77777777" w:rsidR="004A6C7A" w:rsidRDefault="007849EA">
      <w:pPr>
        <w:pStyle w:val="BookBody"/>
      </w:pPr>
      <w:r>
        <w:t>Freud gives the inward migration an institutional and clinical form. His psychoanalysis emerged from neurology, studies of hysteria, hypnotic and psychotherapeutic traditions, the medical consultation, and the peculiar archive created when patients were encouraged to associate without selecting what seemed relevant. It was not born from solitary introspection. Henri Ellenberger's history of the dynamic psychiatry tradition and Frank Sulloway's account of Freud's biological debts both complicate the founding legend of an unprecedented science created by one heroic mind.</w:t>
      </w:r>
      <w:r>
        <w:rPr>
          <w:vertAlign w:val="superscript"/>
        </w:rPr>
        <w:t>11</w:t>
      </w:r>
    </w:p>
    <w:p w14:paraId="08FEBC57" w14:textId="77777777" w:rsidR="004A6C7A" w:rsidRDefault="007849EA">
      <w:pPr>
        <w:pStyle w:val="BookBody"/>
      </w:pPr>
      <w:r>
        <w:t>The dream became Freud's privileged route because it joined private experience to rule-governed transformation. A dream seems intimate, irrational, and fleeting, yet its strangeness is not arbitrary. It is constructed. The manifest scene remembered on waking differs from the latent thoughts and wishes that analysis attempts to reconstruct. Between them stands the dream-work: a set of operations that changes relations, intensities, words, and images.</w:t>
      </w:r>
      <w:r>
        <w:rPr>
          <w:vertAlign w:val="superscript"/>
        </w:rPr>
        <w:t>12</w:t>
      </w:r>
    </w:p>
    <w:p w14:paraId="2F8BFEF8" w14:textId="77777777" w:rsidR="004A6C7A" w:rsidRDefault="007849EA">
      <w:pPr>
        <w:pStyle w:val="BookBody"/>
      </w:pPr>
      <w:r>
        <w:t xml:space="preserve">In Chapter VII of </w:t>
      </w:r>
      <w:r>
        <w:rPr>
          <w:i/>
        </w:rPr>
        <w:t>The Interpretation of Dreams</w:t>
      </w:r>
      <w:r>
        <w:t>, Freud draws a psychical apparatus. The figure does not map a literal organ in the brain. It arranges functions and directions: perception, memory systems, the unconscious, the preconscious, and the route toward motor discharge. In waking life excitation ordinarily moves from perception toward action. In dreaming, thought regresses toward perceptual images. The spatial picture is a heuristic for temporal and functional relations, a machine drawn to show why consciousness is not the origin of every mental event.</w:t>
      </w:r>
      <w:r>
        <w:rPr>
          <w:vertAlign w:val="superscript"/>
        </w:rPr>
        <w:t>13</w:t>
      </w:r>
    </w:p>
    <w:p w14:paraId="28C12DC3" w14:textId="77777777" w:rsidR="004A6C7A" w:rsidRDefault="007849EA">
      <w:pPr>
        <w:pStyle w:val="FigureImage"/>
      </w:pPr>
      <w:r>
        <w:rPr>
          <w:noProof/>
        </w:rPr>
        <w:drawing>
          <wp:inline distT="0" distB="0" distL="0" distR="0" wp14:anchorId="18E9AFB4" wp14:editId="58064A5B">
            <wp:extent cx="4937760" cy="2821577"/>
            <wp:effectExtent l="0" t="0" r="0" b="0"/>
            <wp:docPr id="1866470660" name="Picture 1866470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eud_apparatus_crop.png"/>
                    <pic:cNvPicPr/>
                  </pic:nvPicPr>
                  <pic:blipFill>
                    <a:blip r:embed="rId31"/>
                    <a:stretch>
                      <a:fillRect/>
                    </a:stretch>
                  </pic:blipFill>
                  <pic:spPr>
                    <a:xfrm>
                      <a:off x="0" y="0"/>
                      <a:ext cx="4937760" cy="2821577"/>
                    </a:xfrm>
                    <a:prstGeom prst="rect">
                      <a:avLst/>
                    </a:prstGeom>
                  </pic:spPr>
                </pic:pic>
              </a:graphicData>
            </a:graphic>
          </wp:inline>
        </w:drawing>
      </w:r>
    </w:p>
    <w:p w14:paraId="16055820" w14:textId="77777777" w:rsidR="004A6C7A" w:rsidRDefault="007849EA">
      <w:pPr>
        <w:pStyle w:val="FigureCaption"/>
      </w:pPr>
      <w:r>
        <w:t>Figure 20.1. Freud's schematic psychical apparatus, showing perception and memory systems, the unconscious (Ucs), and the preconscious (Pcs). The Interpretation of Dreams, chapter VII, 543. The scheme represents functional relations, not literal brain anatomy.</w:t>
      </w:r>
    </w:p>
    <w:p w14:paraId="661285A3" w14:textId="77777777" w:rsidR="004A6C7A" w:rsidRDefault="007849EA">
      <w:pPr>
        <w:pStyle w:val="BookBody"/>
      </w:pPr>
      <w:r>
        <w:t>The diagram makes the divided subject visible. Memory is not a single storehouse; perception and retention require different systems. Unconscious wishes cannot normally pass directly into consciousness; they must find a route through the preconscious and the censorship associated with it. During sleep the route toward action is closed, and excitation takes a regressive path. The dream is vivid because a thought has been translated back into something like perception.</w:t>
      </w:r>
    </w:p>
    <w:p w14:paraId="6F9D9906" w14:textId="77777777" w:rsidR="004A6C7A" w:rsidRDefault="007849EA">
      <w:pPr>
        <w:pStyle w:val="BookBody"/>
      </w:pPr>
      <w:r>
        <w:t>Freud repeatedly warns that the diagram is provisional. The systems are not anatomical compartments, and later models will rearrange them. Its importance lies precisely in its restraint. It makes no appeal to a soul-substance that watches the mechanism from outside. Consciousness is one function at an edge of the apparatus. The observer is included in what must be explained.</w:t>
      </w:r>
    </w:p>
    <w:p w14:paraId="0C048114" w14:textId="77777777" w:rsidR="004A6C7A" w:rsidRDefault="007849EA">
      <w:pPr>
        <w:pStyle w:val="SectionHeading"/>
      </w:pPr>
      <w:r>
        <w:t>The Dream-Work</w:t>
      </w:r>
    </w:p>
    <w:p w14:paraId="23D8A686" w14:textId="77777777" w:rsidR="004A6C7A" w:rsidRDefault="007849EA">
      <w:pPr>
        <w:pStyle w:val="BookBody"/>
      </w:pPr>
      <w:r>
        <w:t>Condensation allows a single dream image to carry several lines of thought at once. A person in the dream may have one face, another's name, a third person's clothing, and a gesture drawn from a forgotten scene. The manifest content is short in comparison with the network of associations that converges upon it. The image is not a code word with one stable translation. It is a junction.</w:t>
      </w:r>
      <w:r>
        <w:rPr>
          <w:vertAlign w:val="superscript"/>
        </w:rPr>
        <w:t>14</w:t>
      </w:r>
    </w:p>
    <w:p w14:paraId="49791661" w14:textId="77777777" w:rsidR="004A6C7A" w:rsidRDefault="007849EA">
      <w:pPr>
        <w:pStyle w:val="BookBody"/>
      </w:pPr>
      <w:r>
        <w:t>Displacement changes emphasis. A thought charged with anxiety or desire may appear through a trivial detail, while what seems central in the dream may have little weight in the underlying conflict. Intensity travels. This is why interpretation cannot simply rank dream elements by their dramatic prominence. The psyche has already edited the distribution of importance.</w:t>
      </w:r>
    </w:p>
    <w:p w14:paraId="455C6DD1" w14:textId="77777777" w:rsidR="004A6C7A" w:rsidRDefault="007849EA">
      <w:pPr>
        <w:pStyle w:val="BookBody"/>
      </w:pPr>
      <w:r>
        <w:t>The demand for representability converts abstract relations into scenes. Logical connections may become spatial arrangements, verbal similarities become objects, and temporal sequences are displayed simultaneously. Secondary revision then smooths some of the result into a story that can be recalled. Dreaming is not a message dictated in a forgotten language. It is a production process whose materials include bodily sensation, recent residues, childhood memories, verbal accidents, and wishes that have met resistance.</w:t>
      </w:r>
    </w:p>
    <w:p w14:paraId="05EDB7F5" w14:textId="77777777" w:rsidR="004A6C7A" w:rsidRDefault="007849EA">
      <w:pPr>
        <w:pStyle w:val="BookBody"/>
      </w:pPr>
      <w:r>
        <w:t>Freud's famous claim that the dream is a wish-fulfillment is therefore more complex than the slogan suggests. The wish may be disguised, infantile, contradictory, or punished within the dream itself. Anxiety can mark the failure of disguise. Later work on traumatic dreams will force Freud to ask whether repetition can outrun pleasure. Even in the early model, however, the dream is a compromise among forces rather than the transparent signature of one desire.</w:t>
      </w:r>
    </w:p>
    <w:p w14:paraId="0BB6DAFE" w14:textId="77777777" w:rsidR="004A6C7A" w:rsidRDefault="007849EA">
      <w:pPr>
        <w:pStyle w:val="BookBody"/>
      </w:pPr>
      <w:r>
        <w:t>Cosmic imagery does not escape this work. Suns, floods, caves, animals, kings, and deaths may enter a dream, but psychoanalysis refuses to grant them an automatic universal meaning. Their significance depends on the dreamer's associations and on the transformations that joined them. The star in a dream is not simply the ancient star of fate, yet neither is it a meaningless speck. It is material taken into a singular history.</w:t>
      </w:r>
    </w:p>
    <w:p w14:paraId="00FC0377" w14:textId="77777777" w:rsidR="004A6C7A" w:rsidRDefault="007849EA">
      <w:pPr>
        <w:pStyle w:val="BookBody"/>
      </w:pPr>
      <w:r>
        <w:t>Interpretation accordingly changes the relation between knower and known. The analyst cannot inspect the dream as a mineral specimen. Meaning emerges through speech, resistance, repetition, and the patient's corrections. The case is never only inside one skull; it is produced in an encounter. Yet the aim remains to trace the public and bodily materials of experience into an interior economy.</w:t>
      </w:r>
    </w:p>
    <w:p w14:paraId="5F1DA0C1" w14:textId="77777777" w:rsidR="004A6C7A" w:rsidRDefault="007849EA">
      <w:pPr>
        <w:pStyle w:val="SectionHeading"/>
      </w:pPr>
      <w:r>
        <w:t>Repression and Return</w:t>
      </w:r>
    </w:p>
    <w:p w14:paraId="0EACF29F" w14:textId="77777777" w:rsidR="004A6C7A" w:rsidRDefault="007849EA">
      <w:pPr>
        <w:pStyle w:val="BookBody"/>
      </w:pPr>
      <w:r>
        <w:t>Freud's unconscious is dynamic. It does not mean everything of which a person happens not to be aware. A forgotten address and a repressed wish can both be unconscious in an ordinary sense, but only the second is kept from consciousness by conflict. Repression is an activity, although not usually a deliberate one. It consumes force, creates substitutes, and leaves traces in symptoms, dreams, slips, jokes, and repetitions.</w:t>
      </w:r>
      <w:r>
        <w:rPr>
          <w:vertAlign w:val="superscript"/>
        </w:rPr>
        <w:t>15</w:t>
      </w:r>
    </w:p>
    <w:p w14:paraId="1BE468EC" w14:textId="77777777" w:rsidR="004A6C7A" w:rsidRDefault="007849EA">
      <w:pPr>
        <w:pStyle w:val="BookBody"/>
      </w:pPr>
      <w:r>
        <w:t>A symptom is therefore neither pure defect nor secret oracle. It is a compromise formation. Something gains expression while remaining disguised; something is defended against while also being preserved. The symptom can satisfy incompatible tendencies at once and so persist despite conscious misery. Its irrationality is organized.</w:t>
      </w:r>
    </w:p>
    <w:p w14:paraId="2499F130" w14:textId="77777777" w:rsidR="004A6C7A" w:rsidRDefault="007849EA">
      <w:pPr>
        <w:pStyle w:val="BookBody"/>
      </w:pPr>
      <w:r>
        <w:t>The theory of drives gives this organization a bodily edge. Freud distinguishes a drive from a reflex and from an external stimulus. Its source is somatic, but its pressure is represented psychically; its object can change; its aim can be redirected, reversed, or turned upon the self. The drive crosses the boundary that dualism tries to make clean. It is neither a measurable bodily push alone nor a free-floating idea.</w:t>
      </w:r>
    </w:p>
    <w:p w14:paraId="40C694E8" w14:textId="77777777" w:rsidR="004A6C7A" w:rsidRDefault="007849EA">
      <w:pPr>
        <w:pStyle w:val="BookBody"/>
      </w:pPr>
      <w:r>
        <w:t>That border status is one reason psychoanalysis could inherit the powers expelled from nature. Appetite, sexuality, aggression, fear, and attachment no longer needed planetary or demonic agencies to explain their urgency. Their otherness was located within embodied life. The alien was intimate. What possessed a person was also, in some difficult sense, that person's own history.</w:t>
      </w:r>
    </w:p>
    <w:p w14:paraId="1D4B5349" w14:textId="77777777" w:rsidR="004A6C7A" w:rsidRDefault="007849EA">
      <w:pPr>
        <w:pStyle w:val="BookBody"/>
      </w:pPr>
      <w:r>
        <w:t>The gain was immense. Moral condemnation could be replaced by inquiry into formation, and conscious intention ceased to be the sole evidence of motive. The cost was a new imperial reach for psychological explanation. Religion, art, politics, ritual, and bodily illness could all be redescribed as disguised satisfactions or defenses. A method that exposed hidden conflict could also make every objection count as resistance and every world a theater of the family romance.</w:t>
      </w:r>
    </w:p>
    <w:p w14:paraId="6DC6EA8A" w14:textId="77777777" w:rsidR="004A6C7A" w:rsidRDefault="007849EA">
      <w:pPr>
        <w:pStyle w:val="SectionHeading"/>
      </w:pPr>
      <w:r>
        <w:t>Beyond the Pleasure Principle</w:t>
      </w:r>
    </w:p>
    <w:p w14:paraId="032093DE" w14:textId="77777777" w:rsidR="004A6C7A" w:rsidRDefault="007849EA">
      <w:pPr>
        <w:pStyle w:val="BookBody"/>
      </w:pPr>
      <w:r>
        <w:t>The First World War and the clinical fact of traumatic repetition strained Freud's earlier economics. Patients repeated painful scenes instead of avoiding them. Children staged loss in play. Analysands reproduced old relations in the analytic setting rather than simply remembering them. If mental life sought pleasure and reduced unpleasure, why did it return to what had wounded it?</w:t>
      </w:r>
      <w:r>
        <w:rPr>
          <w:vertAlign w:val="superscript"/>
        </w:rPr>
        <w:t>16</w:t>
      </w:r>
    </w:p>
    <w:p w14:paraId="13D55623" w14:textId="77777777" w:rsidR="004A6C7A" w:rsidRDefault="007849EA">
      <w:pPr>
        <w:pStyle w:val="BookBody"/>
      </w:pPr>
      <w:r>
        <w:t>Freud's answer is explicitly speculative. He proposes a compulsion to repeat that may be more primitive than the pleasure principle and then imagines a drive toward the restoration of an earlier, inorganic state. Life would be a detour taken by matter on the way to death, complicated by sexual drives that join and preserve living substance. The argument borrows from biology while pushing beyond what biology could securely establish.</w:t>
      </w:r>
    </w:p>
    <w:p w14:paraId="7A562FD1" w14:textId="77777777" w:rsidR="004A6C7A" w:rsidRDefault="007849EA">
      <w:pPr>
        <w:pStyle w:val="BookBody"/>
      </w:pPr>
      <w:r>
        <w:t>The death drive should not be mistaken for a demonstrated entity or a simple wish to die. It is a theoretical limit invoked to explain repetition, destructiveness, and the conservative character Freud attributes to drives. In later formulations it is paired with Eros, the tendency to bind and make larger unities. The psyche is placed between unbinding and binding, dissolution and combination.</w:t>
      </w:r>
    </w:p>
    <w:p w14:paraId="5775511F" w14:textId="77777777" w:rsidR="004A6C7A" w:rsidRDefault="007849EA">
      <w:pPr>
        <w:pStyle w:val="BookBody"/>
      </w:pPr>
      <w:r>
        <w:t>Here the inward turn almost becomes cosmology again. The opposition of life and death is not confined to personal biography; it reaches toward the behavior of living substance as such. Freud, who distrusted metaphysical consolation, produces a myth of forces because the clinical material seems to require more than the economy of pleasure. He calls the speculation by its name, but he does not surrender it.</w:t>
      </w:r>
    </w:p>
    <w:p w14:paraId="4AB5F731" w14:textId="77777777" w:rsidR="004A6C7A" w:rsidRDefault="007849EA">
      <w:pPr>
        <w:pStyle w:val="BookBody"/>
      </w:pPr>
      <w:r>
        <w:t>This return of cosmic scale is revealing. Once purpose has been removed from nature, the psyche can still be narrated through immense tendencies: toward union, repetition, discharge, and the inorganic. The gods do not return as persons. They return as principles without faces.</w:t>
      </w:r>
    </w:p>
    <w:p w14:paraId="41D8DFFA" w14:textId="77777777" w:rsidR="004A6C7A" w:rsidRDefault="007849EA">
      <w:pPr>
        <w:pStyle w:val="SectionHeading"/>
      </w:pPr>
      <w:r>
        <w:t>Civilization and the Internalized Judge</w:t>
      </w:r>
    </w:p>
    <w:p w14:paraId="3815571B" w14:textId="77777777" w:rsidR="004A6C7A" w:rsidRDefault="007849EA">
      <w:pPr>
        <w:pStyle w:val="BookBody"/>
      </w:pPr>
      <w:r>
        <w:t xml:space="preserve">In </w:t>
      </w:r>
      <w:r>
        <w:rPr>
          <w:i/>
        </w:rPr>
        <w:t>Civilization and Its Discontents</w:t>
      </w:r>
      <w:r>
        <w:t>, Freud carries the conflict into social order. He begins with the "oceanic feeling" described to him as a sense of indissoluble union with the whole. Freud does not deny the experience, but he refuses to treat it as evidence of a metaphysical bond. He traces it to an early condition in which the ego had not yet sharply distinguished itself from the surrounding world.</w:t>
      </w:r>
      <w:r>
        <w:rPr>
          <w:vertAlign w:val="superscript"/>
        </w:rPr>
        <w:t>17</w:t>
      </w:r>
    </w:p>
    <w:p w14:paraId="25BB861F" w14:textId="77777777" w:rsidR="004A6C7A" w:rsidRDefault="007849EA">
      <w:pPr>
        <w:pStyle w:val="BookBody"/>
      </w:pPr>
      <w:r>
        <w:t>The explanation is emblematic of psychological interiorization. A feeling once taken as contact with the cosmos becomes a residue of ego development. The experience remains real as an experience; its ontological claim is suspended. What looks like union with being may be memory without a remembered scene.</w:t>
      </w:r>
    </w:p>
    <w:p w14:paraId="2615088A" w14:textId="77777777" w:rsidR="004A6C7A" w:rsidRDefault="007849EA">
      <w:pPr>
        <w:pStyle w:val="BookBody"/>
      </w:pPr>
      <w:r>
        <w:t>Civilization requires the renunciation and redirection of drives, but it cannot simply eliminate aggression. The prohibited aggression is taken into the ego and set against it. There it forms or strengthens the superego, which watches, judges, and punishes. Authority becomes conscience. The child no longer needs an external witness in order to feel accused.</w:t>
      </w:r>
      <w:r>
        <w:rPr>
          <w:vertAlign w:val="superscript"/>
        </w:rPr>
        <w:t>18</w:t>
      </w:r>
    </w:p>
    <w:p w14:paraId="0FF54F3B" w14:textId="77777777" w:rsidR="004A6C7A" w:rsidRDefault="007849EA">
      <w:pPr>
        <w:pStyle w:val="BookBody"/>
      </w:pPr>
      <w:r>
        <w:t>The internal judge can be harsher than the authority it replaces because it knows wishes as well as acts. Guilt increases not only after aggression but through its renunciation. The more virtuous the subject becomes, the more severe the superego may grow. Moral progress thus carries a hidden cruelty. Civilization pacifies outward relations by producing an inward battlefield.</w:t>
      </w:r>
    </w:p>
    <w:p w14:paraId="50ED4DA5" w14:textId="77777777" w:rsidR="004A6C7A" w:rsidRDefault="007849EA">
      <w:pPr>
        <w:pStyle w:val="BookBody"/>
      </w:pPr>
      <w:r>
        <w:t>Freud's model converges unexpectedly with Nietzsche's account of bad conscience. Both locate moral interiority in the turning of force against the self; both treat guilt as historically produced rather than divinely implanted. Their differences remain decisive. Freud emphasizes developmental dependence, ambivalence, and the demands of communal life. Nietzsche asks how a specific morality made suffering meaningful and power shameful. Together they make conscience worldly by showing how the world entered the body.</w:t>
      </w:r>
      <w:r>
        <w:rPr>
          <w:vertAlign w:val="superscript"/>
        </w:rPr>
        <w:t>19</w:t>
      </w:r>
    </w:p>
    <w:p w14:paraId="3AC88A29" w14:textId="77777777" w:rsidR="004A6C7A" w:rsidRDefault="007849EA">
      <w:pPr>
        <w:pStyle w:val="BookBody"/>
      </w:pPr>
      <w:r>
        <w:t>Neither account makes liberation easy. There is no untouched self behind civilization waiting to be released. The drives themselves have been shaped through relation, language, prohibition, and identification. To remove the judge would not restore an original harmony. It would expose another history.</w:t>
      </w:r>
    </w:p>
    <w:p w14:paraId="3A690ADB" w14:textId="77777777" w:rsidR="004A6C7A" w:rsidRDefault="007849EA">
      <w:pPr>
        <w:pStyle w:val="SectionHeading"/>
      </w:pPr>
      <w:r>
        <w:t>Jung's Enlargement of the Psyche</w:t>
      </w:r>
    </w:p>
    <w:p w14:paraId="6AD243BB" w14:textId="77777777" w:rsidR="004A6C7A" w:rsidRDefault="007849EA">
      <w:pPr>
        <w:pStyle w:val="BookBody"/>
      </w:pPr>
      <w:r>
        <w:t>Jung accepted the divided psyche but resisted Freud's account of its governing economy. After their break, he broadened libido from predominantly sexual energy into a more general measure of psychic intensity. Symbols, in his mature view, did not merely disguise a known infantile wish. They could point forward, gathering a conflict into an image whose implications consciousness had not yet understood. The psyche was not only an archive of what had been repressed. It was also a producer of forms.</w:t>
      </w:r>
      <w:r>
        <w:rPr>
          <w:vertAlign w:val="superscript"/>
        </w:rPr>
        <w:t>20</w:t>
      </w:r>
    </w:p>
    <w:p w14:paraId="1F7D4469" w14:textId="77777777" w:rsidR="004A6C7A" w:rsidRDefault="007849EA">
      <w:pPr>
        <w:pStyle w:val="BookBody"/>
      </w:pPr>
      <w:r>
        <w:t>This enlargement had intellectual precedents. Sonu Shamdasani has reconstructed the crowded field from which Jung's complex psychology emerged: experimental psychology, psychiatry, psychical research, comparative religion, mythology, anthropology, evolutionary theory, and debates over energy and holism. The familiar story in which Jung simply escapes Freud for timeless myth obscures those contexts. His universals were fashioned from the sciences, collections, and colonial classifications of his period as well as from clinical practice.</w:t>
      </w:r>
      <w:r>
        <w:rPr>
          <w:vertAlign w:val="superscript"/>
        </w:rPr>
        <w:t>21</w:t>
      </w:r>
    </w:p>
    <w:p w14:paraId="23B64424" w14:textId="77777777" w:rsidR="004A6C7A" w:rsidRDefault="007849EA">
      <w:pPr>
        <w:pStyle w:val="BookBody"/>
      </w:pPr>
      <w:r>
        <w:t>Jung distinguished a personal unconscious, formed from forgotten or repressed contents, from a collective unconscious that did not originate in individual experience. The second term named inherited possibilities of psychic organization. It was meant to explain why dreams and fantasies could assume forms resembling myths that the dreamer had never knowingly studied.</w:t>
      </w:r>
    </w:p>
    <w:p w14:paraId="2260E44F" w14:textId="77777777" w:rsidR="004A6C7A" w:rsidRDefault="007849EA">
      <w:pPr>
        <w:pStyle w:val="BookBody"/>
      </w:pPr>
      <w:r>
        <w:t>The claim restored depth beyond biography. A person was not sealed within a private childhood but participated in patterns older than the individual. Religious images could be psychologically necessary without being accepted as reports about supernatural beings. Myth became a language in which the psyche represented its own transformations.</w:t>
      </w:r>
    </w:p>
    <w:p w14:paraId="7A236C42" w14:textId="77777777" w:rsidR="004A6C7A" w:rsidRDefault="007849EA">
      <w:pPr>
        <w:pStyle w:val="BookBody"/>
      </w:pPr>
      <w:r>
        <w:t>That move also intensified the danger of enclosure. A god encountered in ritual, art, landscape, or dream could now be treated as an archetypal image generated by the psyche. Jung gave the image dignity, but he changed its jurisdiction. The divine was protected from dismissal by being translated inward.</w:t>
      </w:r>
    </w:p>
    <w:p w14:paraId="3BFD1DB5" w14:textId="77777777" w:rsidR="004A6C7A" w:rsidRDefault="007849EA">
      <w:pPr>
        <w:pStyle w:val="SectionHeading"/>
      </w:pPr>
      <w:r>
        <w:t>Archetypes Without a Heaven</w:t>
      </w:r>
    </w:p>
    <w:p w14:paraId="78697ACC" w14:textId="77777777" w:rsidR="004A6C7A" w:rsidRDefault="007849EA">
      <w:pPr>
        <w:pStyle w:val="BookBody"/>
      </w:pPr>
      <w:r>
        <w:t>An archetype is often misunderstood as a fully formed inherited picture: a wise old man, a mother, a hero, a shadow. Jung's more careful formulations distinguish the archetype from the image in which it appears. What is inherited is a disposition or formal possibility, comparable in some respects to an instinctive pattern, not a gallery of photographs stored in the nervous system. Historical experience supplies the content; the archetype helps organize its recurring shape.</w:t>
      </w:r>
      <w:r>
        <w:rPr>
          <w:vertAlign w:val="superscript"/>
        </w:rPr>
        <w:t>22</w:t>
      </w:r>
    </w:p>
    <w:p w14:paraId="0198E058" w14:textId="77777777" w:rsidR="004A6C7A" w:rsidRDefault="007849EA">
      <w:pPr>
        <w:pStyle w:val="BookBody"/>
      </w:pPr>
      <w:r>
        <w:t>This distinction matters because images vary. A maternal archetype may appear through a goddess, a house, a church, a landscape, an animal, an ancestor, or a personal memory. No list exhausts it. The archetype becomes visible only through a particular representation, and every representation belongs to a language and time. Universality, if it exists, is not sameness at the surface.</w:t>
      </w:r>
    </w:p>
    <w:p w14:paraId="60E349BD" w14:textId="77777777" w:rsidR="004A6C7A" w:rsidRDefault="007849EA">
      <w:pPr>
        <w:pStyle w:val="BookBody"/>
      </w:pPr>
      <w:r>
        <w:t>Jung sometimes described archetypes and instincts as opposite ends of a spectrum: instinct as the physiological dynamism of a drive, archetype as its image or mode of apprehension. Shamdasani shows that the relation changed across Jung's career and never reached a perfectly stable formulation. The uncertainty is productive. It keeps psyche and body joined without pretending that one has been reduced to the other.</w:t>
      </w:r>
      <w:r>
        <w:rPr>
          <w:vertAlign w:val="superscript"/>
        </w:rPr>
        <w:t>23</w:t>
      </w:r>
    </w:p>
    <w:p w14:paraId="0A90B33A" w14:textId="77777777" w:rsidR="004A6C7A" w:rsidRDefault="007849EA">
      <w:pPr>
        <w:pStyle w:val="BookBody"/>
      </w:pPr>
      <w:r>
        <w:t>Archetypal interpretation can reveal why an image carries more force than its personal occasion seems able to explain. Grief may take the shape of descent; conflict may appear as divided twins; psychic reorganization may be figured as death and rebirth. Such patterns allow an individual life to borrow the density of collective stories. The sufferer is not merely eccentric or defective. The experience belongs to a human repertoire.</w:t>
      </w:r>
    </w:p>
    <w:p w14:paraId="6C3875A9" w14:textId="77777777" w:rsidR="004A6C7A" w:rsidRDefault="007849EA">
      <w:pPr>
        <w:pStyle w:val="BookBody"/>
      </w:pPr>
      <w:r>
        <w:t>But a universal repertoire can erase difference if it is handled carelessly. Myths detached from ritual, language, political history, and the people who sustain them become specimens in a psychological museum. Early anthropology's categories of the "primitive" entered Jung's comparisons, and some of his formulations preserve their hierarchy. An archetypal reading must therefore ask what the universal claim leaves out and who is authorized to make it.</w:t>
      </w:r>
    </w:p>
    <w:p w14:paraId="4D06BA12" w14:textId="77777777" w:rsidR="004A6C7A" w:rsidRDefault="007849EA">
      <w:pPr>
        <w:pStyle w:val="BookBody"/>
      </w:pPr>
      <w:r>
        <w:t>The archetype is most defensible as a disciplined question rather than a key that opens every culture. Why does this image recur? What bodily and social situations make it compelling? How does this occurrence transform the pattern? Used that way, the concept can resist both reduction to private biography and inflation into a metaphysical being. Used as a dictionary, it becomes the very dogma Jung hoped symbols would unsettle.</w:t>
      </w:r>
    </w:p>
    <w:p w14:paraId="161D311D" w14:textId="77777777" w:rsidR="004A6C7A" w:rsidRDefault="007849EA">
      <w:pPr>
        <w:pStyle w:val="SectionHeading"/>
      </w:pPr>
      <w:r>
        <w:t>Alchemy Interiorized</w:t>
      </w:r>
    </w:p>
    <w:p w14:paraId="78F1E093" w14:textId="77777777" w:rsidR="004A6C7A" w:rsidRDefault="007849EA">
      <w:pPr>
        <w:pStyle w:val="BookBody"/>
      </w:pPr>
      <w:r>
        <w:t>Jung's engagement with alchemy made the inward migration especially visible. European alchemical texts seemed to him to preserve a sequence of images - darkness, dissolution, conjunction, death, whitening, reddening, the hermaphrodite, the stone - that paralleled the transformations he observed in dreams. Because early practitioners did not recognize the psychological source of these forms, he argued, they projected unconscious contents into matter and experienced them as properties of the laboratory process.</w:t>
      </w:r>
      <w:r>
        <w:rPr>
          <w:vertAlign w:val="superscript"/>
        </w:rPr>
        <w:t>24</w:t>
      </w:r>
    </w:p>
    <w:p w14:paraId="72416CB2" w14:textId="77777777" w:rsidR="004A6C7A" w:rsidRDefault="007849EA">
      <w:pPr>
        <w:pStyle w:val="BookBody"/>
      </w:pPr>
      <w:r>
        <w:t>The interpretation gave modern psychology a prehistory. Individuation no longer appeared as a private invention of the twentieth-century clinic. It had been imaged for centuries through vessels, metals, kings, queens, suns, moons, dragons, and circles. The alchemical work became an exterior record of an interior process that lacked a psychological vocabulary.</w:t>
      </w:r>
    </w:p>
    <w:p w14:paraId="52F3EE43" w14:textId="77777777" w:rsidR="004A6C7A" w:rsidRDefault="007849EA">
      <w:pPr>
        <w:pStyle w:val="BookBody"/>
      </w:pPr>
      <w:r>
        <w:t xml:space="preserve">The reading is psychologically fertile. It shows how material operations can gather affect and how a symbolic sequence can hold opposites that discursive thought separates. The </w:t>
      </w:r>
      <w:r>
        <w:rPr>
          <w:i/>
        </w:rPr>
        <w:t>coniunctio</w:t>
      </w:r>
      <w:r>
        <w:t>, or conjunction, does not merely solve conflict by choosing one side. It imagines a form in which opposed tendencies alter through relation. The mandala similarly gives psychic multiplicity a center without reducing it to the conscious ego.</w:t>
      </w:r>
    </w:p>
    <w:p w14:paraId="73085515" w14:textId="77777777" w:rsidR="004A6C7A" w:rsidRDefault="007849EA">
      <w:pPr>
        <w:pStyle w:val="BookBody"/>
      </w:pPr>
      <w:r>
        <w:t>As history of alchemy, however, the account is incomplete. Lawrence Principe's reconstructions demonstrate that alchemical emblems were tied to substances, furnaces, colors, laboratory sequences, artisanal knowledge, religious commitments, and theories of matter. A wolf devouring a king can carry psychic resonance and still refer to an operation performed on metals. To claim that alchemists were unknowingly doing psychology is to let a modern discipline confiscate the past.</w:t>
      </w:r>
      <w:r>
        <w:rPr>
          <w:vertAlign w:val="superscript"/>
        </w:rPr>
        <w:t>25</w:t>
      </w:r>
    </w:p>
    <w:p w14:paraId="21B4F12E" w14:textId="77777777" w:rsidR="004A6C7A" w:rsidRDefault="007849EA">
      <w:pPr>
        <w:pStyle w:val="BookBody"/>
      </w:pPr>
      <w:r>
        <w:t>The corrective does not make Jung's comparison useless. It changes its grammar. Alchemical images can be used by modern psychology without being declared secretly psychological in origin. A symbol can travel between practices and acquire a new function. The historical alchemist and the modern analysand need not have meant the same thing for the image to illuminate both.</w:t>
      </w:r>
    </w:p>
    <w:p w14:paraId="35953094" w14:textId="77777777" w:rsidR="004A6C7A" w:rsidRDefault="007849EA">
      <w:pPr>
        <w:pStyle w:val="BookBody"/>
      </w:pPr>
      <w:r>
        <w:t>The episode exposes the paradox of the interior cosmos. Matter returns to psychology as a treasury of symbols at the moment when its own agency is most at risk of being forgotten. The vessel, metal, color, and fire are vivid, but their work may be treated as the projection of a human drama. A living cosmos is preserved as psychic picture while the material practice that generated the picture becomes background.</w:t>
      </w:r>
    </w:p>
    <w:p w14:paraId="37756074" w14:textId="77777777" w:rsidR="004A6C7A" w:rsidRDefault="007849EA">
      <w:pPr>
        <w:pStyle w:val="SectionHeading"/>
      </w:pPr>
      <w:r>
        <w:t>Types and One-Sided Consciousness</w:t>
      </w:r>
    </w:p>
    <w:p w14:paraId="2D020EF2" w14:textId="77777777" w:rsidR="004A6C7A" w:rsidRDefault="007849EA">
      <w:pPr>
        <w:pStyle w:val="BookBody"/>
      </w:pPr>
      <w:r>
        <w:rPr>
          <w:i/>
        </w:rPr>
        <w:t>Psychological Types</w:t>
      </w:r>
      <w:r>
        <w:t xml:space="preserve"> is now commonly encountered through personality tests, but Jung's 1921 work was not designed as a set of permanent identity labels. Introversion and extraversion name habitual directions of psychic energy: toward the subject and its inner conditions, or toward the object and its claims. Thinking, feeling, sensation, and intuition describe functions by which experience is selected and judged. Every person can use them; a type is an emphasis, not a prison.</w:t>
      </w:r>
      <w:r>
        <w:rPr>
          <w:vertAlign w:val="superscript"/>
        </w:rPr>
        <w:t>26</w:t>
      </w:r>
    </w:p>
    <w:p w14:paraId="4304145C" w14:textId="77777777" w:rsidR="004A6C7A" w:rsidRDefault="007849EA">
      <w:pPr>
        <w:pStyle w:val="BookBody"/>
      </w:pPr>
      <w:r>
        <w:t>The theory belongs to Jung's larger concern with one-sidedness. Conscious adaptation develops certain capacities and leaves others relatively undifferentiated. The neglected function does not vanish. It appears in disproportionate reactions, dreams, projections, attractions, and failures of judgment. What consciousness excludes gathers force in the unconscious.</w:t>
      </w:r>
    </w:p>
    <w:p w14:paraId="0E8DDAFA" w14:textId="77777777" w:rsidR="004A6C7A" w:rsidRDefault="007849EA">
      <w:pPr>
        <w:pStyle w:val="BookBody"/>
      </w:pPr>
      <w:r>
        <w:t>Compensation is therefore not automatic balance in a harmonious organism. It may arrive as disturbance. A person identified with rational control can be seized by crude affect; a life organized around external demands can be flooded by inward fantasy. The inferior function humiliates the image of mastery because it speaks in an archaic and awkward form. Development requires relation to it, not its instant celebration.</w:t>
      </w:r>
    </w:p>
    <w:p w14:paraId="73165C38" w14:textId="77777777" w:rsidR="004A6C7A" w:rsidRDefault="007849EA">
      <w:pPr>
        <w:pStyle w:val="FigureImage"/>
      </w:pPr>
      <w:r>
        <w:rPr>
          <w:noProof/>
        </w:rPr>
        <w:drawing>
          <wp:inline distT="0" distB="0" distL="0" distR="0" wp14:anchorId="045F6738" wp14:editId="5B0780DF">
            <wp:extent cx="3794760" cy="6150507"/>
            <wp:effectExtent l="0" t="0" r="0" b="0"/>
            <wp:docPr id="1866470661" name="Picture 1866470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ung_types_title.png"/>
                    <pic:cNvPicPr/>
                  </pic:nvPicPr>
                  <pic:blipFill>
                    <a:blip r:embed="rId32"/>
                    <a:stretch>
                      <a:fillRect/>
                    </a:stretch>
                  </pic:blipFill>
                  <pic:spPr>
                    <a:xfrm>
                      <a:off x="0" y="0"/>
                      <a:ext cx="3794760" cy="6150507"/>
                    </a:xfrm>
                    <a:prstGeom prst="rect">
                      <a:avLst/>
                    </a:prstGeom>
                  </pic:spPr>
                </pic:pic>
              </a:graphicData>
            </a:graphic>
          </wp:inline>
        </w:drawing>
      </w:r>
    </w:p>
    <w:p w14:paraId="3BDCC169" w14:textId="77777777" w:rsidR="004A6C7A" w:rsidRDefault="007849EA">
      <w:pPr>
        <w:pStyle w:val="FigureCaption"/>
      </w:pPr>
      <w:r>
        <w:t>Figure 20.2. Title page of C. G. Jung's Psychological Types; or, The Psychology of Individuation, translated by H. Godwin Baynes (New York: Pantheon Books). Baynes's English translation first appeared in 1923.</w:t>
      </w:r>
    </w:p>
    <w:p w14:paraId="1EF4B6BB" w14:textId="77777777" w:rsidR="004A6C7A" w:rsidRDefault="007849EA">
      <w:pPr>
        <w:pStyle w:val="BookBody"/>
      </w:pPr>
      <w:r>
        <w:t xml:space="preserve">The first English edition made the book's broader ambition explicit in its subtitle: </w:t>
      </w:r>
      <w:r>
        <w:rPr>
          <w:i/>
        </w:rPr>
        <w:t>The Psychology of Individuation</w:t>
      </w:r>
      <w:r>
        <w:t>. Typology was a means of understanding why persons and intellectual traditions speak past one another and how an excluded orientation returns. Jung's long historical chapters place the problem in theology, poetry, philosophy, and aesthetics before the general description of types. A typology of isolated consumers is a later simplification.</w:t>
      </w:r>
    </w:p>
    <w:p w14:paraId="2D12F8C1" w14:textId="77777777" w:rsidR="004A6C7A" w:rsidRDefault="007849EA">
      <w:pPr>
        <w:pStyle w:val="BookBody"/>
      </w:pPr>
      <w:r>
        <w:t>The social resonance is unmistakable. Industrial and bureaucratic modernity reward specialization, regularity, and the reliable performance of a partial function. The type can help a person adapt to that division; individuation asks what adaptation has cost. The inward return is not retreat into preference. It is an encounter with the life that a successful persona had to leave undeveloped.</w:t>
      </w:r>
    </w:p>
    <w:p w14:paraId="4BDDCF44" w14:textId="77777777" w:rsidR="004A6C7A" w:rsidRDefault="007849EA">
      <w:pPr>
        <w:pStyle w:val="SectionHeading"/>
      </w:pPr>
      <w:r>
        <w:rPr>
          <w:rFonts w:cstheme="majorBidi"/>
          <w:bCs/>
          <w:color w:val="2E74B5"/>
          <w:szCs w:val="28"/>
        </w:rPr>
        <w:t>The Horoscope after Causation</w:t>
      </w:r>
    </w:p>
    <w:p w14:paraId="176544AA" w14:textId="77777777" w:rsidR="004A6C7A" w:rsidRDefault="007849EA">
      <w:pPr>
        <w:pStyle w:val="BookBody"/>
      </w:pPr>
      <w:r>
        <w:rPr>
          <w:szCs w:val="28"/>
        </w:rPr>
        <w:t>Jung's astrological experiment makes the transformed status of the horoscope unusually clear. He collected marriage charts and searched for statistically significant correspondences among traditional planetary combinations. The undertaking joined symbolic expectation to the modern demand for numerical testing. Astrology entered the laboratory not as inherited authority but as a claim required to survive procedures external to its tradition.</w:t>
      </w:r>
    </w:p>
    <w:p w14:paraId="2307E2E2" w14:textId="77777777" w:rsidR="004A6C7A" w:rsidRDefault="007849EA">
      <w:pPr>
        <w:pStyle w:val="BookBody"/>
      </w:pPr>
      <w:r>
        <w:rPr>
          <w:szCs w:val="28"/>
        </w:rPr>
        <w:t>The results did not provide stable proof. Different batches produced shifting emphases, and the total did not establish the robust correlation that a predictive science would require. Jung interpreted the fluctuations through synchronicity and the psychic participation of the experimenter. That interpretation preserved meaning, but at a cost: when failed replication itself becomes evidence for an acausal principle, the claim becomes difficult to correct.</w:t>
      </w:r>
    </w:p>
    <w:p w14:paraId="0097C9A1" w14:textId="77777777" w:rsidR="004A6C7A" w:rsidRDefault="007849EA">
      <w:pPr>
        <w:pStyle w:val="BookBody"/>
      </w:pPr>
      <w:r>
        <w:rPr>
          <w:szCs w:val="28"/>
        </w:rPr>
        <w:t>The episode reveals why psychological astrology can persist after causal astrology loses public authority. A chart offers a finite arrangement of contrasts - expansion and restraint, assertion and receptivity, intimacy and exposure, continuity and rupture. A reader can use those contrasts to elicit narratives that had not found another language. The chart becomes productive as a structured occasion for reflection.</w:t>
      </w:r>
    </w:p>
    <w:p w14:paraId="5A1ECA94" w14:textId="77777777" w:rsidR="004A6C7A" w:rsidRDefault="007849EA">
      <w:pPr>
        <w:pStyle w:val="BookBody"/>
      </w:pPr>
      <w:r>
        <w:rPr>
          <w:szCs w:val="28"/>
        </w:rPr>
        <w:t>Productivity is not the same as planetary causation. A story can illuminate a life without being caused by Mars or Saturn, just as a dream image can organize affect without predicting an external event. The responsible distinction concerns the level of claim. As symbolic practice, astrology may open questions; as empirical science, it must accept controls, error, and the possibility of failure; as metaphysics, it cannot derive cosmic intention from psychological usefulness.</w:t>
      </w:r>
    </w:p>
    <w:p w14:paraId="6A4E663B" w14:textId="77777777" w:rsidR="004A6C7A" w:rsidRDefault="007849EA">
      <w:pPr>
        <w:pStyle w:val="BookBody"/>
      </w:pPr>
      <w:r>
        <w:rPr>
          <w:szCs w:val="28"/>
        </w:rPr>
        <w:t>This distinction protects both criticism and experience. Dismissing every chart reading as stupidity ignores the interpretive needs to which the practice responds. Treating every resonant interpretation as proof of celestial order confuses subjective and intersubjective fit with causal evidence. Psychological astrology occupies the unstable middle created when ancient symbols survive but their former cosmological jurisdiction does not.</w:t>
      </w:r>
    </w:p>
    <w:p w14:paraId="5CB4E243" w14:textId="77777777" w:rsidR="004A6C7A" w:rsidRDefault="007849EA">
      <w:pPr>
        <w:pStyle w:val="BookBody"/>
      </w:pPr>
      <w:r>
        <w:rPr>
          <w:szCs w:val="28"/>
        </w:rPr>
        <w:t>The wheel is thus a material witness to relocation. The heavens remain visible, but the decisive event occurs in narration: the client recognizes, rejects, revises, or elaborates a pattern. Fate becomes a vocabulary for biography. What once claimed to describe an objective cosmic order becomes a technique for making inward conflict speak.</w:t>
      </w:r>
    </w:p>
    <w:p w14:paraId="225915B5" w14:textId="77777777" w:rsidR="004A6C7A" w:rsidRDefault="007849EA">
      <w:pPr>
        <w:pStyle w:val="SectionHeading"/>
      </w:pPr>
      <w:r>
        <w:t>Synchronicity at the Border</w:t>
      </w:r>
    </w:p>
    <w:p w14:paraId="4EA293C6" w14:textId="77777777" w:rsidR="004A6C7A" w:rsidRDefault="007849EA">
      <w:pPr>
        <w:pStyle w:val="BookBody"/>
      </w:pPr>
      <w:r>
        <w:t>Jung's theory of synchronicity is his most direct attempt to keep the psyche from becoming a sealed container. He defines it as an acausal connecting principle: a meaningful coincidence between a psychic state and an external event that cannot be linked by an ordinary chain of efficient causes. A dream of a scarab-like beetle coinciding with the arrival of an unusual beetle at the consulting-room window became the exemplary scene.</w:t>
      </w:r>
      <w:r>
        <w:rPr>
          <w:vertAlign w:val="superscript"/>
        </w:rPr>
        <w:t>27</w:t>
      </w:r>
    </w:p>
    <w:p w14:paraId="4E0BF6A9" w14:textId="77777777" w:rsidR="004A6C7A" w:rsidRDefault="007849EA">
      <w:pPr>
        <w:pStyle w:val="BookBody"/>
      </w:pPr>
      <w:r>
        <w:t>The claim is not merely that unlikely things happen or that people invent stories after the fact. Jung wants to preserve cases in which inner and outer events share a form so exact and affectively decisive that probability seems insufficient as a description of their meaning. The coincidence breaks a rigid attitude and changes the person who experiences it.</w:t>
      </w:r>
    </w:p>
    <w:p w14:paraId="3C02822B" w14:textId="77777777" w:rsidR="004A6C7A" w:rsidRDefault="007849EA">
      <w:pPr>
        <w:pStyle w:val="BookBody"/>
      </w:pPr>
      <w:r>
        <w:t>Synchronicity thus stands at the boundary created by the inward turn. If meaning belongs only to the subject, the external event is raw material onto which significance is projected. If meaning can characterize the relation itself, psyche and world may participate in a temporary order that is neither causal mechanism nor supernatural intervention. Jung's proposal tries to name that third possibility.</w:t>
      </w:r>
    </w:p>
    <w:p w14:paraId="47487E1E" w14:textId="77777777" w:rsidR="004A6C7A" w:rsidRDefault="007849EA">
      <w:pPr>
        <w:pStyle w:val="BookBody"/>
      </w:pPr>
      <w:r>
        <w:t>The evidence does not bear the metaphysical weight often placed upon it. The astrological experiment included in the essay produced shifting patterns under successive analyses, and the editorial preface to the collected edition notes that the total results did not establish a statistically significant correlation. Selection effects, flexible interpretation, and the human sensitivity to striking coincidences remain powerful alternatives.</w:t>
      </w:r>
      <w:r>
        <w:rPr>
          <w:vertAlign w:val="superscript"/>
        </w:rPr>
        <w:t>28</w:t>
      </w:r>
    </w:p>
    <w:p w14:paraId="431B1E37" w14:textId="77777777" w:rsidR="004A6C7A" w:rsidRDefault="007849EA">
      <w:pPr>
        <w:pStyle w:val="BookBody"/>
      </w:pPr>
      <w:r>
        <w:t>That weakness should be stated plainly. Synchronicity is not a license to treat every coincidence as cosmic instruction, and it does not rescue astrology as a predictive science. Its value in this history is diagnostic. A psychology that had translated gods and correspondences into inner forms found itself dissatisfied with the wall it had built. The concept marks the desire for relation after the mechanisms of relation had been stripped away.</w:t>
      </w:r>
    </w:p>
    <w:p w14:paraId="0262EB3E" w14:textId="77777777" w:rsidR="004A6C7A" w:rsidRDefault="007849EA">
      <w:pPr>
        <w:pStyle w:val="BookBody"/>
      </w:pPr>
      <w:r>
        <w:t>Jung's border experiment therefore resembles Nietzsche's recurrence and Freud's drive theory. Each thinker distrusts traditional metaphysics, yet each reaches beyond a modest psychology when the inward field proves too narrow. The cosmos returns not as a hierarchy of beings but as a pressure, a polarity, or a coincidence.</w:t>
      </w:r>
    </w:p>
    <w:p w14:paraId="27E75309" w14:textId="77777777" w:rsidR="004A6C7A" w:rsidRDefault="007849EA">
      <w:pPr>
        <w:pStyle w:val="SectionHeading"/>
      </w:pPr>
      <w:r>
        <w:rPr>
          <w:rFonts w:cstheme="majorBidi"/>
          <w:bCs/>
          <w:color w:val="2E74B5"/>
          <w:szCs w:val="28"/>
        </w:rPr>
        <w:t>Psychological Astrology Is Not Ancient Astrology</w:t>
      </w:r>
    </w:p>
    <w:p w14:paraId="70694BDF" w14:textId="77777777" w:rsidR="004A6C7A" w:rsidRDefault="007849EA">
      <w:pPr>
        <w:pStyle w:val="BookBody"/>
      </w:pPr>
      <w:r>
        <w:rPr>
          <w:szCs w:val="28"/>
        </w:rPr>
        <w:t>It would therefore be misleading to call psychological astrology an innocent survival of the ancient cosmos. Ancient and early modern astrology belonged to medical, political, agricultural, calendrical, and theological practices in which celestial configurations were treated as real features of causation and providential order. The modern psychological chart appears after those public institutions and natural-philosophical commitments have fractured.</w:t>
      </w:r>
    </w:p>
    <w:p w14:paraId="1290A56C" w14:textId="77777777" w:rsidR="004A6C7A" w:rsidRDefault="007849EA">
      <w:pPr>
        <w:pStyle w:val="BookBody"/>
      </w:pPr>
      <w:r>
        <w:rPr>
          <w:szCs w:val="28"/>
        </w:rPr>
        <w:t>The change is not only a retreat from fact to metaphor. It is a new form of authority. The interpreter need not predict a harvest or a prince's death; the claim can be validated by recognition. If the client experiences a description as accurate, the interpretation gains force. This makes the practice flexible and intimate, but also vulnerable to confirmation bias, generality, selective memory, and the prestige of the interpreter.</w:t>
      </w:r>
    </w:p>
    <w:p w14:paraId="5226DA01" w14:textId="77777777" w:rsidR="004A6C7A" w:rsidRDefault="007849EA">
      <w:pPr>
        <w:pStyle w:val="BookBody"/>
      </w:pPr>
      <w:r>
        <w:rPr>
          <w:szCs w:val="28"/>
        </w:rPr>
        <w:t>Jung's language of archetype helps explain the felt density of the symbols without proving their celestial source. Mars may gather images of combat, heat, severance, courage, and injury because those patterns recur in cultural histories and embodied conflicts. The archetypal account relocates the recurrence to the structures of psychic life. It explains why the symbol can be powerful while leaving open how any particular tradition shaped it.</w:t>
      </w:r>
    </w:p>
    <w:p w14:paraId="378633ED" w14:textId="77777777" w:rsidR="004A6C7A" w:rsidRDefault="007849EA">
      <w:pPr>
        <w:pStyle w:val="BookBody"/>
      </w:pPr>
      <w:r>
        <w:rPr>
          <w:szCs w:val="28"/>
        </w:rPr>
        <w:t>That relocation must remain historically specific. Planetary gods were never a universal dictionary with identical meanings in every culture. Their names, genders, myths, ritual uses, and political functions changed. A depth psychology that extracts an allegedly timeless archetype from those differences may repeat the imperial collection of myths: many worlds become raw material for one modern psyche.</w:t>
      </w:r>
    </w:p>
    <w:p w14:paraId="3282E397" w14:textId="77777777" w:rsidR="004A6C7A" w:rsidRDefault="007849EA">
      <w:pPr>
        <w:pStyle w:val="BookBody"/>
      </w:pPr>
      <w:r>
        <w:rPr>
          <w:szCs w:val="28"/>
        </w:rPr>
        <w:t>Psychological astrology is most defensible when it confesses its modernity. It can be used as a deliberately symbolic practice whose interpretations are answerable to the person's experience, the history of the symbols, and ethical consequences. It becomes least defensible when it borrows the certainty of ancient cosmology while avoiding the tests required of modern causal claims.</w:t>
      </w:r>
    </w:p>
    <w:p w14:paraId="6261DF2F" w14:textId="77777777" w:rsidR="004A6C7A" w:rsidRDefault="007849EA">
      <w:pPr>
        <w:pStyle w:val="SectionHeading"/>
      </w:pPr>
      <w:r>
        <w:t>The Cost of an Interior Cosmos</w:t>
      </w:r>
    </w:p>
    <w:p w14:paraId="5FBC0B47" w14:textId="77777777" w:rsidR="004A6C7A" w:rsidRDefault="007849EA">
      <w:pPr>
        <w:pStyle w:val="BookBody"/>
      </w:pPr>
      <w:r>
        <w:t>The inward turn changed what it meant to be rational. For Nietzsche, reasons were symptoms of valuations rooted in embodied histories. For Freud, conscious reasons shared the psyche with compromise formations and repressed wishes. For Jung, rational adaptation was one function among others and could be compensated by images from a collective depth. None allowed the self to remain a transparent point looking out upon the world.</w:t>
      </w:r>
    </w:p>
    <w:p w14:paraId="4C0990A3" w14:textId="77777777" w:rsidR="004A6C7A" w:rsidRDefault="007849EA">
      <w:pPr>
        <w:pStyle w:val="BookBody"/>
      </w:pPr>
      <w:r>
        <w:t>That decentering is a genuine achievement. It makes room for ambivalence, inherited form, bodily pressure, historical injury, and meanings that cannot be commanded into existence. It also explains why education alone does not dissolve a symptom or a prejudice. The conscious statement "I know" may coexist with another organization of fear and desire.</w:t>
      </w:r>
    </w:p>
    <w:p w14:paraId="25FEA1FF" w14:textId="77777777" w:rsidR="004A6C7A" w:rsidRDefault="007849EA">
      <w:pPr>
        <w:pStyle w:val="BookBody"/>
      </w:pPr>
      <w:r>
        <w:t>Yet depth can become a new privilege. The analyst, genealogist, or interpreter claims to know what an action really means beneath the agent's account. Political conflict becomes resentment, ritual becomes projection, objection becomes resistance, and another culture's god becomes an instance of one's own archetype. The language of hidden power can disclose domination while quietly repeating it.</w:t>
      </w:r>
      <w:r>
        <w:rPr>
          <w:vertAlign w:val="superscript"/>
        </w:rPr>
        <w:t>29</w:t>
      </w:r>
    </w:p>
    <w:p w14:paraId="349972E1" w14:textId="77777777" w:rsidR="004A6C7A" w:rsidRDefault="007849EA">
      <w:pPr>
        <w:pStyle w:val="BookBody"/>
      </w:pPr>
      <w:r>
        <w:t>The interiorization of nature has a related cost. A mountain, animal, storm, or color can matter because it activates a psychic pattern, but its own mode of existence recedes. The world is rich in meaning and poor in agency. It becomes an inexhaustible mirror whose images are interpreted in the grammar of the human unconscious.</w:t>
      </w:r>
    </w:p>
    <w:p w14:paraId="7DD8E0E6" w14:textId="77777777" w:rsidR="004A6C7A" w:rsidRDefault="007849EA">
      <w:pPr>
        <w:pStyle w:val="BookBody"/>
      </w:pPr>
      <w:r>
        <w:t>Nietzsche partly resists this enclosure by treating interpretation as a feature of living organization rather than consciousness alone. Freud keeps the drive at the frontier between soma and psyche. Jung's synchronicity tries to place meaning in a relation rather than one side of it. Their concepts strain toward an outside they cannot comfortably describe. The strain is evidence that the psyche was never fully self-contained.</w:t>
      </w:r>
    </w:p>
    <w:p w14:paraId="0438DC7B" w14:textId="77777777" w:rsidR="004A6C7A" w:rsidRDefault="007849EA">
      <w:pPr>
        <w:pStyle w:val="BookBody"/>
      </w:pPr>
      <w:r>
        <w:t>The powers driven inward were therefore neither simply discovered nor simply invented. They were translated. Divine command became conscience; demonic possession became conflict; cosmic recurrence became a test of affirmation; alchemical transformation became individuation; correspondence became synchronicity. Translation preserved intensities that a disenchanted vocabulary might otherwise have dismissed. It also changed who could speak for them.</w:t>
      </w:r>
    </w:p>
    <w:p w14:paraId="146F1727" w14:textId="77777777" w:rsidR="004A6C7A" w:rsidRDefault="007849EA">
      <w:pPr>
        <w:pStyle w:val="BookBody"/>
      </w:pPr>
      <w:r>
        <w:t>The result is not a dead world confronting a fully alive mind. It is a divided life in which mind and world have been assigned unequal roles. The psyche receives symbol, desire, memory, and purpose. Nature receives cause, stimulus, and material. Modern depth psychology makes the first term so deep that the poverty of the second can be overlooked.</w:t>
      </w:r>
    </w:p>
    <w:p w14:paraId="04D7FD0D" w14:textId="77777777" w:rsidR="004A6C7A" w:rsidRDefault="007849EA">
      <w:pPr>
        <w:pStyle w:val="SectionHeading"/>
      </w:pPr>
      <w:r>
        <w:rPr>
          <w:rFonts w:cstheme="majorBidi"/>
          <w:bCs/>
          <w:color w:val="2E74B5"/>
          <w:szCs w:val="28"/>
        </w:rPr>
        <w:t>From Symbol to Logical Life</w:t>
      </w:r>
    </w:p>
    <w:p w14:paraId="6D1392F1" w14:textId="77777777" w:rsidR="004A6C7A" w:rsidRDefault="007849EA">
      <w:pPr>
        <w:pStyle w:val="BookBody"/>
      </w:pPr>
      <w:r>
        <w:rPr>
          <w:szCs w:val="28"/>
        </w:rPr>
        <w:t>Giegerich begins where Jung's recovery of symbol threatens to become a permanent home. For Jung, modern consciousness suffers from the loss of mythic images capable of mediating instinct and meaning. Alchemical, religious, and astrological symbols can compensate a one-sided rationality. Giegerich accepts the historical seriousness of soul but rejects the idea that its truth is preserved by returning to an imaginal precinct outside the logic of modernity.</w:t>
      </w:r>
    </w:p>
    <w:p w14:paraId="22F922BC" w14:textId="77777777" w:rsidR="004A6C7A" w:rsidRDefault="007849EA">
      <w:pPr>
        <w:pStyle w:val="BookBody"/>
      </w:pPr>
      <w:r>
        <w:rPr>
          <w:szCs w:val="28"/>
        </w:rPr>
        <w:t>Hegel stands behind this argument as a method, not as another portrait in the chapter. Consciousness does not merely collect experiences; it changes the form in which truth can appear. A symbol adequate to one historical configuration may become inadequate when its content has entered explicit thought, institutions, technology, and science. The old image cannot simply be revived because the consciousness seeking revival is already the product of the history that dissolved it.</w:t>
      </w:r>
    </w:p>
    <w:p w14:paraId="4AB65173" w14:textId="77777777" w:rsidR="004A6C7A" w:rsidRDefault="007849EA">
      <w:pPr>
        <w:pStyle w:val="BookBody"/>
      </w:pPr>
      <w:r>
        <w:rPr>
          <w:szCs w:val="28"/>
        </w:rPr>
        <w:t>On this view, soul is not a substance located inside an individual. Nor is it a timeless storehouse of archetypal images. It is the logical movement through which a historical world experiences and transforms its own contradictions. Psychology must therefore read modern institutions, concepts, machines, and forms of knowledge as expressions of soul, not merely as forces that oppress an otherwise natural inner life.</w:t>
      </w:r>
    </w:p>
    <w:p w14:paraId="4F5F89BC" w14:textId="77777777" w:rsidR="004A6C7A" w:rsidRDefault="007849EA">
      <w:pPr>
        <w:pStyle w:val="BookBody"/>
      </w:pPr>
      <w:r>
        <w:rPr>
          <w:szCs w:val="28"/>
        </w:rPr>
        <w:t>The claim alters the meaning of interiority. In Freud, a conflict may be interior because incompatible wishes and prohibitions have been organized within a psychical apparatus. In Jung, an image may be interior because it manifests an archetypal pattern through the individual. For Giegerich, the genuinely psychological is interior to the phenomenon itself: the contradiction through which a historical form both asserts and undoes its own truth.</w:t>
      </w:r>
    </w:p>
    <w:p w14:paraId="1F33CCC9" w14:textId="77777777" w:rsidR="004A6C7A" w:rsidRDefault="007849EA">
      <w:pPr>
        <w:pStyle w:val="BookBody"/>
      </w:pPr>
      <w:r>
        <w:rPr>
          <w:szCs w:val="28"/>
        </w:rPr>
        <w:t>This is why nostalgia for the gods can be psychologically evasive. A modern person may surround the self with mythic names, rituals, and images while continuing to live through technological systems, commodity relations, scientific concepts, and administrative institutions. The revived pantheon then becomes a private aesthetic supplement to the very world it claims to overcome. The gods survive as what Giegerich criticizes as virtual-reality figures rather than as the objective powers of a shared cosmos.</w:t>
      </w:r>
    </w:p>
    <w:p w14:paraId="21440C8B" w14:textId="77777777" w:rsidR="004A6C7A" w:rsidRDefault="007849EA">
      <w:pPr>
        <w:pStyle w:val="BookBody"/>
      </w:pPr>
      <w:r>
        <w:rPr>
          <w:szCs w:val="28"/>
        </w:rPr>
        <w:t>His alternative is severe. Psychology becomes a discipline of thought that follows the soul into the forms modernity has actually produced. The computer, market, nation, clinic, and concept may be less enchanting than an alchemical vessel, but they belong to the historical life of consciousness. A rigorous psychology cannot decide in advance that soul appears only where modern rationality feels absent.</w:t>
      </w:r>
    </w:p>
    <w:p w14:paraId="4AA1FBF3" w14:textId="77777777" w:rsidR="004A6C7A" w:rsidRDefault="007849EA">
      <w:pPr>
        <w:pStyle w:val="BookBody"/>
      </w:pPr>
      <w:r>
        <w:rPr>
          <w:szCs w:val="28"/>
        </w:rPr>
        <w:t>The severity also creates a danger. If symbol is always surpassed by concept, lived images, bodies, rituals, and places can appear merely immature. The logical account may reproduce the hierarchy it criticizes in scientific reduction: what can be conceptually comprehended receives public authority, while qualitative experience is assigned to a superseded stage. Giegerich's challenge is strongest when it prevents regression, not when it dismisses every symbolic practice as belated.</w:t>
      </w:r>
    </w:p>
    <w:p w14:paraId="434B6FBF" w14:textId="77777777" w:rsidR="004A6C7A" w:rsidRDefault="007849EA">
      <w:pPr>
        <w:pStyle w:val="BookBody"/>
      </w:pPr>
      <w:r>
        <w:rPr>
          <w:szCs w:val="28"/>
        </w:rPr>
        <w:t>Symbol and concept should therefore be treated as modern attempts at mediation after public cosmology no longer authorizes qualitative powers directly. The symbol preserves density by holding more than discursive reason can state at once. The concept seeks freedom from unexamined immediacy by making the relation explicit. Neither guarantees truth. A symbol can enchant without correcting itself; a concept can clarify while draining the life from what it grasps.</w:t>
      </w:r>
      <w:r>
        <w:rPr>
          <w:szCs w:val="28"/>
          <w:vertAlign w:val="superscript"/>
        </w:rPr>
        <w:t>30</w:t>
      </w:r>
    </w:p>
    <w:p w14:paraId="400ABD64" w14:textId="77777777" w:rsidR="004A6C7A" w:rsidRDefault="007849EA">
      <w:pPr>
        <w:pStyle w:val="SectionHeading"/>
      </w:pPr>
      <w:r>
        <w:rPr>
          <w:rFonts w:cstheme="majorBidi"/>
          <w:bCs/>
          <w:color w:val="2E74B5"/>
          <w:szCs w:val="28"/>
        </w:rPr>
        <w:t>Four Translations of Fate</w:t>
      </w:r>
    </w:p>
    <w:p w14:paraId="77107858" w14:textId="77777777" w:rsidR="004A6C7A" w:rsidRDefault="007849EA">
      <w:pPr>
        <w:pStyle w:val="BookBody"/>
      </w:pPr>
      <w:r>
        <w:rPr>
          <w:szCs w:val="28"/>
        </w:rPr>
        <w:t>The sequence can now be stated as four translations of fate. Nietzsche translates transcendent command into valuation and force. What once appeared as a moral law written into the order of things becomes the historical victory of certain drives and forms of life. Fate survives as the weight of inherited values and as the question of whether a life can affirm the necessity of its becoming.</w:t>
      </w:r>
    </w:p>
    <w:p w14:paraId="4DE5D210" w14:textId="77777777" w:rsidR="004A6C7A" w:rsidRDefault="007849EA">
      <w:pPr>
        <w:pStyle w:val="BookBody"/>
      </w:pPr>
      <w:r>
        <w:rPr>
          <w:szCs w:val="28"/>
        </w:rPr>
        <w:t>Freud translates fate into psychical determination. The apparently accidental symptom has a history; the dream has a work; repetition obeys a compulsion the ego did not choose. Destiny no longer descends from the stars, yet a person still encounters necessity as something intimate and alien. The oracle is replaced by interpretation of formations produced within a divided apparatus.</w:t>
      </w:r>
    </w:p>
    <w:p w14:paraId="04B880AA" w14:textId="77777777" w:rsidR="004A6C7A" w:rsidRDefault="007849EA">
      <w:pPr>
        <w:pStyle w:val="BookBody"/>
      </w:pPr>
      <w:r>
        <w:rPr>
          <w:szCs w:val="28"/>
        </w:rPr>
        <w:t>Jung translates fate into archetypal pattern and synchronistic event. The recurring image can exceed personal memory, and an outer coincidence can feel joined to an inner state by meaning rather than cause. The gain is a language for experiences that reductive explanation leaves mute. The risk is that resonance receives the authority once granted to cosmology without accepting comparable public constraints.</w:t>
      </w:r>
    </w:p>
    <w:p w14:paraId="352CACDC" w14:textId="77777777" w:rsidR="004A6C7A" w:rsidRDefault="007849EA">
      <w:pPr>
        <w:pStyle w:val="BookBody"/>
      </w:pPr>
      <w:r>
        <w:rPr>
          <w:szCs w:val="28"/>
        </w:rPr>
        <w:t>Giegerich translates fate into logical-historical form. Modern consciousness is not free to choose any myth as its home because it already lives through concepts, institutions, technologies, and contradictions produced by history. What appears as the loss of soul may itself be an event in soul's life. Necessity becomes the demand to think the form of consciousness one actually inhabits.</w:t>
      </w:r>
    </w:p>
    <w:p w14:paraId="0DF0491E" w14:textId="77777777" w:rsidR="004A6C7A" w:rsidRDefault="007849EA">
      <w:pPr>
        <w:pStyle w:val="BookBody"/>
      </w:pPr>
      <w:r>
        <w:rPr>
          <w:szCs w:val="28"/>
        </w:rPr>
        <w:t>Each translation breaks the sovereignty of the ego. Drives precede reasons, unconscious formations compromise intentions, archetypal images seize attention, and historical logic exceeds personal preference. The psychological afterlife of the cosmos is therefore not a celebration of private feeling. It is an account of powers that make the private self porous and nonidentical with itself.</w:t>
      </w:r>
    </w:p>
    <w:p w14:paraId="5631CB87" w14:textId="77777777" w:rsidR="004A6C7A" w:rsidRDefault="007849EA">
      <w:pPr>
        <w:pStyle w:val="BookBody"/>
      </w:pPr>
      <w:r>
        <w:rPr>
          <w:szCs w:val="28"/>
        </w:rPr>
        <w:t>Each translation also changes the evidence. Genealogy reads texts, practices, bodies, and values as symptoms of formation. Psychoanalysis listens to associations, dreams, resistances, and repetitions. Analytical psychology compares images, myths, and transformations of affect. Giegerich reads contradictions within historical forms. The object called psyche is produced differently by each method.</w:t>
      </w:r>
    </w:p>
    <w:p w14:paraId="4F59ECC2" w14:textId="77777777" w:rsidR="004A6C7A" w:rsidRDefault="007849EA">
      <w:pPr>
        <w:pStyle w:val="BookBody"/>
      </w:pPr>
      <w:r>
        <w:rPr>
          <w:szCs w:val="28"/>
        </w:rPr>
        <w:t>The methods cannot be combined into one master key. A dream can have biographical determinants without being exhausted by a drive theory. A symbol can organize a life without proving a collective inheritance. A historical institution can express a contradiction that no individual analysis resolves. Methodological plurality is warranted when levels are distinguished, not when every interpretation is declared equally true.</w:t>
      </w:r>
    </w:p>
    <w:p w14:paraId="47DCABD6" w14:textId="77777777" w:rsidR="004A6C7A" w:rsidRDefault="007849EA">
      <w:pPr>
        <w:pStyle w:val="BookBody"/>
      </w:pPr>
      <w:r>
        <w:rPr>
          <w:szCs w:val="28"/>
        </w:rPr>
        <w:t>The central danger is immunity. An interpretation becomes tyrannical when rejection counts automatically as resistance, failed prediction as synchronicity, conceptual objection as one-sided rationalism, or attachment to an image as historical regression. Depth must remain corrigible. Otherwise psychology recreates the unquestionable authority it claimed to displace from religion and cosmology.</w:t>
      </w:r>
    </w:p>
    <w:p w14:paraId="77B91704" w14:textId="77777777" w:rsidR="004A6C7A" w:rsidRDefault="007849EA">
      <w:pPr>
        <w:pStyle w:val="BookBody"/>
      </w:pPr>
      <w:r>
        <w:rPr>
          <w:szCs w:val="28"/>
        </w:rPr>
        <w:t>The corresponding gain is a richer account of reason. Reasons are not discarded; they are placed within bodies, histories, relations, and forms of consciousness. A person can examine why a reason became compelling, what desire it serves, what experience it excludes, and whether it survives encounter with others. Critique becomes more demanding because the critic is included in the field.</w:t>
      </w:r>
    </w:p>
    <w:p w14:paraId="12B4F256" w14:textId="77777777" w:rsidR="004A6C7A" w:rsidRDefault="007849EA">
      <w:pPr>
        <w:pStyle w:val="BookBody"/>
      </w:pPr>
      <w:r>
        <w:rPr>
          <w:szCs w:val="28"/>
        </w:rPr>
        <w:t>The four translations bring the book to a threshold. They show that meaning is not created by a transparent spectator confronting neutral matter. But they do not yet show that qualitative significance belongs to relations among living beings and environments. Psychology has reopened depth; the next step is to reopen the world.</w:t>
      </w:r>
    </w:p>
    <w:p w14:paraId="42C186B6" w14:textId="77777777" w:rsidR="004A6C7A" w:rsidRDefault="007849EA">
      <w:pPr>
        <w:pStyle w:val="SectionHeading"/>
      </w:pPr>
      <w:r>
        <w:rPr>
          <w:rFonts w:cstheme="majorBidi"/>
          <w:bCs/>
          <w:color w:val="2E74B5"/>
          <w:szCs w:val="28"/>
        </w:rPr>
        <w:t>Mediation after the Cosmos</w:t>
      </w:r>
    </w:p>
    <w:p w14:paraId="1559DA2C" w14:textId="77777777" w:rsidR="004A6C7A" w:rsidRDefault="007849EA">
      <w:pPr>
        <w:pStyle w:val="BookBody"/>
      </w:pPr>
      <w:r>
        <w:rPr>
          <w:szCs w:val="28"/>
        </w:rPr>
        <w:t>The unresolved issue is public mediation. An inward experience may be profound, and an interpretation may transform a life, yet a society cannot coordinate shared action by private recognition alone. Claims about bodies, institutions, histories, and ecosystems require forms of evidence that strangers can examine. Psychological truth and public truth overlap, but neither can simply absorb the other.</w:t>
      </w:r>
    </w:p>
    <w:p w14:paraId="33138C99" w14:textId="77777777" w:rsidR="004A6C7A" w:rsidRDefault="007849EA">
      <w:pPr>
        <w:pStyle w:val="BookBody"/>
      </w:pPr>
      <w:r>
        <w:rPr>
          <w:szCs w:val="28"/>
        </w:rPr>
        <w:t>Nor does conceptual mediation exhaust experience. There may be moments in which relation is lived before it is symbolized or explained: grief held by another body, absorption in music, attention to an animal, the pressure of weather, the reciprocity of touch. Mature consciousness need not choose between regression to myth and permanent residence in abstraction. It may learn when images, concepts, measurements, and direct participation each disclose something the others cannot.</w:t>
      </w:r>
    </w:p>
    <w:p w14:paraId="10058F6B" w14:textId="77777777" w:rsidR="004A6C7A" w:rsidRDefault="007849EA">
      <w:pPr>
        <w:pStyle w:val="BookBody"/>
      </w:pPr>
      <w:r>
        <w:rPr>
          <w:szCs w:val="28"/>
        </w:rPr>
        <w:t>The possibility of unmediated fullness must remain open without becoming a new claim to innocence. No experience arrives outside language, history, and embodiment, yet not every event is best understood as a representation inside the psyche. A world can touch and solicit a living being before that being turns the encounter into a personal symbol.</w:t>
      </w:r>
    </w:p>
    <w:p w14:paraId="405BBA70" w14:textId="77777777" w:rsidR="004A6C7A" w:rsidRDefault="007849EA">
      <w:pPr>
        <w:pStyle w:val="BookBody"/>
      </w:pPr>
      <w:r>
        <w:rPr>
          <w:szCs w:val="28"/>
        </w:rPr>
        <w:t>This is the boundary psychology reaches but cannot cross by interpretation alone. Nietzsche, Freud, Jung, and Giegerich dismantle the sovereign ego and show that consciousness belongs to forces and histories it does not master. The next chapter asks whether meaning can also belong to the real relation between an organism and its milieu. If so, qualitative significance need not be restored as cosmic decree or confined as inward projection.</w:t>
      </w:r>
    </w:p>
    <w:p w14:paraId="1A0C27DE" w14:textId="77777777" w:rsidR="004A6C7A" w:rsidRDefault="007849EA">
      <w:pPr>
        <w:pStyle w:val="BookBody"/>
      </w:pPr>
      <w:r>
        <w:rPr>
          <w:szCs w:val="28"/>
        </w:rPr>
        <w:t>The inward migration is therefore neither a fraud nor a final solution. Drives, symptoms, archetypes, and logical forms name real constraints on conscious intention. They explain why a person cannot simply decide to become transparent, rational, or free of history. The psyche is a discovery of limits made through modern practices of interpretation.</w:t>
      </w:r>
    </w:p>
    <w:p w14:paraId="5F622692" w14:textId="77777777" w:rsidR="004A6C7A" w:rsidRDefault="007849EA">
      <w:pPr>
        <w:pStyle w:val="BookBody"/>
      </w:pPr>
      <w:r>
        <w:rPr>
          <w:szCs w:val="28"/>
        </w:rPr>
        <w:t>But the same terms can monopolize meaning. If every animal is an archetype, its behavior and habitat disappear. If every landscape is a projection, its material vulnerability becomes secondary. If every political conflict is a symptom, institutions escape direct analysis. Psychological depth becomes shallow when it treats the world only as its mirror.</w:t>
      </w:r>
    </w:p>
    <w:p w14:paraId="536E8E59" w14:textId="77777777" w:rsidR="004A6C7A" w:rsidRDefault="007849EA">
      <w:pPr>
        <w:pStyle w:val="BookBody"/>
      </w:pPr>
      <w:r>
        <w:rPr>
          <w:szCs w:val="28"/>
        </w:rPr>
        <w:t>The corrective is not a naive realism in which facts speak without bodies. Chapter 17 has shown that observation depends on conditions, and Humboldt has shown that wholes are represented. The needed advance is a relational realism: qualities can arise through encounters that are neither properties of isolated objects nor inventions of isolated subjects.</w:t>
      </w:r>
    </w:p>
    <w:p w14:paraId="5357C7F8" w14:textId="77777777" w:rsidR="004A6C7A" w:rsidRDefault="007849EA">
      <w:pPr>
        <w:pStyle w:val="BookBody"/>
      </w:pPr>
      <w:r>
        <w:rPr>
          <w:szCs w:val="28"/>
        </w:rPr>
        <w:t>Such realism also disciplines interpretation. A meaningful encounter must answer to the other being and to the situation, not only to the interpreter's repertoire. An organism can surprise the observer because it has its own organization; a place can resist the story imposed upon it because material processes continue beyond human recognition.</w:t>
      </w:r>
    </w:p>
    <w:p w14:paraId="699F548D" w14:textId="77777777" w:rsidR="004A6C7A" w:rsidRDefault="007849EA">
      <w:pPr>
        <w:pStyle w:val="BookBody"/>
      </w:pPr>
      <w:r>
        <w:rPr>
          <w:szCs w:val="28"/>
        </w:rPr>
        <w:t>Psychology prepares this turn by undoing conscious sovereignty. Nietzsche makes valuation bodily, Freud makes intention divided, Jung makes images more than voluntary signs, and Giegerich makes consciousness historical. Their common lesson is that the self is constituted through what exceeds it.</w:t>
      </w:r>
    </w:p>
    <w:p w14:paraId="207B8ECD" w14:textId="77777777" w:rsidR="004A6C7A" w:rsidRDefault="007849EA">
      <w:pPr>
        <w:pStyle w:val="BookBody"/>
      </w:pPr>
      <w:r>
        <w:rPr>
          <w:szCs w:val="28"/>
        </w:rPr>
        <w:t>The next chapter asks whether that excess can be described positively as a world made in living relation. The answer will not restore fate to the stars. It will locate significance in the selective, normative, and embodied commerce through which a creature and a milieu become meaningful to one another.</w:t>
      </w:r>
    </w:p>
    <w:p w14:paraId="3F21FF54" w14:textId="77777777" w:rsidR="004A6C7A" w:rsidRDefault="007849EA">
      <w:pPr>
        <w:pStyle w:val="BookBody"/>
      </w:pPr>
      <w:r>
        <w:rPr>
          <w:szCs w:val="28"/>
        </w:rPr>
        <w:t>This transition also limits the prestige of depth. What is hidden is not automatically more real than what appears, and an interpreter's suspicion is not automatically wiser than an organism's practical orientation. Sometimes meaning lies in the surface relation: the edible fruit, the threatening movement, the reachable branch, the voice of another.</w:t>
      </w:r>
    </w:p>
    <w:p w14:paraId="164CFD7A" w14:textId="77777777" w:rsidR="004A6C7A" w:rsidRDefault="007849EA">
      <w:pPr>
        <w:pStyle w:val="BookBody"/>
      </w:pPr>
      <w:r>
        <w:rPr>
          <w:szCs w:val="28"/>
        </w:rPr>
        <w:t>A psychology adequate to life must therefore know when to stop interpreting. It must allow perception to disclose a shared situation and allow another being to have interests not reducible to human symbolism. The soul's afterlife in modernity points beyond the sealed interior toward encounters that make worlds.</w:t>
      </w:r>
    </w:p>
    <w:p w14:paraId="22A5017F" w14:textId="77777777" w:rsidR="004A6C7A" w:rsidRDefault="007849EA">
      <w:pPr>
        <w:pStyle w:val="BookBody"/>
      </w:pPr>
      <w:r>
        <w:rPr>
          <w:szCs w:val="28"/>
        </w:rPr>
        <w:t>The decisive recovery will be modest in scale and radical in consequence. It will not declare the universe meaningful as a whole. It will show how meaning becomes real wherever a living being distinguishes, values, responds, and is transformed within a milieu.</w:t>
      </w:r>
    </w:p>
    <w:p w14:paraId="2F372640" w14:textId="77777777" w:rsidR="004A6C7A" w:rsidRDefault="007849EA">
      <w:pPr>
        <w:pStyle w:val="BookBody"/>
      </w:pPr>
      <w:r>
        <w:rPr>
          <w:szCs w:val="28"/>
        </w:rPr>
        <w:t>That claim will also clarify what psychology can contribute. Dreams, symptoms, and symbols disclose how a human life organizes significance across time. They become evidence for living relation when they are placed beside perception, action, bodily norm, and environment rather than treated as a separate kingdom beneath the world.</w:t>
      </w:r>
    </w:p>
    <w:p w14:paraId="71C3392B" w14:textId="77777777" w:rsidR="004A6C7A" w:rsidRDefault="007849EA">
      <w:pPr>
        <w:pStyle w:val="BookBody"/>
      </w:pPr>
      <w:r>
        <w:rPr>
          <w:szCs w:val="28"/>
        </w:rPr>
        <w:t>The psychological afterlife of the cosmos thus ends by surrendering its monopoly. Meaning need not be guaranteed from above, and it need not be hidden exclusively within. It can be enacted between a vulnerable body and the surroundings to which that body learns, suffers, and answers.</w:t>
      </w:r>
    </w:p>
    <w:p w14:paraId="6975113E" w14:textId="77777777" w:rsidR="004A6C7A" w:rsidRDefault="007849EA">
      <w:pPr>
        <w:pStyle w:val="SectionHeading"/>
      </w:pPr>
      <w:r>
        <w:t>Toward the Organism's World</w:t>
      </w:r>
    </w:p>
    <w:p w14:paraId="4B2363A5" w14:textId="77777777" w:rsidR="004A6C7A" w:rsidRDefault="007849EA">
      <w:pPr>
        <w:pStyle w:val="BookBody"/>
      </w:pPr>
      <w:r>
        <w:t>The next step cannot be a return to the old heavens as though critique had never occurred. Gods cannot simply be restored as explanations of storms, and symbols cannot be exempted from history. Nor is it enough to seal meaning inside the subject and call the remainder environment. The problem is to understand how significance arises in a relation between a living body and a world that offers resistance, nourishment, danger, shelter, and other lives.</w:t>
      </w:r>
    </w:p>
    <w:p w14:paraId="27B28EE7" w14:textId="77777777" w:rsidR="004A6C7A" w:rsidRDefault="007849EA">
      <w:pPr>
        <w:pStyle w:val="BookBody"/>
      </w:pPr>
      <w:r>
        <w:t xml:space="preserve">Twentieth-century theories of the organism will reopen that relation from another direction. Jakob von Uexkull will describe the </w:t>
      </w:r>
      <w:r>
        <w:rPr>
          <w:i/>
        </w:rPr>
        <w:t>Umwelt</w:t>
      </w:r>
      <w:r>
        <w:t>, the species-specific world selected through an animal's capacities for perception and action. Kurt Goldstein will insist that the organism responds as a whole rather than as a collection of local mechanisms. Georges Canguilhem will define life through the power to establish norms, and Maurice Merleau-Ponty will make the lived body the medium through which a world appears.</w:t>
      </w:r>
    </w:p>
    <w:p w14:paraId="08210538" w14:textId="77777777" w:rsidR="004A6C7A" w:rsidRDefault="007849EA">
      <w:pPr>
        <w:pStyle w:val="BookBody"/>
      </w:pPr>
      <w:r>
        <w:t>These accounts do not deny inwardness. They relocate it. Perception is neither a picture inside the skull nor the passive registration of external facts. It is an embodied orientation in a field. Meaning belongs to the circuit between organism and milieu before it becomes an explicit judgment.</w:t>
      </w:r>
    </w:p>
    <w:p w14:paraId="75D1EBE3" w14:textId="77777777" w:rsidR="004A6C7A" w:rsidRDefault="007849EA">
      <w:pPr>
        <w:pStyle w:val="BookBody"/>
      </w:pPr>
      <w:r>
        <w:t>That circuit may offer a way beyond the choice that has governed the modern story: either a cosmos already saturated with human purpose or a neutral world onto which a sovereign psyche projects meaning. A tick, a patient, a laboratory organism, and a perceiving body inhabit different worlds without inventing them from nothing. The environment answers because it is encountered through needs and powers that are real.</w:t>
      </w:r>
    </w:p>
    <w:p w14:paraId="11536CA9" w14:textId="77777777" w:rsidR="004A6C7A" w:rsidRDefault="007849EA">
      <w:pPr>
        <w:pStyle w:val="BookBody"/>
      </w:pPr>
      <w:r>
        <w:t>Nietzsche, Freud, and Jung prepared this reopening by breaking the sovereignty of consciousness. Their inward powers made the self bodily, divided, temporal, and more than personal. But the movement cannot end inside. Once the transparent ego has been displaced, the boundary around the psyche can also be loosened. The question becomes not what hidden theater produces the world, but how a living being and a world take form together.</w:t>
      </w:r>
    </w:p>
    <w:p w14:paraId="487C5959" w14:textId="77777777" w:rsidR="004A6C7A" w:rsidRDefault="007849EA">
      <w:pPr>
        <w:pStyle w:val="NotesHeading"/>
      </w:pPr>
      <w:r>
        <w:t>Notes</w:t>
      </w:r>
    </w:p>
    <w:p w14:paraId="657C8FE2" w14:textId="77777777" w:rsidR="004A6C7A" w:rsidRDefault="007849EA">
      <w:pPr>
        <w:pStyle w:val="NoteEntry"/>
      </w:pPr>
      <w:r>
        <w:t xml:space="preserve">1. Friedrich Nietzsche, </w:t>
      </w:r>
      <w:r>
        <w:rPr>
          <w:i/>
        </w:rPr>
        <w:t>The Gay Science</w:t>
      </w:r>
      <w:r>
        <w:t>, trans. Walter Kaufmann (New York: Vintage, 1974), sections 108 and 125.</w:t>
      </w:r>
    </w:p>
    <w:p w14:paraId="76A8C829" w14:textId="77777777" w:rsidR="004A6C7A" w:rsidRDefault="007849EA" w:rsidP="005F5B8C">
      <w:pPr>
        <w:pStyle w:val="NoteEntry"/>
      </w:pPr>
      <w:r>
        <w:t xml:space="preserve">2. Friedrich Nietzsche, </w:t>
      </w:r>
      <w:r>
        <w:rPr>
          <w:i/>
        </w:rPr>
        <w:t>Beyond Good and Evil</w:t>
      </w:r>
      <w:r>
        <w:t xml:space="preserve">, trans. Walter Kaufmann (New York: Vintage, 1966), sections 6, 23, and 36; Gregory Moore, </w:t>
      </w:r>
      <w:r>
        <w:rPr>
          <w:i/>
        </w:rPr>
        <w:t>Nietzsche, Biology and Metaphor</w:t>
      </w:r>
      <w:r>
        <w:t xml:space="preserve"> (Cambridge: Cambridge University Press, 2002), 1-45.</w:t>
      </w:r>
    </w:p>
    <w:p w14:paraId="4413BEC9" w14:textId="77777777" w:rsidR="004A6C7A" w:rsidRDefault="007849EA">
      <w:pPr>
        <w:pStyle w:val="NoteEntry"/>
      </w:pPr>
      <w:r>
        <w:t xml:space="preserve">3. Nietzsche, </w:t>
      </w:r>
      <w:r>
        <w:rPr>
          <w:i/>
        </w:rPr>
        <w:t>Beyond Good and Evil</w:t>
      </w:r>
      <w:r>
        <w:t xml:space="preserve">, sections 9 and 13; Moore, </w:t>
      </w:r>
      <w:r>
        <w:rPr>
          <w:i/>
        </w:rPr>
        <w:t>Nietzsche, Biology and Metaphor</w:t>
      </w:r>
      <w:r>
        <w:t>, 21-63.</w:t>
      </w:r>
    </w:p>
    <w:p w14:paraId="448B0275" w14:textId="77777777" w:rsidR="004A6C7A" w:rsidRDefault="007849EA">
      <w:pPr>
        <w:pStyle w:val="NoteEntry"/>
      </w:pPr>
      <w:r>
        <w:t xml:space="preserve">4. Nietzsche, </w:t>
      </w:r>
      <w:r>
        <w:rPr>
          <w:i/>
        </w:rPr>
        <w:t>Gay Science</w:t>
      </w:r>
      <w:r>
        <w:t>, section 125.</w:t>
      </w:r>
    </w:p>
    <w:p w14:paraId="23EA0963" w14:textId="77777777" w:rsidR="004A6C7A" w:rsidRDefault="007849EA">
      <w:pPr>
        <w:pStyle w:val="NoteEntry"/>
      </w:pPr>
      <w:r>
        <w:t xml:space="preserve">5. Nietzsche, </w:t>
      </w:r>
      <w:r>
        <w:rPr>
          <w:i/>
        </w:rPr>
        <w:t>Gay Science</w:t>
      </w:r>
      <w:r>
        <w:t>, section 343.</w:t>
      </w:r>
    </w:p>
    <w:p w14:paraId="6476EE5C" w14:textId="77777777" w:rsidR="004A6C7A" w:rsidRDefault="007849EA">
      <w:pPr>
        <w:pStyle w:val="NoteEntry"/>
      </w:pPr>
      <w:r>
        <w:t xml:space="preserve">6. Friedrich Nietzsche, </w:t>
      </w:r>
      <w:r>
        <w:rPr>
          <w:i/>
        </w:rPr>
        <w:t>On the Genealogy of Morality</w:t>
      </w:r>
      <w:r>
        <w:t>, ed. Keith Ansell-Pearson, trans. Carol Diethe, rev. ed. (Cambridge: Cambridge University Press, 2006), Preface and First Essay.</w:t>
      </w:r>
    </w:p>
    <w:p w14:paraId="41A31FA1" w14:textId="77777777" w:rsidR="004A6C7A" w:rsidRDefault="007849EA">
      <w:pPr>
        <w:pStyle w:val="NoteEntry"/>
      </w:pPr>
      <w:r>
        <w:t xml:space="preserve">7. Nietzsche, </w:t>
      </w:r>
      <w:r>
        <w:rPr>
          <w:i/>
        </w:rPr>
        <w:t>Genealogy of Morality</w:t>
      </w:r>
      <w:r>
        <w:t>, Second Essay, sections 1-3.</w:t>
      </w:r>
    </w:p>
    <w:p w14:paraId="2A014605" w14:textId="77777777" w:rsidR="004A6C7A" w:rsidRDefault="007849EA">
      <w:pPr>
        <w:pStyle w:val="NoteEntry"/>
      </w:pPr>
      <w:r>
        <w:t xml:space="preserve">8. Nietzsche, </w:t>
      </w:r>
      <w:r>
        <w:rPr>
          <w:i/>
        </w:rPr>
        <w:t>Genealogy of Morality</w:t>
      </w:r>
      <w:r>
        <w:t>, Second Essay, sections 16-18.</w:t>
      </w:r>
    </w:p>
    <w:p w14:paraId="0DE80230" w14:textId="77777777" w:rsidR="004A6C7A" w:rsidRDefault="007849EA">
      <w:pPr>
        <w:pStyle w:val="NoteEntry"/>
      </w:pPr>
      <w:r>
        <w:t xml:space="preserve">9. Nietzsche, </w:t>
      </w:r>
      <w:r>
        <w:rPr>
          <w:i/>
        </w:rPr>
        <w:t>Genealogy of Morality</w:t>
      </w:r>
      <w:r>
        <w:t xml:space="preserve">, Second Essay, sections 18-22; Moore, </w:t>
      </w:r>
      <w:r>
        <w:rPr>
          <w:i/>
        </w:rPr>
        <w:t>Nietzsche, Biology and Metaphor</w:t>
      </w:r>
      <w:r>
        <w:t>, 64-92.</w:t>
      </w:r>
    </w:p>
    <w:p w14:paraId="18A8B326" w14:textId="77777777" w:rsidR="004A6C7A" w:rsidRDefault="007849EA">
      <w:pPr>
        <w:pStyle w:val="NoteEntry"/>
      </w:pPr>
      <w:r>
        <w:t xml:space="preserve">10. Nietzsche, </w:t>
      </w:r>
      <w:r>
        <w:rPr>
          <w:i/>
        </w:rPr>
        <w:t>Gay Science</w:t>
      </w:r>
      <w:r>
        <w:t>, section 341. On the status of recurrence as an existential test and a cosmological hypothesis, see Walter Kaufmann's commentary in the same edition, 273-75 and 319-23.</w:t>
      </w:r>
    </w:p>
    <w:p w14:paraId="1AED65C4" w14:textId="77777777" w:rsidR="004A6C7A" w:rsidRDefault="007849EA">
      <w:pPr>
        <w:pStyle w:val="NoteEntry"/>
      </w:pPr>
      <w:r>
        <w:t xml:space="preserve">11. Henri F. Ellenberger, </w:t>
      </w:r>
      <w:r>
        <w:rPr>
          <w:i/>
        </w:rPr>
        <w:t>The Discovery of the Unconscious: The History and Evolution of Dynamic Psychiatry</w:t>
      </w:r>
      <w:r>
        <w:t xml:space="preserve"> (New York: Basic Books, 1970), 3-69, 418-571; Frank J. Sulloway, </w:t>
      </w:r>
      <w:r>
        <w:rPr>
          <w:i/>
        </w:rPr>
        <w:t>Freud, Biologist of the Mind</w:t>
      </w:r>
      <w:r>
        <w:t xml:space="preserve"> (New York: Basic Books, 1979), 3-43.</w:t>
      </w:r>
    </w:p>
    <w:p w14:paraId="2065C315" w14:textId="77777777" w:rsidR="004A6C7A" w:rsidRDefault="007849EA">
      <w:pPr>
        <w:pStyle w:val="NoteEntry"/>
      </w:pPr>
      <w:r>
        <w:t xml:space="preserve">12. Sigmund Freud, </w:t>
      </w:r>
      <w:r>
        <w:rPr>
          <w:i/>
        </w:rPr>
        <w:t>The Interpretation of Dreams</w:t>
      </w:r>
      <w:r>
        <w:t>, trans. James Strachey (New York: Basic Books, 2010), chapters II, VI, and VII.</w:t>
      </w:r>
    </w:p>
    <w:p w14:paraId="7AF9BCEA" w14:textId="77777777" w:rsidR="004A6C7A" w:rsidRDefault="007849EA">
      <w:pPr>
        <w:pStyle w:val="NoteEntry"/>
      </w:pPr>
      <w:r>
        <w:t xml:space="preserve">13. Freud, </w:t>
      </w:r>
      <w:r>
        <w:rPr>
          <w:i/>
        </w:rPr>
        <w:t>Interpretation of Dreams</w:t>
      </w:r>
      <w:r>
        <w:t>, chapter VII, esp. 539-43. The apparatus is explicitly schematic and topographical rather than a literal anatomical map.</w:t>
      </w:r>
    </w:p>
    <w:p w14:paraId="59D1575D" w14:textId="77777777" w:rsidR="004A6C7A" w:rsidRDefault="007849EA">
      <w:pPr>
        <w:pStyle w:val="NoteEntry"/>
      </w:pPr>
      <w:r>
        <w:t xml:space="preserve">14. Freud, </w:t>
      </w:r>
      <w:r>
        <w:rPr>
          <w:i/>
        </w:rPr>
        <w:t>Interpretation of Dreams</w:t>
      </w:r>
      <w:r>
        <w:t>, chapter VI, sections A-D, on condensation, displacement, representability, and secondary revision.</w:t>
      </w:r>
    </w:p>
    <w:p w14:paraId="4F117C73" w14:textId="77777777" w:rsidR="004A6C7A" w:rsidRDefault="007849EA">
      <w:pPr>
        <w:pStyle w:val="NoteEntry"/>
      </w:pPr>
      <w:r>
        <w:t xml:space="preserve">15. Sigmund Freud, "Instincts and Their Vicissitudes," "Repression," and "The Unconscious," in </w:t>
      </w:r>
      <w:r>
        <w:rPr>
          <w:i/>
        </w:rPr>
        <w:t>On Metapsychology: The Theory of Psychoanalysis</w:t>
      </w:r>
      <w:r>
        <w:t>, trans. James Strachey, ed. Angela Richards (London: Penguin, 1991), 105-206.</w:t>
      </w:r>
    </w:p>
    <w:p w14:paraId="6CE036AB" w14:textId="77777777" w:rsidR="004A6C7A" w:rsidRDefault="007849EA">
      <w:pPr>
        <w:pStyle w:val="NoteEntry"/>
      </w:pPr>
      <w:r>
        <w:t xml:space="preserve">16. Sigmund Freud, </w:t>
      </w:r>
      <w:r>
        <w:rPr>
          <w:i/>
        </w:rPr>
        <w:t>Beyond the Pleasure Principle</w:t>
      </w:r>
      <w:r>
        <w:t>, trans. James Strachey (New York: W. W. Norton, 1961), chapters II-VII.</w:t>
      </w:r>
    </w:p>
    <w:p w14:paraId="709E37BA" w14:textId="77777777" w:rsidR="004A6C7A" w:rsidRDefault="007849EA">
      <w:pPr>
        <w:pStyle w:val="NoteEntry"/>
      </w:pPr>
      <w:r>
        <w:t xml:space="preserve">17. Sigmund Freud, </w:t>
      </w:r>
      <w:r>
        <w:rPr>
          <w:i/>
        </w:rPr>
        <w:t>Civilization and Its Discontents</w:t>
      </w:r>
      <w:r>
        <w:t>, trans. James Strachey (New York: W. W. Norton, 1961), chapters I-II.</w:t>
      </w:r>
    </w:p>
    <w:p w14:paraId="00CCD349" w14:textId="77777777" w:rsidR="004A6C7A" w:rsidRDefault="007849EA">
      <w:pPr>
        <w:pStyle w:val="NoteEntry"/>
      </w:pPr>
      <w:r>
        <w:t xml:space="preserve">18. Freud, </w:t>
      </w:r>
      <w:r>
        <w:rPr>
          <w:i/>
        </w:rPr>
        <w:t>Civilization and Its Discontents</w:t>
      </w:r>
      <w:r>
        <w:t xml:space="preserve">, chapters VII-VIII; Sigmund Freud, </w:t>
      </w:r>
      <w:r>
        <w:rPr>
          <w:i/>
        </w:rPr>
        <w:t>The Ego and the Id</w:t>
      </w:r>
      <w:r>
        <w:t>, trans. Joan Riviere, rev. James Strachey (New York: W. W. Norton, 1989), chapters III and V.</w:t>
      </w:r>
    </w:p>
    <w:p w14:paraId="4CD23C9C" w14:textId="77777777" w:rsidR="004A6C7A" w:rsidRDefault="007849EA">
      <w:pPr>
        <w:pStyle w:val="NoteEntry"/>
      </w:pPr>
      <w:r>
        <w:t xml:space="preserve">19. Nietzsche, </w:t>
      </w:r>
      <w:r>
        <w:rPr>
          <w:i/>
        </w:rPr>
        <w:t>Genealogy of Morality</w:t>
      </w:r>
      <w:r>
        <w:t xml:space="preserve">, Second Essay, sections 16-22; Freud, </w:t>
      </w:r>
      <w:r>
        <w:rPr>
          <w:i/>
        </w:rPr>
        <w:t>Civilization and Its Discontents</w:t>
      </w:r>
      <w:r>
        <w:t>, chapters VII-VIII.</w:t>
      </w:r>
    </w:p>
    <w:p w14:paraId="386C0324" w14:textId="77777777" w:rsidR="004A6C7A" w:rsidRDefault="007849EA">
      <w:pPr>
        <w:pStyle w:val="NoteEntry"/>
      </w:pPr>
      <w:r>
        <w:t xml:space="preserve">20. C. G. Jung, </w:t>
      </w:r>
      <w:r>
        <w:rPr>
          <w:i/>
        </w:rPr>
        <w:t>Psychology of the Unconscious</w:t>
      </w:r>
      <w:r>
        <w:t xml:space="preserve">, trans. Beatrice M. Hinkle (New York: Moffat, Yard, 1916), 3-27, 127-54; C. G. Jung, </w:t>
      </w:r>
      <w:r>
        <w:rPr>
          <w:i/>
        </w:rPr>
        <w:t>The Archetypes and the Collective Unconscious</w:t>
      </w:r>
      <w:r>
        <w:t>, 2nd ed., trans. R. F. C. Hull (Princeton: Princeton University Press, 1969), 3-41.</w:t>
      </w:r>
    </w:p>
    <w:p w14:paraId="22C1528C" w14:textId="77777777" w:rsidR="004A6C7A" w:rsidRDefault="007849EA">
      <w:pPr>
        <w:pStyle w:val="NoteEntry"/>
      </w:pPr>
      <w:r>
        <w:t xml:space="preserve">21. Sonu Shamdasani, </w:t>
      </w:r>
      <w:r>
        <w:rPr>
          <w:i/>
        </w:rPr>
        <w:t>Jung and the Making of Modern Psychology: The Dream of a Science</w:t>
      </w:r>
      <w:r>
        <w:t xml:space="preserve"> (Cambridge: Cambridge University Press, 2003), 1-28, 193-270, 271-357.</w:t>
      </w:r>
    </w:p>
    <w:p w14:paraId="6D888FDC" w14:textId="77777777" w:rsidR="004A6C7A" w:rsidRDefault="007849EA">
      <w:pPr>
        <w:pStyle w:val="NoteEntry"/>
      </w:pPr>
      <w:r>
        <w:t xml:space="preserve">22. Jung, </w:t>
      </w:r>
      <w:r>
        <w:rPr>
          <w:i/>
        </w:rPr>
        <w:t>Archetypes and the Collective Unconscious</w:t>
      </w:r>
      <w:r>
        <w:t>, 42-53, 75-110.</w:t>
      </w:r>
    </w:p>
    <w:p w14:paraId="2B03E44F" w14:textId="77777777" w:rsidR="004A6C7A" w:rsidRDefault="007849EA">
      <w:pPr>
        <w:pStyle w:val="NoteEntry"/>
      </w:pPr>
      <w:r>
        <w:t xml:space="preserve">23. Shamdasani, </w:t>
      </w:r>
      <w:r>
        <w:rPr>
          <w:i/>
        </w:rPr>
        <w:t>Jung and the Making of Modern Psychology</w:t>
      </w:r>
      <w:r>
        <w:t>, 243-67, 296-340.</w:t>
      </w:r>
    </w:p>
    <w:p w14:paraId="4F5A6811" w14:textId="77777777" w:rsidR="004A6C7A" w:rsidRDefault="007849EA">
      <w:pPr>
        <w:pStyle w:val="NoteEntry"/>
      </w:pPr>
      <w:r>
        <w:t xml:space="preserve">24. C. G. Jung, </w:t>
      </w:r>
      <w:r>
        <w:rPr>
          <w:i/>
        </w:rPr>
        <w:t>Psychology and Alchemy</w:t>
      </w:r>
      <w:r>
        <w:t>, 2nd ed., trans. R. F. C. Hull (Princeton: Princeton University Press, 1968), 225-486.</w:t>
      </w:r>
    </w:p>
    <w:p w14:paraId="5A5724F2" w14:textId="77777777" w:rsidR="004A6C7A" w:rsidRDefault="007849EA">
      <w:pPr>
        <w:pStyle w:val="NoteEntry"/>
      </w:pPr>
      <w:r>
        <w:t xml:space="preserve">25. Lawrence M. Principe, </w:t>
      </w:r>
      <w:r>
        <w:rPr>
          <w:i/>
        </w:rPr>
        <w:t>The Secrets of Alchemy</w:t>
      </w:r>
      <w:r>
        <w:t xml:space="preserve"> (Chicago: University of Chicago Press, 2013), 107-72. Principe's historical and experimental reconstructions show why alchemical imagery must remain connected to material procedures and substances.</w:t>
      </w:r>
    </w:p>
    <w:p w14:paraId="5C3150C6" w14:textId="77777777" w:rsidR="004A6C7A" w:rsidRDefault="007849EA">
      <w:pPr>
        <w:pStyle w:val="NoteEntry"/>
      </w:pPr>
      <w:r>
        <w:t xml:space="preserve">26. C. G. Jung, </w:t>
      </w:r>
      <w:r>
        <w:rPr>
          <w:i/>
        </w:rPr>
        <w:t>Psychological Types; or, The Psychology of Individuation</w:t>
      </w:r>
      <w:r>
        <w:t>, trans. H. Godwin Baynes (New York: Harcourt, Brace, 1923), 9-15, 412-515.</w:t>
      </w:r>
    </w:p>
    <w:p w14:paraId="6AF4953E" w14:textId="77777777" w:rsidR="004A6C7A" w:rsidRDefault="007849EA">
      <w:pPr>
        <w:pStyle w:val="NoteEntry"/>
      </w:pPr>
      <w:r>
        <w:t xml:space="preserve">27. C. G. Jung, </w:t>
      </w:r>
      <w:r>
        <w:rPr>
          <w:i/>
        </w:rPr>
        <w:t>Synchronicity: An Acausal Connecting Principle</w:t>
      </w:r>
      <w:r>
        <w:t>, trans. R. F. C. Hull (Princeton: Princeton University Press, 1973), 5-42, 69-101.</w:t>
      </w:r>
    </w:p>
    <w:p w14:paraId="440E5925" w14:textId="77777777" w:rsidR="004A6C7A" w:rsidRDefault="007849EA">
      <w:pPr>
        <w:pStyle w:val="NoteEntry"/>
      </w:pPr>
      <w:r>
        <w:t xml:space="preserve">28. Jung, </w:t>
      </w:r>
      <w:r>
        <w:rPr>
          <w:i/>
        </w:rPr>
        <w:t>Synchronicity</w:t>
      </w:r>
      <w:r>
        <w:t>, 43-68 and editorial preface. The experiment's total result did not establish a statistically significant correlation; the analysis should be read as exploratory rather than confirmatory.</w:t>
      </w:r>
    </w:p>
    <w:p w14:paraId="757EB063" w14:textId="77777777" w:rsidR="004A6C7A" w:rsidRDefault="007849EA">
      <w:pPr>
        <w:pStyle w:val="NoteEntry"/>
      </w:pPr>
      <w:r>
        <w:t xml:space="preserve">29. Shamdasani, </w:t>
      </w:r>
      <w:r>
        <w:rPr>
          <w:i/>
        </w:rPr>
        <w:t>Jung and the Making of Modern Psychology</w:t>
      </w:r>
      <w:r>
        <w:t>, 271-357, especially his reconstruction of the anthropological sources and changing uses of the collective and archetypal.</w:t>
      </w:r>
    </w:p>
    <w:p w14:paraId="1841BEE7" w14:textId="77777777" w:rsidR="004A6C7A" w:rsidRDefault="007849EA">
      <w:pPr>
        <w:pStyle w:val="NoteEntry"/>
      </w:pPr>
      <w:r>
        <w:t xml:space="preserve">30. Wolfgang Giegerich, </w:t>
      </w:r>
      <w:r>
        <w:rPr>
          <w:i/>
        </w:rPr>
        <w:t>The Soul's Logical Life: Towards a Rigorous Notion of Psychology</w:t>
      </w:r>
      <w:r>
        <w:t xml:space="preserve"> (Frankfurt am Main: Peter Lang, 1998), especially the discussions of psychology's relation to science, medicine, image, and concept.</w:t>
      </w:r>
    </w:p>
    <w:p w14:paraId="2D455DFD" w14:textId="77777777" w:rsidR="004A6C7A" w:rsidRDefault="007849EA">
      <w:pPr>
        <w:pStyle w:val="ChapterHeading"/>
      </w:pPr>
      <w:bookmarkStart w:id="27" w:name="toc_chapter_21"/>
      <w:r>
        <w:rPr>
          <w:sz w:val="28"/>
        </w:rPr>
        <w:t>Chapter 21</w:t>
      </w:r>
      <w:r>
        <w:rPr>
          <w:sz w:val="28"/>
        </w:rPr>
        <w:br/>
      </w:r>
      <w:r>
        <w:t>Life Makes a World</w:t>
      </w:r>
      <w:bookmarkEnd w:id="27"/>
    </w:p>
    <w:p w14:paraId="593383FB" w14:textId="77777777" w:rsidR="004A6C7A" w:rsidRDefault="007849EA">
      <w:pPr>
        <w:pStyle w:val="BookBody"/>
      </w:pPr>
      <w:r>
        <w:rPr>
          <w:szCs w:val="28"/>
        </w:rPr>
        <w:t>On Jakob von Uexküll's page, the decisive object is not an animal portrait but a diagram. A circle links a subject to an object by two arms. Along one arm, receptors admit a limited range of differences and compose a perception world; along the other, effectors alter what has been perceived and compose an effect world. Inside the circle stand the animal's organs and signs. Outside it is the thing that becomes food, shelter, obstacle, medium, mate, or enemy. The image is spare enough to resemble a technical schematic, yet it unsettles the technical picture of life. It does not show information traveling one way from a finished environment into a passive organism. It shows a transaction in which the surroundings become significant by entering the animal's activity and the animal, in acting, exposes further features of the surroundings. Uexküll calls this circuit the functional cycle. Its subject and object, he writes, are "interconnected with each other and form an orderly whole."</w:t>
      </w:r>
      <w:r>
        <w:rPr>
          <w:vertAlign w:val="superscript"/>
        </w:rPr>
        <w:t>1</w:t>
      </w:r>
    </w:p>
    <w:p w14:paraId="285B228E" w14:textId="77777777" w:rsidR="004A6C7A" w:rsidRDefault="007849EA">
      <w:pPr>
        <w:pStyle w:val="BookBody"/>
      </w:pPr>
      <w:r>
        <w:rPr>
          <w:szCs w:val="28"/>
        </w:rPr>
        <w:t>The previous chapter ended at precisely this threshold. Psychology had shown that the transparent ego does not manufacture meaning at will: drives, symptoms, inherited images, and historical forms exceed conscious authorship. But the inward turn left the world in danger of becoming a screen on which psychic powers projected themselves. Uexküll's diagram turns attention outward without restoring a cosmos whose stars, elements, and species occupy predetermined places in a single qualitative hierarchy. The circle is smaller and more exacting. It asks how this living being, with these organs and capacities, encounters these material differences as a world. The answer will require neither a celestial decree nor a sovereign subject. It will require an organism vulnerable enough to be affected and active enough to respond.</w:t>
      </w:r>
    </w:p>
    <w:p w14:paraId="4B496A6A" w14:textId="77777777" w:rsidR="004A6C7A" w:rsidRDefault="007849EA">
      <w:pPr>
        <w:pStyle w:val="BookBody"/>
      </w:pPr>
      <w:r>
        <w:rPr>
          <w:szCs w:val="28"/>
        </w:rPr>
        <w:t>Chapter 20 named the needed position a relational realism. The phrase can now acquire biological content. A quality such as edible, climbable, dangerous, warm, or near is not contained in an object as mass or chemical composition is contained in a physical description. Nor is it an arbitrary color laid over neutral matter by a private mind. It belongs to a relation between real properties and real powers. A branch can bear the weight of one animal and not another. A wavelength visible to a bee can remain unavailable to a human eye. Butyric acid can be one compound in a chemist's analysis and, for a waiting tick, the perceptive mark of a mammal. The relational quality varies with the creature without becoming fictitious. Its variability is evidence of the relation, not an argument against reality.</w:t>
      </w:r>
    </w:p>
    <w:p w14:paraId="5A8453A0" w14:textId="77777777" w:rsidR="004A6C7A" w:rsidRDefault="007849EA">
      <w:pPr>
        <w:pStyle w:val="BookBody"/>
      </w:pPr>
      <w:r>
        <w:rPr>
          <w:szCs w:val="28"/>
        </w:rPr>
        <w:t xml:space="preserve">This chapter follows that relation through three enlargements. Uexküll describes the selectively meaningful </w:t>
      </w:r>
      <w:r>
        <w:rPr>
          <w:i/>
          <w:iCs/>
          <w:szCs w:val="28"/>
        </w:rPr>
        <w:t>Umwelt</w:t>
      </w:r>
      <w:r>
        <w:rPr>
          <w:szCs w:val="28"/>
        </w:rPr>
        <w:t xml:space="preserve"> and makes the functional cycle its material witness. Kurt Goldstein and Georges Canguilhem then bring the relation into the clinic, where normality cannot be read from an average alone because disease changes what a body can do and what its surroundings demand. Canguilhem also reverses the habitual comparison between organism and machine: machines descend from living technical activity, not living activity from an already intelligible machine. Maurice Merleau-Ponty finally asks what perception must be if the perceiver is not outside the visible world but one of its visible bodies. His material witness is elementary and inexhaustible: one hand touching the other, each capable of passing from toucher to touched.</w:t>
      </w:r>
    </w:p>
    <w:p w14:paraId="21890947" w14:textId="77777777" w:rsidR="004A6C7A" w:rsidRDefault="007849EA">
      <w:pPr>
        <w:pStyle w:val="BookBody"/>
      </w:pPr>
      <w:r>
        <w:rPr>
          <w:szCs w:val="28"/>
        </w:rPr>
        <w:t>Uexküll, Canguilhem, and Merleau-Ponty are not stages in a single doctrine, and Goldstein is more than a missing link inserted to make their differences disappear. Uexküll retains Kantian language and sometimes approaches a musical natural theology. Canguilhem's history and philosophy of biology are more polemical toward both mechanism and easy vitalism. Merleau-Ponty's phenomenology begins from perception and becomes an unfinished ontology. Yet all four refuse the same exhausted choice. Life is not an inert object completely explained by external pushes, and meaning is not a decoration applied after physical reality has done its work. A living being is a center of orientation within processes that continue beyond it.</w:t>
      </w:r>
    </w:p>
    <w:p w14:paraId="2135AEB4" w14:textId="77777777" w:rsidR="004A6C7A" w:rsidRDefault="007849EA">
      <w:pPr>
        <w:pStyle w:val="BookBody"/>
      </w:pPr>
      <w:r>
        <w:rPr>
          <w:szCs w:val="28"/>
        </w:rPr>
        <w:t>The argument remains modest in scale because its consequences are large. To show that the tick inhabits a significant world is not to show that the universe exists for ticks. To say that health establishes norms is not to say that life obeys a providential plan. To describe the flesh of the visible is not to introduce a subtle substance behind bodies. Each claim names a level at which relation becomes irreducible without becoming absolute. The old cosmos joined levels too quickly by making local significance evidence of total order. Modern reduction separates them too quickly by treating whatever is not universal and measurable as merely subjective. Living relation occupies the difficult middle.</w:t>
      </w:r>
    </w:p>
    <w:p w14:paraId="237BF4ED" w14:textId="77777777" w:rsidR="004A6C7A" w:rsidRDefault="007849EA">
      <w:pPr>
        <w:pStyle w:val="SectionHeading"/>
      </w:pPr>
      <w:r>
        <w:t>The Tick and the Functional Cycle</w:t>
      </w:r>
    </w:p>
    <w:p w14:paraId="656FF127" w14:textId="77777777" w:rsidR="004A6C7A" w:rsidRDefault="007849EA">
      <w:pPr>
        <w:pStyle w:val="BookBody"/>
      </w:pPr>
      <w:r>
        <w:rPr>
          <w:szCs w:val="28"/>
        </w:rPr>
        <w:t xml:space="preserve">Uexküll begins </w:t>
      </w:r>
      <w:r>
        <w:rPr>
          <w:i/>
          <w:iCs/>
          <w:szCs w:val="28"/>
        </w:rPr>
        <w:t>A Foray into the Worlds of Animals and Humans</w:t>
      </w:r>
      <w:r>
        <w:rPr>
          <w:szCs w:val="28"/>
        </w:rPr>
        <w:t xml:space="preserve"> with a creature that appears to possess almost nothing from which a world could be made. The female tick is blind and deaf. After climbing to a perch, she can wait for years. The odor of butyric acid released by mammalian skin occasions a fall; warmth distinguishes a living host from a cold surface; touch guides her toward a relatively hairless site. She pierces the skin, takes a final meal, lays eggs, and dies. The surrounding forest may contain wind, birdsong, colored leaves, bark patterns, other insects, and the movements of human walkers, but these do not enter the tick's life in the same way. Three perceptive marks and a corresponding sequence of actions articulate the world in which her life can be completed.</w:t>
      </w:r>
      <w:r>
        <w:rPr>
          <w:vertAlign w:val="superscript"/>
        </w:rPr>
        <w:t>2</w:t>
      </w:r>
    </w:p>
    <w:p w14:paraId="128342D5" w14:textId="77777777" w:rsidR="004A6C7A" w:rsidRDefault="007849EA">
      <w:pPr>
        <w:pStyle w:val="BookBody"/>
      </w:pPr>
      <w:r>
        <w:rPr>
          <w:szCs w:val="28"/>
        </w:rPr>
        <w:t>The familiar summary can make the animal sound like a reduced machine: a receptor for acid triggers a fall, a temperature receptor permits the next response, and a tactile receptor guides boring. Uexküll deliberately stages that interpretation in the language of reflex physiology. Yet a list of causal links does not explain why these influences compose one course of activity. The decisive feature is not that acid mechanically produces muscular contraction. It is that acid functions within a sequence whose later phases depend on the animal's earlier movement. By climbing, waiting, falling, rejecting a cold surface, and searching a warm one, the tick brings itself into range of the next relevant difference. Its activity selects the conditions under which further stimulation becomes possible.</w:t>
      </w:r>
    </w:p>
    <w:p w14:paraId="50A79ACD" w14:textId="77777777" w:rsidR="004A6C7A" w:rsidRDefault="007849EA">
      <w:pPr>
        <w:pStyle w:val="BookBody"/>
      </w:pPr>
      <w:r>
        <w:rPr>
          <w:szCs w:val="28"/>
        </w:rPr>
        <w:t>The functional cycle makes that reciprocity visible. The object bears properties that can serve as carriers of a perceptive mark and of an effect mark; the subject bears organs capable of receiving and acting. A mammal is not invented by the tick. Its heat, odor, skin, hair, and blood persist whether the tick encounters them or not. But mammal-as-host is achieved only within the circuit. Perception gives the object a place in the tick's world, and action changes the relation: the animal drops onto the body, crawls, pierces, and feeds. The effect cancels or transforms the perceptive condition and opens another cycle. What exists physically exceeds what becomes significant, while what becomes significant remains constrained by what physically exists.</w:t>
      </w:r>
      <w:r>
        <w:rPr>
          <w:vertAlign w:val="superscript"/>
        </w:rPr>
        <w:t>3</w:t>
      </w:r>
    </w:p>
    <w:p w14:paraId="48EA97DE" w14:textId="77777777" w:rsidR="004A6C7A" w:rsidRDefault="007849EA">
      <w:pPr>
        <w:pStyle w:val="BookBody"/>
      </w:pPr>
      <w:r>
        <w:rPr>
          <w:szCs w:val="28"/>
        </w:rPr>
        <w:t xml:space="preserve">That is why </w:t>
      </w:r>
      <w:r>
        <w:rPr>
          <w:i/>
          <w:iCs/>
          <w:szCs w:val="28"/>
        </w:rPr>
        <w:t>Umwelt</w:t>
      </w:r>
      <w:r>
        <w:rPr>
          <w:szCs w:val="28"/>
        </w:rPr>
        <w:t xml:space="preserve"> should not be translated too quickly as environment. Uexküll distinguishes it from </w:t>
      </w:r>
      <w:r>
        <w:rPr>
          <w:i/>
          <w:iCs/>
          <w:szCs w:val="28"/>
        </w:rPr>
        <w:t>Umgebung</w:t>
      </w:r>
      <w:r>
        <w:rPr>
          <w:szCs w:val="28"/>
        </w:rPr>
        <w:t xml:space="preserve">, the surroundings described from the observer's position. A laboratory room can be inventoried as spatial dimensions, light levels, temperatures, chemicals, and apparatuses. Within the same room a dog, a fly, a scientist, and a bacterium encounter different fields of relevance. Their worlds overlap because they share material processes, but they are not interchangeable cross-sections of a single human scene. Carlo Brentari's reconstruction of Uexküll is especially useful here: the theory develops by joining sensory physiology, theories of subjectivity, and biological sign relations rather than by merely asserting that different animals have different viewpoints. The </w:t>
      </w:r>
      <w:r>
        <w:rPr>
          <w:i/>
          <w:iCs/>
          <w:szCs w:val="28"/>
        </w:rPr>
        <w:t>Umwelt</w:t>
      </w:r>
      <w:r>
        <w:rPr>
          <w:szCs w:val="28"/>
        </w:rPr>
        <w:t xml:space="preserve"> has a structure, not just a perspective.</w:t>
      </w:r>
      <w:r>
        <w:rPr>
          <w:vertAlign w:val="superscript"/>
        </w:rPr>
        <w:t>4</w:t>
      </w:r>
    </w:p>
    <w:p w14:paraId="6AD100FA" w14:textId="77777777" w:rsidR="004A6C7A" w:rsidRDefault="007849EA">
      <w:pPr>
        <w:pStyle w:val="BookBody"/>
      </w:pPr>
      <w:r>
        <w:rPr>
          <w:szCs w:val="28"/>
        </w:rPr>
        <w:t>The word subject can mislead. Uexküll does not need the tick to possess reflective self-consciousness, inward narration, or a picture of the mammal. The organism counts as a subject because its organization makes a difference between what enters its cycle and what does not, and because its activity modifies the field from which the next difference arrives. Subjectivity begins here as selective responsiveness, not as a private theater. The tick's world is therefore neither the world in itself grasped from nowhere nor an illusion sealed inside the animal. It is a real aspect of things disclosed in a definite mode of life.</w:t>
      </w:r>
    </w:p>
    <w:p w14:paraId="6F1F7526" w14:textId="77777777" w:rsidR="004A6C7A" w:rsidRDefault="007849EA">
      <w:pPr>
        <w:pStyle w:val="BookBody"/>
      </w:pPr>
      <w:r>
        <w:rPr>
          <w:szCs w:val="28"/>
        </w:rPr>
        <w:t>The difference between receptor and perception is crucial. A sensory organ can be affected without that effect yet having the organization of a mark in a world. Perception, in Uexküll's functional vocabulary, already involves an animal's form of attention and its possible activity. The odor does not first arrive as neutral information to which the tick later attaches a use. It arrives as what occasions release from the perch because the receptive and effective sides belong to one cycle. This is not an argument that chemistry is false or incomplete on its own terms. Chemical analysis explains the compound and its interactions; the functional account explains why one of those interactions belongs to a living sequence. Neither vocabulary can silently substitute for the other.</w:t>
      </w:r>
    </w:p>
    <w:p w14:paraId="24DE163D" w14:textId="77777777" w:rsidR="004A6C7A" w:rsidRDefault="007849EA">
      <w:pPr>
        <w:pStyle w:val="BookBody"/>
      </w:pPr>
      <w:r>
        <w:rPr>
          <w:szCs w:val="28"/>
        </w:rPr>
        <w:t>The diagram also corrects a common picture of adaptation. It is tempting to imagine a fixed environment presenting a list of problems and organisms offering better or worse solutions. Uexküll instead multiplies environments with organisms. A feature becomes a problem, opportunity, or irrelevance only within a form of life. This does not abolish selection, competition, injury, or death. The cold surface really defeats the tick's fall, and an environment can change faster than a population can survive. But the field in which success is measured is already organized through the organism's capacities. Adaptation is not the fitting of a neutral piece into a pre-cut physical box; it is a history of reciprocal fit between lives and conditions.</w:t>
      </w:r>
    </w:p>
    <w:p w14:paraId="7707D722" w14:textId="77777777" w:rsidR="004A6C7A" w:rsidRDefault="007849EA">
      <w:pPr>
        <w:pStyle w:val="BookBody"/>
      </w:pPr>
      <w:r>
        <w:rPr>
          <w:szCs w:val="28"/>
        </w:rPr>
        <w:t>Uexküll's celebrated image of soap bubbles presses the point. Each animal moving through a meadow can be imagined as enclosed in a bubble of visible and actionable space. The farthest plane, discriminable intervals, temporal thresholds, paths, and objects differ among animals, so each bubble shelters its own places. The metaphor is illuminating so long as its enclosure is not mistaken for isolation. A bird can eat the insect whose visual world does not contain the approaching bird in time; a human road can cut across a migration route; a parasite's cycle can enter a host's body. Bubbles collide, overlap, engulf, and rupture. Brett Buchanan's account of the philosophical reception of Uexküll rightly emphasizes that animal environments became important not as a collection of sealed interiors but as a problem of embodied relations among different modes of access.</w:t>
      </w:r>
      <w:r>
        <w:rPr>
          <w:vertAlign w:val="superscript"/>
        </w:rPr>
        <w:t>5</w:t>
      </w:r>
    </w:p>
    <w:p w14:paraId="02D51D4E" w14:textId="77777777" w:rsidR="004A6C7A" w:rsidRDefault="007849EA">
      <w:pPr>
        <w:pStyle w:val="BookBody"/>
      </w:pPr>
      <w:r>
        <w:rPr>
          <w:szCs w:val="28"/>
        </w:rPr>
        <w:t xml:space="preserve">Uexküll's walk around an oak tree makes the plurality more concrete. The forester encounters calculable timber, the child a face in the bark, the fox cover among roots, the owl a perch, and insects a landscape of channels, surfaces, food, and shelter. These are not merely different opinions about an object already exhausted by botany or commodity price. Each practice and body draws out real affordances from the same material history. Yet the oak is not the sum of its roles. Its growth, disease, water transport, fungal alliances, and chemical defenses can exceed every current </w:t>
      </w:r>
      <w:r>
        <w:rPr>
          <w:i/>
          <w:iCs/>
          <w:szCs w:val="28"/>
        </w:rPr>
        <w:t>Umwelt</w:t>
      </w:r>
      <w:r>
        <w:rPr>
          <w:szCs w:val="28"/>
        </w:rPr>
        <w:t>, and new inquiry can make formerly unnoticed processes significant.</w:t>
      </w:r>
    </w:p>
    <w:p w14:paraId="44D1E6D1" w14:textId="77777777" w:rsidR="004A6C7A" w:rsidRDefault="007849EA">
      <w:pPr>
        <w:pStyle w:val="BookBody"/>
      </w:pPr>
      <w:r>
        <w:rPr>
          <w:szCs w:val="28"/>
        </w:rPr>
        <w:t xml:space="preserve">That excess explains why reconstructing another animal's world is an empirical discipline rather than imaginative ventriloquism. Researchers compare sensory organs, thresholds, movements, habitats, and experimentally altered situations; they observe where action succeeds and fails. The result remains an interpretation from a human scientific world, but it can be better or worse constrained by the animal's behavior. Anthropomorphism and mechanomorphism are parallel dangers: one supplies a human drama where the animal gives no evidence, while the other recognizes only causal chains that fit a machine model. </w:t>
      </w:r>
      <w:r>
        <w:rPr>
          <w:i/>
          <w:iCs/>
          <w:szCs w:val="28"/>
        </w:rPr>
        <w:t>Umwelt</w:t>
      </w:r>
      <w:r>
        <w:rPr>
          <w:szCs w:val="28"/>
        </w:rPr>
        <w:t xml:space="preserve"> inquiry proceeds between them by asking what distinctions the animal itself enacts.</w:t>
      </w:r>
    </w:p>
    <w:p w14:paraId="4390C395" w14:textId="77777777" w:rsidR="004A6C7A" w:rsidRDefault="007849EA">
      <w:pPr>
        <w:pStyle w:val="BookBody"/>
      </w:pPr>
      <w:r>
        <w:rPr>
          <w:szCs w:val="28"/>
        </w:rPr>
        <w:t xml:space="preserve">The plurality of worlds therefore does not entail relativism. Relativism would say that incompatible descriptions are equally valid because no resistance exceeds description. Uexküll's animals encounter resistance everywhere. The fly's perceptual resolution can fail to disclose the spider's web, but the web is not thereby unreal; its invisibility is precisely what allows it to capture. The same structure that makes a world possible makes an animal vulnerable to what its world omits. An </w:t>
      </w:r>
      <w:r>
        <w:rPr>
          <w:i/>
          <w:iCs/>
          <w:szCs w:val="28"/>
        </w:rPr>
        <w:t>Umwelt</w:t>
      </w:r>
      <w:r>
        <w:rPr>
          <w:szCs w:val="28"/>
        </w:rPr>
        <w:t xml:space="preserve"> is finite. Its limits are not merely conceptual limitations but exposures to beings and processes that continue outside the cycle of present significance.</w:t>
      </w:r>
    </w:p>
    <w:p w14:paraId="23AC0BF0" w14:textId="77777777" w:rsidR="004A6C7A" w:rsidRDefault="007849EA">
      <w:pPr>
        <w:pStyle w:val="BookBody"/>
      </w:pPr>
      <w:r>
        <w:rPr>
          <w:szCs w:val="28"/>
        </w:rPr>
        <w:t>Nor does the functional cycle license an easy harmony. Uexküll often writes musically, as though organisms and meaningful objects formed contrapuntal pairs within a larger composition. His later theory of meaning can move from functional fit toward a comprehensive order of natural correspondences. The image preserves an important insight: a relation has a form that cannot be found by isolating its terms. Yet the history traced in this book requires restraint at exactly this point. Local complementarity does not prove a composer. Parasites, extinctions, malformed development, predation, and ecological breakdown are not dissonances whose place in a higher harmony can simply be presumed. The cycle establishes relational organization, not universal benevolence.</w:t>
      </w:r>
    </w:p>
    <w:p w14:paraId="1A52C3BE" w14:textId="77777777" w:rsidR="004A6C7A" w:rsidRDefault="007849EA">
      <w:pPr>
        <w:pStyle w:val="BookBody"/>
      </w:pPr>
      <w:r>
        <w:rPr>
          <w:szCs w:val="28"/>
        </w:rPr>
        <w:t>Uexküll's Kantian inheritance helps explain both the discovery and the temptation. Kant had argued that experience is formed through conditions belonging to the subject, but the transcendental subject remained formally human and universal. Uexküll biologizes the conditions of appearing. Receptors, effectors, body plans, and temporal thresholds yield many species-specific worlds. The move dislodges the human knower from the center, but it risks turning each animal into a miniature transcendental sovereign whose world is completely constituted from within. The material cycle prevents that result if taken seriously. The object must bear the relevant properties; the animal must reach it; action can fail; and other lives can intervene. The world is selected, not created from nothing.</w:t>
      </w:r>
    </w:p>
    <w:p w14:paraId="742C036C" w14:textId="77777777" w:rsidR="004A6C7A" w:rsidRDefault="007849EA">
      <w:pPr>
        <w:pStyle w:val="BookBody"/>
      </w:pPr>
      <w:r>
        <w:rPr>
          <w:szCs w:val="28"/>
        </w:rPr>
        <w:t>The theory also changes what a limit means. A Kantian limit can sound like a boundary of possible knowledge; a biological limit is at once epistemic, practical, and mortal. What the tick cannot register may simply be irrelevant, or it may be the approaching event that ends the tick. The animal's powers establish a horizon without enclosing the causes that affect it. In this respect, finitude is not a philosophical concession made after knowledge has been defined. It is the condition under which any living disclosure occurs and the reason disclosure must remain open to surprise.</w:t>
      </w:r>
    </w:p>
    <w:p w14:paraId="578C374D" w14:textId="77777777" w:rsidR="004A6C7A" w:rsidRDefault="007849EA">
      <w:pPr>
        <w:pStyle w:val="BookBody"/>
      </w:pPr>
      <w:r>
        <w:rPr>
          <w:szCs w:val="28"/>
        </w:rPr>
        <w:t>This is the first answer to the chapter's governing question. Meaning can arise within reality because a living organization distinguishes and acts upon real differences. The significance is not cosmically predetermined: butyric acid is not eternally ordained to mean mammal, and a universe without ticks would lose nothing from its chemistry. The significance is not subjectively invented: a tick cannot decide that cold stone is warm blood or survive by redescribing it. Meaning occurs where a power of discrimination meets a material condition and enters an organized course of action. The relation is contingent, corrigible by failure, and real.</w:t>
      </w:r>
    </w:p>
    <w:p w14:paraId="3932628F" w14:textId="77777777" w:rsidR="004A6C7A" w:rsidRDefault="007849EA">
      <w:pPr>
        <w:pStyle w:val="BookBody"/>
      </w:pPr>
      <w:r>
        <w:rPr>
          <w:szCs w:val="28"/>
        </w:rPr>
        <w:t>Meaning in this minimal sense does not require language, but language transforms it. Humans can detach a sign from an immediate cycle, discuss an absent habitat, revise a classification, or ask whether another animal's world has been misunderstood. This power multiplies worlds within one life: the same river can be swimmable in practice, measurable in hydrology, regulated in law, remembered in grief, and addressed in ritual. Detachment increases freedom and error together. A concept can reveal relations no immediate perception discloses, or it can impose a scheme that silences the organism and place it claims to explain.</w:t>
      </w:r>
    </w:p>
    <w:p w14:paraId="5CFBDCC4" w14:textId="77777777" w:rsidR="004A6C7A" w:rsidRDefault="007849EA">
      <w:pPr>
        <w:pStyle w:val="SectionHeading"/>
      </w:pPr>
      <w:r>
        <w:t>The Organism Answers as a Whole</w:t>
      </w:r>
    </w:p>
    <w:p w14:paraId="45513CB8" w14:textId="77777777" w:rsidR="004A6C7A" w:rsidRDefault="007849EA">
      <w:pPr>
        <w:pStyle w:val="BookBody"/>
      </w:pPr>
      <w:r>
        <w:rPr>
          <w:szCs w:val="28"/>
        </w:rPr>
        <w:t>The functional cycle becomes more difficult when the organism is injured. In a diagram the perceptive and effective arms close neatly; in a clinic the patient may no longer complete an action that previously seemed immediate. Goldstein's studies of soldiers with brain injuries made such breakdowns philosophically decisive. A lesion did not behave like the removal of one replaceable component from a machine. The entire field of performance could be reorganized. A patient might succeed in a familiar, concrete task yet fail when asked to perform a formally similar movement in abstraction, or might preserve speech by restricting situations that demanded rapid shifts of attitude. The symptom belonged to a changed whole.</w:t>
      </w:r>
      <w:r>
        <w:rPr>
          <w:vertAlign w:val="superscript"/>
        </w:rPr>
        <w:t>6</w:t>
      </w:r>
    </w:p>
    <w:p w14:paraId="58933FCD" w14:textId="77777777" w:rsidR="004A6C7A" w:rsidRDefault="007849EA">
      <w:pPr>
        <w:pStyle w:val="BookBody"/>
      </w:pPr>
      <w:r>
        <w:rPr>
          <w:szCs w:val="28"/>
        </w:rPr>
        <w:t>Goldstein called some episodes catastrophic reactions. The word does not mean only that a task was difficult or that a local function failed. The patient could become disordered, anxious, inconsistent, and temporarily unable to carry out capacities preserved under other circumstances; the shock affected the surrounding world as well as the person.</w:t>
      </w:r>
      <w:r>
        <w:rPr>
          <w:vertAlign w:val="superscript"/>
        </w:rPr>
        <w:t>7</w:t>
      </w:r>
      <w:r>
        <w:rPr>
          <w:szCs w:val="28"/>
        </w:rPr>
        <w:t xml:space="preserve"> The material witness here is clinical judgment at the bedside or testing table. The examiner cannot decide normality from the presence of an anatomical lesion alone. She must observe what situations the patient can inhabit, what demands provoke collapse, and how a new order is achieved.</w:t>
      </w:r>
    </w:p>
    <w:p w14:paraId="240376F6" w14:textId="77777777" w:rsidR="004A6C7A" w:rsidRDefault="007849EA">
      <w:pPr>
        <w:pStyle w:val="BookBody"/>
      </w:pPr>
      <w:r>
        <w:rPr>
          <w:szCs w:val="28"/>
        </w:rPr>
        <w:t>The patient's world often shrinks. Objects that once solicited flexible action may become manageable only within a rigid routine. Empty space on a page, a choice between alternatives, or a request to shift from one rule to another can acquire a threatening character. This is not adequately described as an unchanged environment plus an internal deficit. The lesion changes the body's possible actions, and with them the arrangement of foreground and background, ease and obstacle, familiar and strange. A staircase, a conversation, or a crowded street can become a different world without altering its measurable dimensions.</w:t>
      </w:r>
    </w:p>
    <w:p w14:paraId="33F78CE4" w14:textId="77777777" w:rsidR="004A6C7A" w:rsidRDefault="007849EA">
      <w:pPr>
        <w:pStyle w:val="BookBody"/>
      </w:pPr>
      <w:r>
        <w:rPr>
          <w:szCs w:val="28"/>
        </w:rPr>
        <w:t>The testing room makes this change visible because it can vary one demand at a time. A patient may name a color when it belongs to a familiar object yet fail to sort color samples according to an abstract rule, or may use a tool in a practical sequence yet struggle to mime its use on command. The contrast is not proof of a hidden faculty called abstraction located in one spot. It shows that a performance receives its sense from the whole situation. When the examiner removes the ordinary goal in order to isolate a capacity, the supposedly simpler task can become harder because the patient's remaining organization depended on concrete orientation.</w:t>
      </w:r>
    </w:p>
    <w:p w14:paraId="3AE4D248" w14:textId="77777777" w:rsidR="004A6C7A" w:rsidRDefault="007849EA">
      <w:pPr>
        <w:pStyle w:val="BookBody"/>
      </w:pPr>
      <w:r>
        <w:rPr>
          <w:szCs w:val="28"/>
        </w:rPr>
        <w:t>Goldstein's holistic language has sometimes been treated as a refusal of localization or physical explanation. That is too simple. He did not deny that lesions occur in determinate tissue or that nervous processes have differentiated contributions. He denied that the meaning of a symptom can be derived by placing a psychological label beside a damaged location. The organism reorganizes remaining capacities in order to avoid catastrophic situations and recover ordered behavior. Local processes receive their functional significance from the whole activity in which they participate. The whole is not an extra substance controlling the parts. It is the pattern of their living coordination.</w:t>
      </w:r>
    </w:p>
    <w:p w14:paraId="7763EA9F" w14:textId="77777777" w:rsidR="004A6C7A" w:rsidRDefault="007849EA">
      <w:pPr>
        <w:pStyle w:val="BookBody"/>
      </w:pPr>
      <w:r>
        <w:rPr>
          <w:szCs w:val="28"/>
        </w:rPr>
        <w:t>Preferred behavior names the positive side of this account. In stable performance, an organism tends toward configurations in which action is accurate, relatively effortless, and fitted to the task. This preference is not a conscious calculation of optimal efficiency, nor a moral ideal imposed by the clinician. It appears in posture, movement, perception, and the distribution of effort. The living body does not occupy every mechanically possible configuration indifferently. It establishes a range in which its powers cohere and from which it can vary. Goldstein's organism is therefore normative before explicit judgment: some relations permit fuller activity, while others force contraction, disorder, or collapse.</w:t>
      </w:r>
      <w:r>
        <w:rPr>
          <w:vertAlign w:val="superscript"/>
        </w:rPr>
        <w:t>8</w:t>
      </w:r>
    </w:p>
    <w:p w14:paraId="4F2CC721" w14:textId="77777777" w:rsidR="004A6C7A" w:rsidRDefault="007849EA">
      <w:pPr>
        <w:pStyle w:val="BookBody"/>
      </w:pPr>
      <w:r>
        <w:rPr>
          <w:szCs w:val="28"/>
        </w:rPr>
        <w:t>This does not mean that health is maximal performance according to a universal scale. The injured person may establish a new order by avoiding a demand that belonged to the former life. Such restriction can be necessary and intelligent, but it also discloses a loss of latitude. A world has become narrower because fewer variations can be absorbed without catastrophe. The distinction between a changed life and a defective machine becomes visible here. A machine is normally judged against a function specified by its design; the patient is judged through the relation between present powers, suffered limits, projects, and milieu. No single performance measure captures that relation.</w:t>
      </w:r>
    </w:p>
    <w:p w14:paraId="03E01016" w14:textId="77777777" w:rsidR="004A6C7A" w:rsidRDefault="007849EA">
      <w:pPr>
        <w:pStyle w:val="BookBody"/>
      </w:pPr>
      <w:r>
        <w:rPr>
          <w:szCs w:val="28"/>
        </w:rPr>
        <w:t>The clinician therefore occupies an ethically dangerous position. If normality is equated with an average or institutional convenience, difference becomes defect by definition. If every adaptation is declared equally healthy, suffering and lost freedom disappear behind respectful language. Goldstein's cases demand a double attention: to the organism's achieved order and to the situations from which that order withdraws. The patient is not a broken specimen of the species, but neither is the catastrophic reaction merely a social prejudice. A judgment must answer to what the person can endure, pursue, and transform.</w:t>
      </w:r>
    </w:p>
    <w:p w14:paraId="45D5E054" w14:textId="77777777" w:rsidR="004A6C7A" w:rsidRDefault="007849EA">
      <w:pPr>
        <w:pStyle w:val="BookBody"/>
      </w:pPr>
      <w:r>
        <w:rPr>
          <w:szCs w:val="28"/>
        </w:rPr>
        <w:t>The milieu can sometimes carry what the injured organism can no longer perform alone. A labeled cabinet, a stable route, slower conversation, a familiar sequence, or another person's assistance can enlarge the field of successful action. Such supports do not falsify the diagnosis; they show that ability was relational all along. The uninjured person also relies on architecture, language, tools, schedules, and other bodies, but fluent dependence disappears into the background. Disability exposes the shared construction of autonomy and makes the design of institutions part of the clinical world rather than a merely external social issue.</w:t>
      </w:r>
    </w:p>
    <w:p w14:paraId="390BC32B" w14:textId="77777777" w:rsidR="004A6C7A" w:rsidRDefault="007849EA">
      <w:pPr>
        <w:pStyle w:val="BookBody"/>
      </w:pPr>
      <w:r>
        <w:rPr>
          <w:szCs w:val="28"/>
        </w:rPr>
        <w:t xml:space="preserve">Goldstein carries Uexküll beyond the apparently closed cycle. An animal's world is not only the stable set of marks to which a species responds. It can be reorganized through injury, learning, development, and therapy. The organism may alter its milieu, seek supports, recruit habits, or relinquish projects. The world is made through ongoing adjustment, and the maker is changed in the making. At the end of </w:t>
      </w:r>
      <w:r>
        <w:rPr>
          <w:i/>
          <w:iCs/>
          <w:szCs w:val="28"/>
        </w:rPr>
        <w:t>The Organism</w:t>
      </w:r>
      <w:r>
        <w:rPr>
          <w:szCs w:val="28"/>
        </w:rPr>
        <w:t>, Goldstein describes performance as a mutual adjustment of organism and world through which a new region becomes manifest. The language is not cosmic creation. It describes the fragile restoration of a workable field.</w:t>
      </w:r>
    </w:p>
    <w:p w14:paraId="134B1B7F" w14:textId="77777777" w:rsidR="004A6C7A" w:rsidRDefault="007849EA">
      <w:pPr>
        <w:pStyle w:val="BookBody"/>
      </w:pPr>
      <w:r>
        <w:rPr>
          <w:szCs w:val="28"/>
        </w:rPr>
        <w:t xml:space="preserve">Merleau-Ponty's </w:t>
      </w:r>
      <w:r>
        <w:rPr>
          <w:i/>
          <w:iCs/>
          <w:szCs w:val="28"/>
        </w:rPr>
        <w:t>The Structure of Behavior</w:t>
      </w:r>
      <w:r>
        <w:rPr>
          <w:szCs w:val="28"/>
        </w:rPr>
        <w:t xml:space="preserve"> takes this clinical material as a challenge to both reflex mechanism and intellectualism. If the environment were only a set of causes, the organism's response would be a sum of effects. If behavior were the execution of an inner representation, the body would be an instrument of a prior mind. Goldstein's patients show instead that perception and action form structures. The same physical stimulus can have different effects within different total situations, and the same task can be achieved through different bodily organizations. Behavior is meaningful as a relation between organism and milieu before it is translated into either physiological events or conscious rules.</w:t>
      </w:r>
      <w:r>
        <w:rPr>
          <w:vertAlign w:val="superscript"/>
        </w:rPr>
        <w:t>9</w:t>
      </w:r>
    </w:p>
    <w:p w14:paraId="436A8691" w14:textId="77777777" w:rsidR="004A6C7A" w:rsidRDefault="007849EA">
      <w:pPr>
        <w:pStyle w:val="BookBody"/>
      </w:pPr>
      <w:r>
        <w:rPr>
          <w:szCs w:val="28"/>
        </w:rPr>
        <w:t>The whole that answers is thus temporal as well as spatial. It bears habits, prior injuries, expectations, and capacities for new organization. A momentary cross-section of variables cannot disclose why one situation continues a life while another interrupts it. This is where biological description first begins to resist the universal present of the machine. An organism inherits a past in its structure and leans toward possible performances. Its world includes not only what currently stimulates it but what it can reach, avoid, learn, and become.</w:t>
      </w:r>
    </w:p>
    <w:p w14:paraId="68B941B0" w14:textId="77777777" w:rsidR="004A6C7A" w:rsidRDefault="007849EA">
      <w:pPr>
        <w:pStyle w:val="SectionHeading"/>
      </w:pPr>
      <w:r>
        <w:t>The Normal Is Not the Average</w:t>
      </w:r>
    </w:p>
    <w:p w14:paraId="2619F50D" w14:textId="77777777" w:rsidR="004A6C7A" w:rsidRDefault="007849EA">
      <w:pPr>
        <w:pStyle w:val="BookBody"/>
      </w:pPr>
      <w:r>
        <w:rPr>
          <w:szCs w:val="28"/>
        </w:rPr>
        <w:t xml:space="preserve">Canguilhem gives the clinical judgment its sharpest philosophical form. </w:t>
      </w:r>
      <w:r>
        <w:rPr>
          <w:i/>
          <w:iCs/>
          <w:szCs w:val="28"/>
        </w:rPr>
        <w:t>The Normal and the Pathological</w:t>
      </w:r>
      <w:r>
        <w:rPr>
          <w:szCs w:val="28"/>
        </w:rPr>
        <w:t xml:space="preserve"> begins from a problem internal to medicine: physicians use physiology to understand disease, yet medicine exists because living persons experience certain changes as burdens, dangers, and losses. A laboratory can measure blood sugar, temperature, pressure, reflex latency, or tissue structure. Those values become pathological only within a judgment about a life. The judgment is not added by sentiment to otherwise complete facts. It answers to the organism's own non-indifference toward the conditions under which it lives.</w:t>
      </w:r>
    </w:p>
    <w:p w14:paraId="4CDAADB7" w14:textId="77777777" w:rsidR="004A6C7A" w:rsidRDefault="007849EA">
      <w:pPr>
        <w:pStyle w:val="BookBody"/>
      </w:pPr>
      <w:r>
        <w:rPr>
          <w:szCs w:val="28"/>
        </w:rPr>
        <w:t>This is why Canguilhem resists the identification of normal with statistically frequent. An average describes a distribution. It can reveal a stable trait or provide an indispensable clinical reference, but it cannot by itself explain why a deviation is illness. A rare variation may permit a flourishing life; a common condition may be disabling; an average established within one altitude, diet, technology, or social organization may not govern another. Medicine must use statistics without letting frequency usurp normativity. Otherwise the patient disappears into a population curve before the meaning of the alteration has been asked.</w:t>
      </w:r>
    </w:p>
    <w:p w14:paraId="7C4735F2" w14:textId="77777777" w:rsidR="004A6C7A" w:rsidRDefault="007849EA">
      <w:pPr>
        <w:pStyle w:val="BookBody"/>
      </w:pPr>
      <w:r>
        <w:rPr>
          <w:szCs w:val="28"/>
        </w:rPr>
        <w:t>There are therefore several senses of norm operating in a medical judgment. A physiological interval can describe the range within which a variable is usually regulated. A species norm can identify powers characteristic of a form of life. An individual norm concerns the organization this body has established across its history. A social norm shapes the demands under which that organization is tested. These senses overlap, but none can be silently substituted for the rest. The same measured deviation may be benign for one person, dangerous for another, or dangerous chiefly because an institution refuses a workable accommodation.</w:t>
      </w:r>
    </w:p>
    <w:p w14:paraId="52ED7767" w14:textId="77777777" w:rsidR="004A6C7A" w:rsidRDefault="007849EA">
      <w:pPr>
        <w:pStyle w:val="BookBody"/>
      </w:pPr>
      <w:r>
        <w:rPr>
          <w:szCs w:val="28"/>
        </w:rPr>
        <w:t xml:space="preserve">The word pathological contains </w:t>
      </w:r>
      <w:r>
        <w:rPr>
          <w:i/>
          <w:iCs/>
          <w:szCs w:val="28"/>
        </w:rPr>
        <w:t>pathos</w:t>
      </w:r>
      <w:r>
        <w:rPr>
          <w:szCs w:val="28"/>
        </w:rPr>
        <w:t>: suffering, impediment, a felt life going badly. Not every anomaly is pathological, because difference becomes disease only when it diminishes the organism's relation to possible situations. Conversely, disease need not abolish norms. The sick organism establishes another order, often more constrained, within which life continues. Canguilhem's most compressed formulation is also his most radical: "life is in fact a normative activity."</w:t>
      </w:r>
      <w:r>
        <w:rPr>
          <w:vertAlign w:val="superscript"/>
        </w:rPr>
        <w:t>10</w:t>
      </w:r>
      <w:r>
        <w:rPr>
          <w:szCs w:val="28"/>
        </w:rPr>
        <w:t xml:space="preserve"> The norm is not first a rule stated by consciousness. It is the living polarity by which nourishment differs from poison, tolerable variation from destructive disturbance, and viable action from impossible demand.</w:t>
      </w:r>
    </w:p>
    <w:p w14:paraId="7B0A993C" w14:textId="77777777" w:rsidR="004A6C7A" w:rsidRDefault="007849EA">
      <w:pPr>
        <w:pStyle w:val="BookBody"/>
      </w:pPr>
      <w:r>
        <w:rPr>
          <w:szCs w:val="28"/>
        </w:rPr>
        <w:t>Normative does not mean normalizing. The distinction is indispensable because medicine, law, education, and administration can turn averages and ideals into instruments of enforcement. A social authority can declare bodies defective because they inconvenience an institution; it can mistake its preferred arrangement for a biological necessity. Canguilhem's account provides no automatic defense against this misuse, but it removes one of its strongest disguises. A norm cannot be justified merely by saying that most bodies conform to it. The relevant question is what mode of life the norm enables, whose suffering it recognizes, and what variations it can bear.</w:t>
      </w:r>
    </w:p>
    <w:p w14:paraId="60A5856F" w14:textId="77777777" w:rsidR="004A6C7A" w:rsidRDefault="007849EA">
      <w:pPr>
        <w:pStyle w:val="BookBody"/>
      </w:pPr>
      <w:r>
        <w:rPr>
          <w:szCs w:val="28"/>
        </w:rPr>
        <w:t>The clinical witness therefore involves at least three judgments that must not be collapsed. There is the patient's experience of pain, effort, incapacity, or estrangement. There is the clinician's trained interpretation of signs, mechanisms, risks, and likely courses. There is the social organization that determines which environments, treatments, and accommodations are available. None is sovereign. A patient can misunderstand a danger; a clinician can pathologize difference; a society can create disabling demands and then locate the failure wholly inside the body. Biological normativity makes these judgments necessary without making any one infallible.</w:t>
      </w:r>
    </w:p>
    <w:p w14:paraId="48FCF03B" w14:textId="77777777" w:rsidR="004A6C7A" w:rsidRDefault="007849EA">
      <w:pPr>
        <w:pStyle w:val="BookBody"/>
      </w:pPr>
      <w:r>
        <w:rPr>
          <w:szCs w:val="28"/>
        </w:rPr>
        <w:t>Time complicates them further. A laboratory value can be identical at two moments while its significance changes with age, pregnancy, training, treatment, cumulative injury, or a new project. A person may tolerate a condition for years and then find that another illness or altered environment removes the margin that made it manageable. Normality is not a label attached once to a state. It concerns a trajectory and a capacity for transitions. Clinical knowledge must therefore combine measurement with history, prognosis, and the person's own account of what has become possible or impossible.</w:t>
      </w:r>
    </w:p>
    <w:p w14:paraId="2A98D968" w14:textId="77777777" w:rsidR="004A6C7A" w:rsidRDefault="007849EA">
      <w:pPr>
        <w:pStyle w:val="BookBody"/>
      </w:pPr>
      <w:r>
        <w:rPr>
          <w:szCs w:val="28"/>
        </w:rPr>
        <w:t>Disease is not simply the absence of order. A diabetic metabolism, an injured nervous system, or a scarred lung has regularities. The pathological difference lies in the reduced power to vary across situations or in the cost at which variation occurs. Health is not conformity to one fixed state but a margin of tolerance, an ability to pass through disturbances and establish another workable relation. Canguilhem writes: "What characterizes health is the possibility of transcending the norm ... and instituting new norms in new situations."</w:t>
      </w:r>
      <w:r>
        <w:rPr>
          <w:vertAlign w:val="superscript"/>
        </w:rPr>
        <w:t>11</w:t>
      </w:r>
      <w:r>
        <w:rPr>
          <w:szCs w:val="28"/>
        </w:rPr>
        <w:t xml:space="preserve"> Health includes risk because a life protected from every deviation would also be protected from much of the world.</w:t>
      </w:r>
    </w:p>
    <w:p w14:paraId="44D939AE" w14:textId="77777777" w:rsidR="004A6C7A" w:rsidRDefault="007849EA">
      <w:pPr>
        <w:pStyle w:val="BookBody"/>
      </w:pPr>
      <w:r>
        <w:rPr>
          <w:szCs w:val="28"/>
        </w:rPr>
        <w:t>The claim clarifies Goldstein's restricted milieu. A patient can be normal within the environment carefully arranged around preserved capacities, yet remain unable to absorb a change that a healthier organism could negotiate. The narrower order is real and deserves respect; its fragility is also real and deserves care. Cure cannot always mean restoration of the prior average. It may mean increasing the person's latitude, finding a more adequate milieu, or enabling a new norm that the former body never possessed. Medicine becomes an art of assisting living normativity rather than engineering every organism toward a standard model.</w:t>
      </w:r>
    </w:p>
    <w:p w14:paraId="5C86AC50" w14:textId="77777777" w:rsidR="004A6C7A" w:rsidRDefault="007849EA">
      <w:pPr>
        <w:pStyle w:val="BookBody"/>
      </w:pPr>
      <w:r>
        <w:rPr>
          <w:szCs w:val="28"/>
        </w:rPr>
        <w:t xml:space="preserve">Canguilhem's use of </w:t>
      </w:r>
      <w:r>
        <w:rPr>
          <w:i/>
          <w:iCs/>
          <w:szCs w:val="28"/>
        </w:rPr>
        <w:t>milieu</w:t>
      </w:r>
      <w:r>
        <w:rPr>
          <w:szCs w:val="28"/>
        </w:rPr>
        <w:t xml:space="preserve"> deepens the relation. The French word means surroundings, but it also carries the sense of middle or center. Physics can describe an environment as a field without privileged reference, while biology asks how a living being coordinates conditions from a position it occupies. The organism does not float inside a neutral container. By moving, feeding, regulating temperature, building shelter, avoiding danger, and altering local conditions, it makes a center without becoming the center of the universe. Its milieu is decentered from every other life even as milieus overlap materially.</w:t>
      </w:r>
      <w:r>
        <w:rPr>
          <w:vertAlign w:val="superscript"/>
        </w:rPr>
        <w:t>12</w:t>
      </w:r>
    </w:p>
    <w:p w14:paraId="358D6CAE" w14:textId="77777777" w:rsidR="004A6C7A" w:rsidRDefault="007849EA">
      <w:pPr>
        <w:pStyle w:val="BookBody"/>
      </w:pPr>
      <w:r>
        <w:rPr>
          <w:szCs w:val="28"/>
        </w:rPr>
        <w:t>This formulation prevents two symmetrical mistakes. Mechanism can treat the organism as a passive site where external variables produce effects. Subjectivism can treat the milieu as a meaningful picture projected by an interior center. Canguilhem's organism is neither. It is materially continuous with its surroundings and selectively opposed to some of their tendencies. It takes in oxygen, water, food, pathogens, heat, and signals; it excretes, moves, constructs, and sometimes destroys. Its boundary is a site of exchange and evaluation. The milieu has meaning because a living being takes a position within it, while the position survives only through the milieu.</w:t>
      </w:r>
    </w:p>
    <w:p w14:paraId="0D8F0D1B" w14:textId="77777777" w:rsidR="004A6C7A" w:rsidRDefault="007849EA">
      <w:pPr>
        <w:pStyle w:val="BookBody"/>
      </w:pPr>
      <w:r>
        <w:rPr>
          <w:szCs w:val="28"/>
        </w:rPr>
        <w:t xml:space="preserve">The organism-machine distinction in </w:t>
      </w:r>
      <w:r>
        <w:rPr>
          <w:i/>
          <w:iCs/>
          <w:szCs w:val="28"/>
        </w:rPr>
        <w:t>Knowledge of Life</w:t>
      </w:r>
      <w:r>
        <w:rPr>
          <w:szCs w:val="28"/>
        </w:rPr>
        <w:t xml:space="preserve"> makes the same point from the history of technology. Descartes could compare animals to clocks, fountains, and automata because artisans had already built devices in which stored energy and constrained parts produced repeatable motion. The machine appeared self-sufficient only when the labor of its construction and maintenance receded from view. Yet its organization had been selected in advance for an effect desired by living makers. Mechanism did not eliminate purpose; it displaced purpose into the engineer, designer, user, or divine artificer.</w:t>
      </w:r>
    </w:p>
    <w:p w14:paraId="43F679A2" w14:textId="77777777" w:rsidR="004A6C7A" w:rsidRDefault="007849EA">
      <w:pPr>
        <w:pStyle w:val="BookBody"/>
      </w:pPr>
      <w:r>
        <w:rPr>
          <w:szCs w:val="28"/>
        </w:rPr>
        <w:t>Canguilhem reverses the comparison. A machine's construction is foreign to it, whereas an organism exhibits self-construction, self-conservation, self-regulation, and repair. A machine can include feedback and automatic correction, but those devices are themselves arranged through a technical history. Its parts are standardized so that equivalents can replace one another within an externally specified function. An organism develops its parts within a whole, changes their contribution after injury, and sometimes regenerates a form from radically altered material. The difference is not that organisms violate physics. It is that their physical processes participate in an immanent history of maintaining and remaking the living unity.</w:t>
      </w:r>
      <w:r>
        <w:rPr>
          <w:vertAlign w:val="superscript"/>
        </w:rPr>
        <w:t>13</w:t>
      </w:r>
    </w:p>
    <w:p w14:paraId="61A517DD" w14:textId="77777777" w:rsidR="004A6C7A" w:rsidRDefault="007849EA">
      <w:pPr>
        <w:pStyle w:val="BookBody"/>
      </w:pPr>
      <w:r>
        <w:rPr>
          <w:szCs w:val="28"/>
        </w:rPr>
        <w:t>The reversal also dignifies technique. If machines are extensions of living activity, technology is not the invasion of life by an utterly foreign principle. Toolmaking, experimentation, medicine, and engineering express organisms exploring and reorganizing milieus. This continuity does not make every technology life-giving. A technical system can narrow human and nonhuman worlds, extract bodies as replaceable parts, or impose norms optimized for its own operation. But criticism must begin from the fact that the machine is a cultural product of life, not the metaphysical truth to which life must finally be reduced.</w:t>
      </w:r>
    </w:p>
    <w:p w14:paraId="1591553A" w14:textId="77777777" w:rsidR="004A6C7A" w:rsidRDefault="007849EA">
      <w:pPr>
        <w:pStyle w:val="BookBody"/>
      </w:pPr>
      <w:r>
        <w:rPr>
          <w:szCs w:val="28"/>
        </w:rPr>
        <w:t>Once built, however, a machine can become part of a new milieu and acquire functions its maker did not foresee. A prosthesis is incorporated into bodily habit, a laboratory instrument reorganizes what can count as evidence, and an industrial device changes the air, labor, and habitat around it. The machine still does not establish its own biological norm, but living beings establish norms through and against it. This is why the organism-machine distinction is relational rather than a catalogue of materials: both may contain metals, polymers, feedback loops, and electrical signals, while their modes of formation, maintenance, and significance remain different.</w:t>
      </w:r>
    </w:p>
    <w:p w14:paraId="037F40AE" w14:textId="77777777" w:rsidR="004A6C7A" w:rsidRDefault="007849EA">
      <w:pPr>
        <w:pStyle w:val="BookBody"/>
      </w:pPr>
      <w:r>
        <w:rPr>
          <w:szCs w:val="28"/>
        </w:rPr>
        <w:t>Canguilhem is sometimes enlisted in a generalized philosophy of creativity in which life is endlessly inventive and therefore secretly victorious over mechanism. His clinical sobriety resists that celebration. Norm-establishing life can fail, suffer, contract, and die. New norms can be poorer, unstable, or purchased by excluding much of the former world. Organisms can damage their milieus and destroy the conditions of their own continuation. Normativity names non-indifference and the power of variation; it does not guarantee wisdom, progress, or harmony.</w:t>
      </w:r>
    </w:p>
    <w:p w14:paraId="43E105F0" w14:textId="77777777" w:rsidR="004A6C7A" w:rsidRDefault="007849EA">
      <w:pPr>
        <w:pStyle w:val="BookBody"/>
      </w:pPr>
      <w:r>
        <w:rPr>
          <w:szCs w:val="28"/>
        </w:rPr>
        <w:t>The same caution blocks a leap from biological normativity to cosmic purpose. Physical processes are conditions of life, but their existence does not show that the universe intended living norms. An asteroid, mutation, drought, or infection can become significant within a living history without having occurred for the sake of that history. Norms arise where beings distinguish favorable from unfavorable and organize responses. The universe supplies no evidence here of a single preference encompassing all lives. Predators and prey, parasites and hosts, forests and fires can establish intersecting values that do not reconcile at a higher biological tribunal.</w:t>
      </w:r>
    </w:p>
    <w:p w14:paraId="2AADA0E7" w14:textId="77777777" w:rsidR="004A6C7A" w:rsidRDefault="007849EA">
      <w:pPr>
        <w:pStyle w:val="BookBody"/>
      </w:pPr>
      <w:r>
        <w:rPr>
          <w:szCs w:val="28"/>
        </w:rPr>
        <w:t>Meaning after Canguilhem is therefore more conflictual than a restored cosmos would allow. Different organisms value the same process differently, and even one organism contains tensions among short-term survival, development, reproduction, and wider relations. Medicine does not reveal the law of the whole; it enters one life at a point of suffering and seeks a more viable relation. The public truth of that intervention depends on physiology, epidemiology, clinical skill, testimony, and institutions. Biological value is real, but access to it remains mediated and corrigible.</w:t>
      </w:r>
    </w:p>
    <w:p w14:paraId="62029A27" w14:textId="77777777" w:rsidR="004A6C7A" w:rsidRDefault="007849EA">
      <w:pPr>
        <w:pStyle w:val="SectionHeading"/>
      </w:pPr>
      <w:r>
        <w:t>The Body Does Not Occupy Its World Like an Object</w:t>
      </w:r>
    </w:p>
    <w:p w14:paraId="18E0BB03" w14:textId="77777777" w:rsidR="004A6C7A" w:rsidRDefault="007849EA">
      <w:pPr>
        <w:pStyle w:val="BookBody"/>
      </w:pPr>
      <w:r>
        <w:rPr>
          <w:szCs w:val="28"/>
        </w:rPr>
        <w:t xml:space="preserve">Merleau-Ponty begins where the clinical analysis has led: the body is not one object among others, even though it can be measured, injured, and seen. </w:t>
      </w:r>
      <w:r>
        <w:rPr>
          <w:i/>
          <w:iCs/>
          <w:szCs w:val="28"/>
        </w:rPr>
        <w:t>Phenomenology of Perception</w:t>
      </w:r>
      <w:r>
        <w:rPr>
          <w:szCs w:val="28"/>
        </w:rPr>
        <w:t xml:space="preserve"> does not deny the objective body studied by anatomy and physiology. It asks how that body can become an object for anyone at all. Before the hand is mapped as bones, muscles, nerves, and cortical pathways, it reaches, grasps, withdraws, and finds its way among things. Objective knowledge abstracts from a practical field that perception has already opened.</w:t>
      </w:r>
    </w:p>
    <w:p w14:paraId="00732AB3" w14:textId="77777777" w:rsidR="004A6C7A" w:rsidRDefault="007849EA">
      <w:pPr>
        <w:pStyle w:val="BookBody"/>
      </w:pPr>
      <w:r>
        <w:rPr>
          <w:szCs w:val="28"/>
        </w:rPr>
        <w:t>The distinction appears in ordinary action. To reach for a cup, a person does not normally calculate coordinates, represent each muscular contraction, or compare the hand's present position with an internal geometric model. The cup draws a movement because it stands within reach, the body is oriented toward it, and the situation has a familiar style. This competence is not unconscious inference. Merleau-Ponty calls it motor intentionality: an orientation of bodily powers toward a task. The body's "I can" precedes an explicit "I think," while remaining open to correction when the cup is farther, heavier, hotter, or more fragile than anticipated.</w:t>
      </w:r>
      <w:r>
        <w:rPr>
          <w:vertAlign w:val="superscript"/>
        </w:rPr>
        <w:t>14</w:t>
      </w:r>
    </w:p>
    <w:p w14:paraId="5D39C8E0" w14:textId="77777777" w:rsidR="004A6C7A" w:rsidRDefault="007849EA">
      <w:pPr>
        <w:pStyle w:val="BookBody"/>
      </w:pPr>
      <w:r>
        <w:rPr>
          <w:szCs w:val="28"/>
        </w:rPr>
        <w:t>Habit makes this practical intelligence historical. A typist does not search for each key as an isolated location; a musician's hand inhabits intervals on the instrument; a driver feels the car's width through possible movement. The body incorporates a pattern without storing it as a detached formula. New equipment can become an extension of the bodily field because perception and action are plastic. A cane, keyboard, prosthesis, or tool reorganizes what counts as near, rough, passable, or dangerous. The lived world is sedimented through practice.</w:t>
      </w:r>
    </w:p>
    <w:p w14:paraId="0CDC2DE5" w14:textId="77777777" w:rsidR="004A6C7A" w:rsidRDefault="007849EA">
      <w:pPr>
        <w:pStyle w:val="BookBody"/>
      </w:pPr>
      <w:r>
        <w:rPr>
          <w:szCs w:val="28"/>
        </w:rPr>
        <w:t>Orientation reaches beneath acquired skill. Above and below, near and far, front and back are not first neutral coordinates. They are organized from a body held by gravity, able to turn, and asymmetrically equipped with eyes, hands, and feet. Objective space abstracts these axes into relations that any observer can use, an achievement essential to geometry and science. But the abstraction retains a tacit zero point in bodily operation: instruments must be placed, readings made, and diagrams viewed. The lived body is not an obstacle to spatial truth; it is the mobile origin from which spatial invariance can be constructed.</w:t>
      </w:r>
    </w:p>
    <w:p w14:paraId="75D95413" w14:textId="77777777" w:rsidR="004A6C7A" w:rsidRDefault="007849EA">
      <w:pPr>
        <w:pStyle w:val="BookBody"/>
      </w:pPr>
      <w:r>
        <w:rPr>
          <w:szCs w:val="28"/>
        </w:rPr>
        <w:t>Clinical breakdown again reveals what fluency conceals. Goldstein's patient Schneider could perform concrete movements solicited by a situation while struggling with abstract movements requested without a practical aim. The difference could not be explained by paralysis, since the same limbs moved in one context and failed in another. Nor could it be explained by a missing representation alone, since bodily orientation remained in familiar tasks. The lesion altered the person's way of projecting a field of possible action. Merleau-Ponty uses the case not to reduce philosophy to pathology but to show that normal motility is a world-directed power.</w:t>
      </w:r>
      <w:r>
        <w:rPr>
          <w:vertAlign w:val="superscript"/>
        </w:rPr>
        <w:t>15</w:t>
      </w:r>
    </w:p>
    <w:p w14:paraId="2D7B4B59" w14:textId="77777777" w:rsidR="004A6C7A" w:rsidRDefault="007849EA">
      <w:pPr>
        <w:pStyle w:val="BookBody"/>
      </w:pPr>
      <w:r>
        <w:rPr>
          <w:szCs w:val="28"/>
        </w:rPr>
        <w:t>The phantom limb makes the temporal depth of that power visible. A person who has lost a limb can continue to feel it available because the habitual world still calls for actions the former body could perform. The door invites opening, the stair climbing, the familiar gesture completion. The phantom is neither a deliberate refusal of fact nor a simple peripheral sensation. It belongs to a body's retained style of being in a world. Physiology and biography meet without either becoming a metaphor for the other.</w:t>
      </w:r>
    </w:p>
    <w:p w14:paraId="6E066547" w14:textId="77777777" w:rsidR="004A6C7A" w:rsidRDefault="007849EA">
      <w:pPr>
        <w:pStyle w:val="BookBody"/>
      </w:pPr>
      <w:r>
        <w:rPr>
          <w:szCs w:val="28"/>
        </w:rPr>
        <w:t>The body's opacity also places a limit on reflection. I can learn anatomy, watch my movement on video, and submit bodily processes to imaging, but I cannot turn the lived body wholly into an object without continuing to perceive through it. Reflection doubles experience rather than escaping it. This is not a reason to distrust objective medicine; it explains why third-person findings and first-person experience answer different questions and must be coordinated. The image may disclose a lesion the patient cannot feel, while the patient's altered world may reveal consequences the image cannot display.</w:t>
      </w:r>
    </w:p>
    <w:p w14:paraId="06684DBB" w14:textId="77777777" w:rsidR="004A6C7A" w:rsidRDefault="007849EA">
      <w:pPr>
        <w:pStyle w:val="BookBody"/>
      </w:pPr>
      <w:r>
        <w:rPr>
          <w:szCs w:val="28"/>
        </w:rPr>
        <w:t>Merleau-Ponty summarizes the point in one of his most direct sentences: "The body is the vehicle of being in the world."</w:t>
      </w:r>
      <w:r>
        <w:rPr>
          <w:vertAlign w:val="superscript"/>
        </w:rPr>
        <w:t>16</w:t>
      </w:r>
      <w:r>
        <w:rPr>
          <w:szCs w:val="28"/>
        </w:rPr>
        <w:t xml:space="preserve"> Vehicle here does not mean an instrument driven by a separate mind. The body carries existence because its posture, senses, habits, and powers give access to situations. I do not first exist as a spectator and then acquire bodily transport. My location and capacities are the manner in which things can appear from here, under this light, within this reach, against this history.</w:t>
      </w:r>
    </w:p>
    <w:p w14:paraId="6A7AB900" w14:textId="77777777" w:rsidR="004A6C7A" w:rsidRDefault="007849EA">
      <w:pPr>
        <w:pStyle w:val="BookBody"/>
      </w:pPr>
      <w:r>
        <w:rPr>
          <w:szCs w:val="28"/>
        </w:rPr>
        <w:t>Embodiment therefore differs from confinement. A point of view is limited, but it opens rather than merely restricts. Because I stand somewhere, the object has a near side and hidden sides; because I can move, those hidden sides are available without being presently seen. The perceived thing exceeds each appearance and is promised through possible movement. A view from nowhere would not see more completely. It would lack the orientation through which anything could have a face, depth, distance, or horizon.</w:t>
      </w:r>
    </w:p>
    <w:p w14:paraId="01182C71" w14:textId="77777777" w:rsidR="004A6C7A" w:rsidRDefault="007849EA">
      <w:pPr>
        <w:pStyle w:val="BookBody"/>
      </w:pPr>
      <w:r>
        <w:rPr>
          <w:szCs w:val="28"/>
        </w:rPr>
        <w:t>This is why the perceived world cannot be reconstructed from sensations plus judgment. A patch of color appears already as the surface of something under illumination; a sound comes from a direction and belongs to an event; a path rises as walkable before its slope is calculated. Perception is not infallible, but its errors occur within a field of motivated appearances. A shadow can be mistaken for a hole because bodily exploration has not yet resolved the ambiguity. Correction comes through further looking, moving, touching, comparison, and testimony - through a richer commerce with the world, not an escape from embodiment.</w:t>
      </w:r>
    </w:p>
    <w:p w14:paraId="176D8CB2" w14:textId="77777777" w:rsidR="004A6C7A" w:rsidRDefault="007849EA">
      <w:pPr>
        <w:pStyle w:val="BookBody"/>
      </w:pPr>
      <w:r>
        <w:rPr>
          <w:szCs w:val="28"/>
        </w:rPr>
        <w:t>The account also avoids making the human body the only center of significance. Merleau-Ponty's early work draws extensively on animal behavior and Gestalt theory. An animal responds to configurations rather than isolated stimuli; a figure emerges against a background according to the organism's structure and task. Human symbolic capacities transform that relation by opening more detachable, variable, and shared structures, but they do not create significance out of nothing. Language and concept grow from a bodily openness already at work in perception.</w:t>
      </w:r>
    </w:p>
    <w:p w14:paraId="60BB517E" w14:textId="77777777" w:rsidR="004A6C7A" w:rsidRDefault="007849EA">
      <w:pPr>
        <w:pStyle w:val="BookBody"/>
      </w:pPr>
      <w:r>
        <w:rPr>
          <w:szCs w:val="28"/>
        </w:rPr>
        <w:t xml:space="preserve">At this point Uexküll's functional cycle returns in another vocabulary. Merleau-Ponty does not simply adopt </w:t>
      </w:r>
      <w:r>
        <w:rPr>
          <w:i/>
          <w:iCs/>
          <w:szCs w:val="28"/>
        </w:rPr>
        <w:t>Umwelt</w:t>
      </w:r>
      <w:r>
        <w:rPr>
          <w:szCs w:val="28"/>
        </w:rPr>
        <w:t xml:space="preserve"> theory, and Buchanan is right to trace both appropriation and transformation. The animal's world is no longer best imagined as a completed bubble whose contents correspond to a fixed plan. It is a field enacted through behavior, capable of alteration and intertwined with other fields. The perceiver and perceived form a structure without losing their difference. Meaning lies in their directed exchange rather than in either term taken alone.</w:t>
      </w:r>
      <w:r>
        <w:rPr>
          <w:vertAlign w:val="superscript"/>
        </w:rPr>
        <w:t>17</w:t>
      </w:r>
    </w:p>
    <w:p w14:paraId="0D324966" w14:textId="77777777" w:rsidR="004A6C7A" w:rsidRDefault="007849EA">
      <w:pPr>
        <w:pStyle w:val="BookBody"/>
      </w:pPr>
      <w:r>
        <w:rPr>
          <w:szCs w:val="28"/>
        </w:rPr>
        <w:t>The difference from psychology's inward migration is now clear. Perception may be conditioned by memory, desire, and unconscious conflict, but the perceived thing is not thereby a psychic image. The cup supports a grasp, resists pressure, breaks when dropped, and remains available to others from other positions. Its meaning is not exhausted by personal association. A lived world is private in perspective but public in structure: bodies can converge on the same thing, correct one another, and discover aspects none possessed alone.</w:t>
      </w:r>
    </w:p>
    <w:p w14:paraId="5D36782A" w14:textId="77777777" w:rsidR="004A6C7A" w:rsidRDefault="007849EA">
      <w:pPr>
        <w:pStyle w:val="BookBody"/>
      </w:pPr>
      <w:r>
        <w:rPr>
          <w:szCs w:val="28"/>
        </w:rPr>
        <w:t>Affect belongs to this openness rather than sealing the subject inside feeling. Fear contracts distances around a threat, fatigue makes the path steeper, grief empties familiar rooms of former invitations, and desire brings certain features forward. These transformations can mislead, but they also disclose how every neutral scene is an abstraction from bodily concern. The answer is not to treat affect as revelation immune to correction. It is to ask how mood, material situation, past experience, and other observers combine in the appearing world, and where further encounter confirms or contests the initial sense.</w:t>
      </w:r>
    </w:p>
    <w:p w14:paraId="0DACC03F" w14:textId="77777777" w:rsidR="004A6C7A" w:rsidRDefault="007849EA">
      <w:pPr>
        <w:pStyle w:val="SectionHeading"/>
      </w:pPr>
      <w:r>
        <w:t>Nature Is Not Finished Before Life Appears</w:t>
      </w:r>
    </w:p>
    <w:p w14:paraId="3757F453" w14:textId="77777777" w:rsidR="004A6C7A" w:rsidRDefault="007849EA">
      <w:pPr>
        <w:pStyle w:val="BookBody"/>
      </w:pPr>
      <w:r>
        <w:rPr>
          <w:szCs w:val="28"/>
        </w:rPr>
        <w:t xml:space="preserve">Merleau-Ponty's later courses on nature return explicitly to Uexküll, embryology, animal behavior, and the organism. The return matters because phenomenology can otherwise seem confined to the human disclosure of a world. </w:t>
      </w:r>
      <w:r>
        <w:rPr>
          <w:i/>
          <w:iCs/>
          <w:szCs w:val="28"/>
        </w:rPr>
        <w:t>Nature</w:t>
      </w:r>
      <w:r>
        <w:rPr>
          <w:szCs w:val="28"/>
        </w:rPr>
        <w:t xml:space="preserve"> asks whether the perceived field belongs only to consciousness or whether nature itself contains forms of self-production that prepare perception. The question does not authorize a speculative life-force. It asks how organisms arise as coherent styles when neither a preexisting plan nor a sum of external causes adequately describes development.</w:t>
      </w:r>
    </w:p>
    <w:p w14:paraId="4444D9E9" w14:textId="77777777" w:rsidR="004A6C7A" w:rsidRDefault="007849EA">
      <w:pPr>
        <w:pStyle w:val="BookBody"/>
      </w:pPr>
      <w:r>
        <w:rPr>
          <w:szCs w:val="28"/>
        </w:rPr>
        <w:t xml:space="preserve">The lecture notes call the </w:t>
      </w:r>
      <w:r>
        <w:rPr>
          <w:i/>
          <w:iCs/>
          <w:szCs w:val="28"/>
        </w:rPr>
        <w:t>Umwelt</w:t>
      </w:r>
      <w:r>
        <w:rPr>
          <w:szCs w:val="28"/>
        </w:rPr>
        <w:t xml:space="preserve"> an intermediary reality between the world for an absolute observer and a purely subjective domain. An animal addresses an aspect of the world through behavior, often before anything like reflective consciousness. Stimuli function as signals because the organism is disposed to receive and treat them within a course of activity. Merleau-Ponty thus refuses Descartes' division between extended mechanism and unextended consciousness. The organism does not need to cross from causal matter into meaning at the threshold of human thought. Behavioral significance already complicates matter from within living organization.</w:t>
      </w:r>
      <w:r>
        <w:rPr>
          <w:vertAlign w:val="superscript"/>
        </w:rPr>
        <w:t>18</w:t>
      </w:r>
    </w:p>
    <w:p w14:paraId="20689D9B" w14:textId="77777777" w:rsidR="004A6C7A" w:rsidRDefault="007849EA">
      <w:pPr>
        <w:pStyle w:val="BookBody"/>
      </w:pPr>
      <w:r>
        <w:rPr>
          <w:szCs w:val="28"/>
        </w:rPr>
        <w:t xml:space="preserve">The image of melody helps him describe that organization. In a melody, the first note is not an isolated cause followed by independent effects. It is heard in anticipation of a continuation, while later notes retrospectively alter its role. The whole exists only in temporal performance, yet no single instant contains it. Merleau-Ponty speaks of the </w:t>
      </w:r>
      <w:r>
        <w:rPr>
          <w:i/>
          <w:iCs/>
          <w:szCs w:val="28"/>
        </w:rPr>
        <w:t>Umwelt</w:t>
      </w:r>
      <w:r>
        <w:rPr>
          <w:szCs w:val="28"/>
        </w:rPr>
        <w:t xml:space="preserve"> as "a melody that is singing itself."</w:t>
      </w:r>
      <w:r>
        <w:rPr>
          <w:vertAlign w:val="superscript"/>
        </w:rPr>
        <w:t>19</w:t>
      </w:r>
      <w:r>
        <w:rPr>
          <w:szCs w:val="28"/>
        </w:rPr>
        <w:t xml:space="preserve"> The image is valuable because it makes formation immanent to the sequence. It is dangerous if it suggests a song composed in advance or a nature guaranteed to reach harmonious closure.</w:t>
      </w:r>
    </w:p>
    <w:p w14:paraId="6873149B" w14:textId="77777777" w:rsidR="004A6C7A" w:rsidRDefault="007849EA">
      <w:pPr>
        <w:pStyle w:val="BookBody"/>
      </w:pPr>
      <w:r>
        <w:rPr>
          <w:szCs w:val="28"/>
        </w:rPr>
        <w:t>Embryonic development shows the same problem materially. Cells divide, differentiate, regulate, and sometimes compensate after disturbance. Later structure cannot simply push earlier events from the future, but the sequence is unintelligible if each event is treated as unrelated to the form being made. The organism is not assembled from standardized pieces according to an external blueprint. Its parts acquire identities through their positions and relations in an unfolding whole. Merleau-Ponty's nature is therefore not inert stuff awaiting human sense, but neither is it a conscious artisan. It is the field of processes in which forms emerge, stabilize, vary, and break down.</w:t>
      </w:r>
    </w:p>
    <w:p w14:paraId="21EA5B39" w14:textId="77777777" w:rsidR="004A6C7A" w:rsidRDefault="007849EA">
      <w:pPr>
        <w:pStyle w:val="BookBody"/>
      </w:pPr>
      <w:r>
        <w:rPr>
          <w:szCs w:val="28"/>
        </w:rPr>
        <w:t xml:space="preserve">Animality further loosens the sealed </w:t>
      </w:r>
      <w:r>
        <w:rPr>
          <w:i/>
          <w:iCs/>
          <w:szCs w:val="28"/>
        </w:rPr>
        <w:t>Umwelt</w:t>
      </w:r>
      <w:r>
        <w:rPr>
          <w:szCs w:val="28"/>
        </w:rPr>
        <w:t>. Territory, mating, predation, play, care, and communication place lives within one another's fields. Two functional cycles can cross, and each animal can become a meaningful object for the other in ways no single species plan contains. The prey learns a predator's signs; the predator tracks a prey's habits; domestication reshapes both human and animal worlds. Interanimality is not evidence that every species shares one experiential world. It names the material intertwining through which distinct worlds become mutually consequential.</w:t>
      </w:r>
    </w:p>
    <w:p w14:paraId="36BA562D" w14:textId="77777777" w:rsidR="004A6C7A" w:rsidRDefault="007849EA">
      <w:pPr>
        <w:pStyle w:val="BookBody"/>
      </w:pPr>
      <w:r>
        <w:rPr>
          <w:szCs w:val="28"/>
        </w:rPr>
        <w:t>The human world intensifies rather than abolishes this crossing. Language permits absent and possible things to enter present action; institutions sediment norms across generations; tools transform the scale and tempo of perception. A satellite image, laboratory assay, or statistical model can disclose processes no unaided body perceives. Yet these instruments remain practices of embodied beings, calibrated within environments and interpreted through shared norms. Scientific objectivity is not the negation of worldhood. It is a disciplined achievement that partially frees inquiry from one local perspective by coordinating many perspectives and devices.</w:t>
      </w:r>
    </w:p>
    <w:p w14:paraId="2588C63B" w14:textId="77777777" w:rsidR="004A6C7A" w:rsidRDefault="007849EA">
      <w:pPr>
        <w:pStyle w:val="BookBody"/>
      </w:pPr>
      <w:r>
        <w:rPr>
          <w:szCs w:val="28"/>
        </w:rPr>
        <w:t>That achievement explains why lived world cannot replace universe. Phenomenology describes how a universe becomes accessible, not why every physical claim should be reduced to experience. Galaxies formed before organisms, pathogens act before diagnosis, and climate systems exceed any creature's perceptual field. The scientific universe corrects the parochial limits of lived worlds precisely because reality exceeds present significance. But scientific operations also occur in lived and institutional worlds. Measurements require bodies, instruments, standards, training, and judgments of relevance. The two descriptions are asymmetrical and mutually implicated, not competitors for a single vocabulary.</w:t>
      </w:r>
    </w:p>
    <w:p w14:paraId="0B297CA9" w14:textId="77777777" w:rsidR="004A6C7A" w:rsidRDefault="007849EA">
      <w:pPr>
        <w:pStyle w:val="BookBody"/>
      </w:pPr>
      <w:r>
        <w:rPr>
          <w:szCs w:val="28"/>
        </w:rPr>
        <w:t>Ted Toadvine's reading of Merleau-Ponty's philosophy of nature is helpful at this juncture. The movement from Gestalt and radical reflection to animality, oriented space, and chiasm is not a retreat from phenomenology into cosmology. It is an attempt to understand nature's resistance to being reduced either to an object constituted by consciousness or to a completed inventory of causes. Reflection is expressive: it takes up a relation that precedes it and articulates what that relation could not say by itself. The articulation can be true without claiming to create its object.</w:t>
      </w:r>
      <w:r>
        <w:rPr>
          <w:vertAlign w:val="superscript"/>
        </w:rPr>
        <w:t>20</w:t>
      </w:r>
    </w:p>
    <w:p w14:paraId="51A00DD9" w14:textId="77777777" w:rsidR="004A6C7A" w:rsidRDefault="007849EA">
      <w:pPr>
        <w:pStyle w:val="BookBody"/>
      </w:pPr>
      <w:r>
        <w:rPr>
          <w:szCs w:val="28"/>
        </w:rPr>
        <w:t>Nature in this sense is not a new name for the ancient cosmos. It supplies no public hierarchy of sacred places, social ranks, and celestial purposes. Its forms are plural, historical, exposed to contingency, and known through fallible practices. What it restores is more limited: the possibility that significance is not foreign to reality wherever living bodies perceive, act, develop, and meet one another. The restoration is limited enough to preserve astronomy, physics, evolutionary history, and critique; it is strong enough to deny that qualities must be either universal properties or private projections.</w:t>
      </w:r>
    </w:p>
    <w:p w14:paraId="04402F5A" w14:textId="77777777" w:rsidR="004A6C7A" w:rsidRDefault="007849EA">
      <w:pPr>
        <w:pStyle w:val="SectionHeading"/>
      </w:pPr>
      <w:r>
        <w:t>Touching and Touched</w:t>
      </w:r>
    </w:p>
    <w:p w14:paraId="2D654A4A" w14:textId="77777777" w:rsidR="004A6C7A" w:rsidRDefault="007849EA">
      <w:pPr>
        <w:pStyle w:val="BookBody"/>
      </w:pPr>
      <w:r>
        <w:rPr>
          <w:szCs w:val="28"/>
        </w:rPr>
        <w:t xml:space="preserve">The chapter's final material witness requires no laboratory apparatus. Place one hand against the other. The left can explore the right as a warm, resistant, textured thing; the right can also feel the left's pressure. The roles can reverse almost immediately. In </w:t>
      </w:r>
      <w:r>
        <w:rPr>
          <w:i/>
          <w:iCs/>
          <w:szCs w:val="28"/>
        </w:rPr>
        <w:t>Phenomenology of Perception</w:t>
      </w:r>
      <w:r>
        <w:rPr>
          <w:szCs w:val="28"/>
        </w:rPr>
        <w:t>, Merleau-Ponty insists that the two hands are not simply two objects delivering two sensations to a spectator. They form an ambiguous arrangement in which each can alternate between touching and touched.</w:t>
      </w:r>
      <w:r>
        <w:rPr>
          <w:vertAlign w:val="superscript"/>
        </w:rPr>
        <w:t>21</w:t>
      </w:r>
      <w:r>
        <w:rPr>
          <w:szCs w:val="28"/>
        </w:rPr>
        <w:t xml:space="preserve"> The body is sensible and sentient, belonging to the world it senses.</w:t>
      </w:r>
    </w:p>
    <w:p w14:paraId="21DFD45F" w14:textId="77777777" w:rsidR="004A6C7A" w:rsidRDefault="007849EA">
      <w:pPr>
        <w:pStyle w:val="BookBody"/>
      </w:pPr>
      <w:r>
        <w:rPr>
          <w:szCs w:val="28"/>
        </w:rPr>
        <w:t>The reversal is never complete in one instant. When the right hand becomes the toucher, its being-touched recedes; when attention shifts, the left changes role. This gap matters. If reversibility were perfect, toucher and touched would collapse into identity and the relation would disappear. The experience instead shows proximity without fusion. I can encounter my hand from the outside because it is a thing among things, yet that thing can awaken as a locus of feeling. The body's unity is not possession by a central mind but a capacity for passages among roles.</w:t>
      </w:r>
    </w:p>
    <w:p w14:paraId="22E31209" w14:textId="77777777" w:rsidR="004A6C7A" w:rsidRDefault="007849EA">
      <w:pPr>
        <w:pStyle w:val="BookBody"/>
      </w:pPr>
      <w:r>
        <w:rPr>
          <w:szCs w:val="28"/>
        </w:rPr>
        <w:t>The example scales outward cautiously. Another person's body is visible and tangible as mine is, but I never feel the other's sensation exactly as the other does. Gesture, speech, expression, and shared action nevertheless disclose an embodied center rather than a mere object. I understand pain in a face or hesitation in a movement because my own body belongs to a world of expressive possibilities, not because I infer an invisible mind from neutral motions. Intersubjectivity is neither telepathy nor analogy between sealed interiors. It is the crossing of bodily fields around common things.</w:t>
      </w:r>
    </w:p>
    <w:p w14:paraId="7C37AEB8" w14:textId="77777777" w:rsidR="004A6C7A" w:rsidRDefault="007849EA">
      <w:pPr>
        <w:pStyle w:val="BookBody"/>
      </w:pPr>
      <w:r>
        <w:rPr>
          <w:szCs w:val="28"/>
        </w:rPr>
        <w:t>The common thing is indispensable. If two people merely possessed private streams of sensation, agreement could only mean accidental correspondence between representations. In a shared world they can point, approach, handle, and dispute the same object. Each view remains partial, but the object's resistance and availability across positions allow perspectives to correct and supplement one another. Public reason grows from this bodily decentering: I can learn that what appears from here is not all that can appear, and that another's access may disclose a consequence my own position hides.</w:t>
      </w:r>
    </w:p>
    <w:p w14:paraId="7F36C5AC" w14:textId="77777777" w:rsidR="004A6C7A" w:rsidRDefault="007849EA">
      <w:pPr>
        <w:pStyle w:val="BookBody"/>
      </w:pPr>
      <w:r>
        <w:rPr>
          <w:szCs w:val="28"/>
        </w:rPr>
        <w:t xml:space="preserve">In </w:t>
      </w:r>
      <w:r>
        <w:rPr>
          <w:i/>
          <w:iCs/>
          <w:szCs w:val="28"/>
        </w:rPr>
        <w:t>The Visible and the Invisible</w:t>
      </w:r>
      <w:r>
        <w:rPr>
          <w:szCs w:val="28"/>
        </w:rPr>
        <w:t>, Merleau-Ponty generalizes this structure as flesh and chiasm. The seer is visible; the toucher is tangible; the speaking body can hear itself among sounds. Perception occurs because the body and things belong to the same sensible field while occupying different places within it. Flesh names this shared element and the divergence internal to it. Merleau-Ponty's warning must govern every use of the term: "The flesh is not matter, is not mind, is not substance."</w:t>
      </w:r>
      <w:r>
        <w:rPr>
          <w:vertAlign w:val="superscript"/>
        </w:rPr>
        <w:t>22</w:t>
      </w:r>
      <w:r>
        <w:rPr>
          <w:szCs w:val="28"/>
        </w:rPr>
        <w:t xml:space="preserve"> It is not an invisible stuff added to physics. It names the relational texture in which sensing and sensed can arise.</w:t>
      </w:r>
    </w:p>
    <w:p w14:paraId="734A48FF" w14:textId="77777777" w:rsidR="004A6C7A" w:rsidRDefault="007849EA">
      <w:pPr>
        <w:pStyle w:val="BookBody"/>
      </w:pPr>
      <w:r>
        <w:rPr>
          <w:szCs w:val="28"/>
        </w:rPr>
        <w:t>Chiasm means crossing. The gaze reaches things while things solicit and limit the gaze; touch explores a surface while the touching body is itself exposed; language takes up a silent perceptual sense and returns it to a public world. The crossing is not a causal explanation that competes with optics, neurology, or linguistics. It is an ontological description of the condition those explanations presuppose: a body capable of being affected by what it is made of and of turning that affection into access to something other than itself.</w:t>
      </w:r>
    </w:p>
    <w:p w14:paraId="03DF6609" w14:textId="77777777" w:rsidR="004A6C7A" w:rsidRDefault="007849EA">
      <w:pPr>
        <w:pStyle w:val="BookBody"/>
      </w:pPr>
      <w:r>
        <w:rPr>
          <w:szCs w:val="28"/>
        </w:rPr>
        <w:t>The visible therefore has depth. A thing is not the sum of all presently given profiles, because each profile opens onto others that remain hidden. Its invisibility is not a second world behind appearances; it is the latency within appearance, the sides, uses, histories, and relations not currently manifest. Likewise the body has an invisible dimension of capacities, habits, and possible gestures. Flesh names the exchange between actual visibility and this horizon of the possible. It should not be capitalized into a deity.</w:t>
      </w:r>
    </w:p>
    <w:p w14:paraId="2C5A2370" w14:textId="77777777" w:rsidR="004A6C7A" w:rsidRDefault="007849EA">
      <w:pPr>
        <w:pStyle w:val="BookBody"/>
      </w:pPr>
      <w:r>
        <w:rPr>
          <w:szCs w:val="28"/>
        </w:rPr>
        <w:t>Scientific visualization belongs within this depth rather than outside it. A microscope, scan, or graph renders visible patterns that ordinary perception cannot reach, but the new visibility is prepared by theory, calibration, and technique. Its images are not less real because mediated, nor are they self-interpreting windows onto things in themselves. They extend the body's interrogative powers while introducing new possibilities of artifact and error. The chiasm of seer and visible survives instrumentation as the accountable relation among object, device, trained observer, and reproducible result.</w:t>
      </w:r>
    </w:p>
    <w:p w14:paraId="190E540F" w14:textId="77777777" w:rsidR="004A6C7A" w:rsidRDefault="007849EA">
      <w:pPr>
        <w:pStyle w:val="BookBody"/>
      </w:pPr>
      <w:r>
        <w:rPr>
          <w:szCs w:val="28"/>
        </w:rPr>
        <w:t>Merleau-Ponty's language sometimes invites exactly that inflation. Phrases such as flesh of the world, respiration of Being, or vision by the things can sound like a universal organism seeing through every body. Read against the touching hands, however, their discipline becomes clearer. Things do not literally possess eyes because they constrain, invite, and return a gaze. The body is "seen" from outside because it is visible to others and because its position is inscribed in the field it explores. The metaphor articulates exposure, not panpsychism.</w:t>
      </w:r>
    </w:p>
    <w:p w14:paraId="55BB8B28" w14:textId="77777777" w:rsidR="004A6C7A" w:rsidRDefault="007849EA">
      <w:pPr>
        <w:pStyle w:val="BookBody"/>
      </w:pPr>
      <w:r>
        <w:rPr>
          <w:szCs w:val="28"/>
        </w:rPr>
        <w:t>The chiasm also differs from harmony. Reversibility is always incomplete; bodies can wound and misread one another; perceptual fields can fail to converge. The same shared flesh that permits communication permits vulnerability. To touch is to be touchable, to see is to be visible, to act is to enter a field where action has consequences beyond intention. Ethical significance is not deduced from this ontology, but its material condition becomes apparent. An isolated sovereign could possess objects without exposure; an embodied subject cannot.</w:t>
      </w:r>
    </w:p>
    <w:p w14:paraId="16D650DB" w14:textId="77777777" w:rsidR="004A6C7A" w:rsidRDefault="007849EA">
      <w:pPr>
        <w:pStyle w:val="BookBody"/>
      </w:pPr>
      <w:r>
        <w:rPr>
          <w:szCs w:val="28"/>
        </w:rPr>
        <w:t>Toadvine describes the human-nature chiasm as a reversible movement of mediation rather than a merger. That restraint is essential for the book's larger argument. Human concepts express nature from within natural and cultural histories; nature is not reducible to those expressions. The relation crosses without erasing asymmetry. A forest can be habitat, carbon sink, sacred place, timber reserve, legal property, and more-than-human community, but these meanings are not equally answerable to the forest's material processes or to the lives depending on it. Chiasm makes contest possible; it does not decide the contest in advance.</w:t>
      </w:r>
      <w:r>
        <w:rPr>
          <w:vertAlign w:val="superscript"/>
        </w:rPr>
        <w:t>23</w:t>
      </w:r>
    </w:p>
    <w:p w14:paraId="36E89470" w14:textId="77777777" w:rsidR="004A6C7A" w:rsidRDefault="007849EA">
      <w:pPr>
        <w:pStyle w:val="BookBody"/>
      </w:pPr>
      <w:r>
        <w:rPr>
          <w:szCs w:val="28"/>
        </w:rPr>
        <w:t>The touching hands complete the movement begun by the functional cycle. Uexküll showed a subject and object forming an orderly circuit; Merleau-Ponty shows why subject and object can exchange traits without becoming indistinguishable. The touching body is object enough to be encountered and subject enough to encounter. Its world is neither enclosed in consciousness nor given as a finished exterior. It is opened through reversible, incomplete commerce with what exceeds it.</w:t>
      </w:r>
    </w:p>
    <w:p w14:paraId="13934CFB" w14:textId="77777777" w:rsidR="004A6C7A" w:rsidRDefault="007849EA">
      <w:pPr>
        <w:pStyle w:val="SectionHeading"/>
      </w:pPr>
      <w:r>
        <w:t>Relation Without a Cosmic Guarantee</w:t>
      </w:r>
    </w:p>
    <w:p w14:paraId="14FCE6D1" w14:textId="77777777" w:rsidR="004A6C7A" w:rsidRDefault="007849EA">
      <w:pPr>
        <w:pStyle w:val="BookBody"/>
      </w:pPr>
      <w:r>
        <w:rPr>
          <w:szCs w:val="28"/>
        </w:rPr>
        <w:t>The three major accounts can now be placed beside one another without being fused. Uexküll gives the minimal architecture of a meaningful world: selective perception and effective action close a functional cycle around material carriers. Canguilhem shows that the cycle is normative: life distinguishes favorable from unfavorable, establishes a viable order, and may change its norm when conditions change. Merleau-Ponty shows that disclosure is embodied: the perceiver belongs to the sensible field and gains access through movement, habit, and exposure. Goldstein's clinic runs through all three by showing how injury transforms the whole relation between body and surroundings.</w:t>
      </w:r>
    </w:p>
    <w:p w14:paraId="452FAB27" w14:textId="77777777" w:rsidR="004A6C7A" w:rsidRDefault="007849EA">
      <w:pPr>
        <w:pStyle w:val="BookBody"/>
      </w:pPr>
      <w:r>
        <w:rPr>
          <w:szCs w:val="28"/>
        </w:rPr>
        <w:t>Together they displace the sovereign subject. The animal does not select from nowhere; its body plan, development, and history shape what it can encounter. The patient does not legislate health by preference; pain, risk, lost latitude, and material conditions constrain the new norm. The perceiver does not constitute a transparent object from sensations; the thing solicits, resists, and exceeds every profile. Mediation remains necessary, but authorship is distributed across the relation. The subject is a participant in disclosure rather than its sole source.</w:t>
      </w:r>
    </w:p>
    <w:p w14:paraId="50C5DF18" w14:textId="77777777" w:rsidR="004A6C7A" w:rsidRDefault="007849EA">
      <w:pPr>
        <w:pStyle w:val="BookBody"/>
      </w:pPr>
      <w:r>
        <w:rPr>
          <w:szCs w:val="28"/>
        </w:rPr>
        <w:t>They also displace the sovereign object conceived as fully determinate apart from every mode of access. This does not mean that nothing exists unperceived. It means that edible, threatening, habitable, curable, reachable, and visible cannot be found by subtracting every organism and perspective. These are genuine relational determinations. A physical account can specify the properties enabling them, but it cannot retain the qualities while eliminating the terms of relation. Objectivity must distinguish perspective-dependence from arbitrariness.</w:t>
      </w:r>
    </w:p>
    <w:p w14:paraId="520C7316" w14:textId="77777777" w:rsidR="004A6C7A" w:rsidRDefault="007849EA">
      <w:pPr>
        <w:pStyle w:val="BookBody"/>
      </w:pPr>
      <w:r>
        <w:rPr>
          <w:szCs w:val="28"/>
        </w:rPr>
        <w:t>Public qualitative truth becomes possible on this basis. Different observers can test whether a branch bears weight, whether an animal detects a wavelength, whether a treatment enlarges a patient's latitude, or whether a habitat permits a population to reproduce. Their judgments require instruments, concepts, and interpretation, but they answer to relations that can resist them. First-person testimony and behavioral observation enter evidence without becoming exempt from criticism. Publicity no longer requires that every truth be independent of every living standpoint; it requires that standpoints, methods, and limits be made answerable to others.</w:t>
      </w:r>
    </w:p>
    <w:p w14:paraId="42A7E4E4" w14:textId="77777777" w:rsidR="004A6C7A" w:rsidRDefault="007849EA">
      <w:pPr>
        <w:pStyle w:val="BookBody"/>
      </w:pPr>
      <w:r>
        <w:rPr>
          <w:szCs w:val="28"/>
        </w:rPr>
        <w:t>Corrigibility takes a different form at each level. A chemical claim may be corrected by measurement, an ethological claim by altered trials and field observation, a clinical judgment by the patient's course and competing diagnoses, a phenomenological description by whether others can recognize and vary the experience. No method alone adjudicates every claim. Relational realism is therefore methodological as well as ontological: it asks what kind of resistance the relation permits and what evidence could expose a mistaken interpretation. Meaning becomes public through disciplined crossings among perspectives, not through the abolition of perspective.</w:t>
      </w:r>
    </w:p>
    <w:p w14:paraId="3E04C6C2" w14:textId="77777777" w:rsidR="004A6C7A" w:rsidRDefault="007849EA">
      <w:pPr>
        <w:pStyle w:val="BookBody"/>
      </w:pPr>
      <w:r>
        <w:rPr>
          <w:szCs w:val="28"/>
        </w:rPr>
        <w:t>The gain does not erase conflict among worlds. A mosquito's nourishment is a host's injury; a dam's electricity is a fish's blocked migration; a hospital's efficient protocol can be a patient's disorienting milieu. Relational reality multiplies obligations because it reveals more centers of significance, but it supplies no algorithm for ranking them. Ethics and politics must judge among intersecting norms under conditions of unequal power. Biology can show what is at stake without converting natural success into moral right.</w:t>
      </w:r>
    </w:p>
    <w:p w14:paraId="5849E8B3" w14:textId="77777777" w:rsidR="004A6C7A" w:rsidRDefault="007849EA">
      <w:pPr>
        <w:pStyle w:val="BookBody"/>
      </w:pPr>
      <w:r>
        <w:rPr>
          <w:szCs w:val="28"/>
        </w:rPr>
        <w:t>Nor can the language of world excuse ignorance of the universe. Organisms respond to selected differences, but unselected processes can still destroy them. Radiation, atmospheric chemistry, plate tectonics, viral evolution, and planetary heating exceed ordinary perception. Science enlarges the field of possible response by constructing instruments and models through which absent or imperceptible processes enter shared action. A lived world adequate to reality must remain educable by what no unaided life currently notices.</w:t>
      </w:r>
    </w:p>
    <w:p w14:paraId="26710E45" w14:textId="77777777" w:rsidR="004A6C7A" w:rsidRDefault="007849EA">
      <w:pPr>
        <w:pStyle w:val="BookBody"/>
      </w:pPr>
      <w:r>
        <w:rPr>
          <w:szCs w:val="28"/>
        </w:rPr>
        <w:t>This reciprocity clarifies the fate of meaning after the living cosmos. Ancient and medieval orders often treated qualitative differences as publicly given features of one encompassing whole. Modern physics achieved its power by describing relations that hold without reference to local purposes. Biology and phenomenology do not reverse that achievement. They show that once living centers appear, qualities emerge in their commerce with conditions described physically but not exhausted as meaningful by physical description. Significance returns locally, plurally, and vulnerably.</w:t>
      </w:r>
    </w:p>
    <w:p w14:paraId="5A3D2E7A" w14:textId="77777777" w:rsidR="004A6C7A" w:rsidRDefault="007849EA">
      <w:pPr>
        <w:pStyle w:val="BookBody"/>
      </w:pPr>
      <w:r>
        <w:rPr>
          <w:szCs w:val="28"/>
        </w:rPr>
        <w:t>The qualifier locally does not mean privately. A milieu can be shared, inherited, damaged, and repaired. A language, city, watershed, clinic, or agricultural system organizes possibilities for many bodies at once. Some worlds are institutionally produced and enforced; some are ecological patterns older than human institutions; most human worlds join both. The task is to trace the actual mediations rather than invoking world as a comforting totality. Meaning is strongest where the relations sustaining it are most specifically named.</w:t>
      </w:r>
    </w:p>
    <w:p w14:paraId="782CEE1C" w14:textId="77777777" w:rsidR="004A6C7A" w:rsidRDefault="007849EA">
      <w:pPr>
        <w:pStyle w:val="BookBody"/>
      </w:pPr>
      <w:r>
        <w:rPr>
          <w:szCs w:val="28"/>
        </w:rPr>
        <w:t>Nothing in this convergence settles every metaphysical question about life. It does not prove that sentience pervades matter, that value exists before organisms, or that reality as a whole tends toward consciousness. It shows why those questions cannot be answered by defining physical description as the measure of every possible mode of being, and why they cannot be answered by inflating local participation into universal purpose. The responsible result is neither closure nor vague mystery. It is a layered account in which strong claims remain tied to the witnesses and methods that support them.</w:t>
      </w:r>
    </w:p>
    <w:p w14:paraId="6EB7A8AC" w14:textId="77777777" w:rsidR="004A6C7A" w:rsidRDefault="007849EA">
      <w:pPr>
        <w:pStyle w:val="SectionHeading"/>
      </w:pPr>
      <w:r>
        <w:t>Cosmos, Universe, Milieu, Lived World</w:t>
      </w:r>
    </w:p>
    <w:p w14:paraId="16CEBC1B" w14:textId="77777777" w:rsidR="004A6C7A" w:rsidRDefault="007849EA">
      <w:pPr>
        <w:pStyle w:val="BookBody"/>
      </w:pPr>
      <w:r>
        <w:rPr>
          <w:szCs w:val="28"/>
        </w:rPr>
        <w:t>The distinctions governing the chapter can now be stated. A cosmos is an ordered qualitative whole. Its places, times, beings, and powers belong to a publicly intelligible totality, often linked with purpose, hierarchy, ritual, and obligation. Uexküll's worlds are not fragments of such a cosmos simply because they are meaningful. The tick's cycle supplies no order of the whole, no rank for every being, and no guarantee that intersecting values reconcile. Biological meaning is therefore not a miniature restoration of cosmic meaning.</w:t>
      </w:r>
    </w:p>
    <w:p w14:paraId="141327C3" w14:textId="77777777" w:rsidR="004A6C7A" w:rsidRDefault="007849EA">
      <w:pPr>
        <w:pStyle w:val="BookBody"/>
      </w:pPr>
      <w:r>
        <w:rPr>
          <w:szCs w:val="28"/>
        </w:rPr>
        <w:t>The universe is the total physical domain insofar as it is described without presupposing significance or purpose. The word does not mean dead matter, and it does not deny life. It permits astronomy, physics, chemistry, geology, and evolutionary history to investigate processes across scales and times that exceed any organism's world. A universe can contain countless living centers without becoming a cosmos. Its laws and histories constrain every milieu, but they do not by themselves state what any condition means for a life.</w:t>
      </w:r>
    </w:p>
    <w:p w14:paraId="3DE9100C" w14:textId="77777777" w:rsidR="004A6C7A" w:rsidRDefault="007849EA">
      <w:pPr>
        <w:pStyle w:val="BookBody"/>
      </w:pPr>
      <w:r>
        <w:rPr>
          <w:szCs w:val="28"/>
        </w:rPr>
        <w:t>A milieu is the structured relation between a living being and the conditions of its existence. It is not merely whatever surrounds the organism, because the organism selects, organizes, and modifies relevant features. It is not merely whatever the organism experiences, because material processes exceed experience and can support or defeat action. A milieu has a center but no sovereign center: each life coordinates a field from its position while remaining caught in the fields of others. Milieus can overlap, conflict, and change historically.</w:t>
      </w:r>
    </w:p>
    <w:p w14:paraId="31197CA5" w14:textId="77777777" w:rsidR="004A6C7A" w:rsidRDefault="007849EA">
      <w:pPr>
        <w:pStyle w:val="BookBody"/>
      </w:pPr>
      <w:r>
        <w:rPr>
          <w:szCs w:val="28"/>
        </w:rPr>
        <w:t>A lived world is the embodied horizon within which things, others, memories, projects, and possibilities appear. Human lived worlds include language, institutions, tools, symbols, and explicit judgments; animal worlds show that practical significance precedes many of those forms. The lived world is broader than a current perceptual scene because it includes hidden sides, habits, absences, and futures toward which a body can move. It is narrower than the universe because much of reality never appears within it except through scientific and technical mediation.</w:t>
      </w:r>
    </w:p>
    <w:p w14:paraId="39CF8914" w14:textId="77777777" w:rsidR="004A6C7A" w:rsidRDefault="007849EA">
      <w:pPr>
        <w:pStyle w:val="BookBody"/>
      </w:pPr>
      <w:r>
        <w:rPr>
          <w:szCs w:val="28"/>
        </w:rPr>
        <w:t>These four terms name levels, not separate substances. A person can inhabit a lived world, depend on biological and social milieus, study the universe, and inherit memories of a cosmos. Confusion begins when one level claims the authority of another. A lived resonance does not prove cosmic design. A physical measurement does not exhaust the meaning of illness. A biological norm does not justify a social command. A symbolic cosmos cannot replace empirical inquiry, and empirical inquiry cannot decide by measurement alone what forms of life should be sustained.</w:t>
      </w:r>
    </w:p>
    <w:p w14:paraId="69CA9483" w14:textId="77777777" w:rsidR="004A6C7A" w:rsidRDefault="007849EA">
      <w:pPr>
        <w:pStyle w:val="BookBody"/>
      </w:pPr>
      <w:r>
        <w:rPr>
          <w:szCs w:val="28"/>
        </w:rPr>
        <w:t>The terms also differ in scale without forming a simple ladder. A bacterium's milieu may be microscopic and a scientific model planetary, yet scale alone does not make the latter a cosmos or the former a lived world in the human sense. What matters is the kind of unity claimed. Universe names physical inclusion; milieu names a centered relation of life and conditions; lived world names a horizon of embodied appearance and action; cosmos names qualitative order as a whole. Keeping these unities distinct allows connections to be argued instead of assumed.</w:t>
      </w:r>
    </w:p>
    <w:p w14:paraId="1BB05409" w14:textId="77777777" w:rsidR="004A6C7A" w:rsidRDefault="007849EA">
      <w:pPr>
        <w:pStyle w:val="BookBody"/>
      </w:pPr>
      <w:r>
        <w:rPr>
          <w:szCs w:val="28"/>
        </w:rPr>
        <w:t>The chapter's answer is therefore conditional but real. Meaning can arise within reality without being cosmically predetermined or subjectively invented when living beings establish selective, normative, and embodied relations with what exceeds them. Such meaning depends on bodies and histories; it can fail; it can be revised; it can become public through shared inquiry. Its contingency is not a defect. Contingency is what prevents meaning from becoming fate and what allows relations to change.</w:t>
      </w:r>
    </w:p>
    <w:p w14:paraId="5694AD11" w14:textId="77777777" w:rsidR="004A6C7A" w:rsidRDefault="007849EA">
      <w:pPr>
        <w:pStyle w:val="BookBody"/>
      </w:pPr>
      <w:r>
        <w:rPr>
          <w:szCs w:val="28"/>
        </w:rPr>
        <w:t>The functional-cycle diagram, the clinical judgment, and the touching hands have each held the material relation in view. The diagram shows a world articulated through perception and effect. The clinic shows that normality concerns a body's latitude within situations, not conformity to a fixed average. The hands show a perceiver belonging to the sensible it discloses. None reveals a hidden cosmic organism. Together they reveal why an operational universe never eliminated lived significance: it abstracted, for valid purposes, from the relations in which significance arises.</w:t>
      </w:r>
    </w:p>
    <w:p w14:paraId="20C0502D" w14:textId="77777777" w:rsidR="004A6C7A" w:rsidRDefault="007849EA">
      <w:pPr>
        <w:pStyle w:val="BookBody"/>
      </w:pPr>
      <w:r>
        <w:rPr>
          <w:szCs w:val="28"/>
        </w:rPr>
        <w:t>The recovery also establishes a burden. If worlds are made in living relation, they can be unmade by damaged bodies, destroyed habitats, imposed norms, and technical systems that reduce every field to their own operation. No providence guarantees repair. The reality of meaning makes loss more, not less, objective. Extinction ends a mode of access; injury can contract a world; environmental degradation can remove the material carriers through which entire cycles of life were sustained.</w:t>
      </w:r>
    </w:p>
    <w:p w14:paraId="0CD09083" w14:textId="77777777" w:rsidR="004A6C7A" w:rsidRDefault="007849EA">
      <w:pPr>
        <w:pStyle w:val="BookBody"/>
      </w:pPr>
      <w:r>
        <w:rPr>
          <w:szCs w:val="28"/>
        </w:rPr>
        <w:t>The next chapter must therefore enlarge the scale without sacrificing the distinctions gained here. Organism-specific worlds do not float independently; they exchange atmosphere, soil, water, microbes, food, waste, and evolutionary histories. The question becomes how innumerable milieus participate in a biosphere and how living beings alter planetary conditions for one another. Uexküll's circle opens toward Vernadsky's envelope of life, Margulis's symbioses, and the contested insight of Gaia: not a restored cosmos, but an Earth whose physical history has been irreversibly made with and by the lives it carries.</w:t>
      </w:r>
    </w:p>
    <w:p w14:paraId="3844B3FA" w14:textId="77777777" w:rsidR="004A6C7A" w:rsidRDefault="007849EA">
      <w:pPr>
        <w:pStyle w:val="NotesHeading"/>
      </w:pPr>
      <w:r>
        <w:t>Notes</w:t>
      </w:r>
    </w:p>
    <w:p w14:paraId="3EB9551D" w14:textId="77777777" w:rsidR="004A6C7A" w:rsidRDefault="007849EA">
      <w:pPr>
        <w:pStyle w:val="NoteEntry"/>
      </w:pPr>
      <w:r>
        <w:t xml:space="preserve">1. Jakob von Uexküll, </w:t>
      </w:r>
      <w:r>
        <w:rPr>
          <w:i/>
          <w:iCs/>
        </w:rPr>
        <w:t>A Foray into the Worlds of Animals and Humans: With A Theory of Meaning</w:t>
      </w:r>
      <w:r>
        <w:t>, trans. Joseph D. O'Neil, intro. Dorion Sagan (Minneapolis: University of Minnesota Press, 2010), 48-54, quotation at 49.</w:t>
      </w:r>
    </w:p>
    <w:p w14:paraId="67030476" w14:textId="77777777" w:rsidR="004A6C7A" w:rsidRDefault="007849EA">
      <w:pPr>
        <w:pStyle w:val="NoteEntry"/>
      </w:pPr>
      <w:r>
        <w:t xml:space="preserve">2. Uexküll, </w:t>
      </w:r>
      <w:r>
        <w:rPr>
          <w:i/>
          <w:iCs/>
        </w:rPr>
        <w:t>A Foray into the Worlds of Animals and Humans</w:t>
      </w:r>
      <w:r>
        <w:t xml:space="preserve">, 43-47. For the conceptual and historical structure of </w:t>
      </w:r>
      <w:r>
        <w:rPr>
          <w:i/>
          <w:iCs/>
        </w:rPr>
        <w:t>Umwelt</w:t>
      </w:r>
      <w:r>
        <w:t xml:space="preserve"> theory, see Carlo Brentari, </w:t>
      </w:r>
      <w:r>
        <w:rPr>
          <w:i/>
          <w:iCs/>
        </w:rPr>
        <w:t>Jakob von Uexküll: The Discovery of the Umwelt between Biosemiotics and Theoretical Biology</w:t>
      </w:r>
      <w:r>
        <w:t xml:space="preserve"> (Dordrecht: Springer, 2015), 47-134.</w:t>
      </w:r>
    </w:p>
    <w:p w14:paraId="79CF1548" w14:textId="77777777" w:rsidR="004A6C7A" w:rsidRDefault="007849EA">
      <w:pPr>
        <w:pStyle w:val="NoteEntry"/>
      </w:pPr>
      <w:r>
        <w:t xml:space="preserve">3. Uexküll, </w:t>
      </w:r>
      <w:r>
        <w:rPr>
          <w:i/>
          <w:iCs/>
        </w:rPr>
        <w:t>A Foray into the Worlds of Animals and Humans</w:t>
      </w:r>
      <w:r>
        <w:t>, 47-55. Uexküll distinguishes perception marks, effect marks, the counterstructure, and their carriers in the object.</w:t>
      </w:r>
    </w:p>
    <w:p w14:paraId="18705302" w14:textId="77777777" w:rsidR="004A6C7A" w:rsidRDefault="007849EA">
      <w:pPr>
        <w:pStyle w:val="NoteEntry"/>
      </w:pPr>
      <w:r>
        <w:t xml:space="preserve">4. Brentari, </w:t>
      </w:r>
      <w:r>
        <w:rPr>
          <w:i/>
          <w:iCs/>
        </w:rPr>
        <w:t>Jakob von Uexküll</w:t>
      </w:r>
      <w:r>
        <w:t>, 75-174, especially the chapters "The Subjective World of the Umwelt," "The Structure of the Umwelt," and "Environment and Meaning."</w:t>
      </w:r>
    </w:p>
    <w:p w14:paraId="282D4447" w14:textId="77777777" w:rsidR="004A6C7A" w:rsidRDefault="007849EA">
      <w:pPr>
        <w:pStyle w:val="NoteEntry"/>
      </w:pPr>
      <w:r>
        <w:t xml:space="preserve">5. Uexküll, </w:t>
      </w:r>
      <w:r>
        <w:rPr>
          <w:i/>
          <w:iCs/>
        </w:rPr>
        <w:t>A Foray into the Worlds of Animals and Humans</w:t>
      </w:r>
      <w:r>
        <w:t xml:space="preserve">, 63-73; Brett Buchanan, </w:t>
      </w:r>
      <w:r>
        <w:rPr>
          <w:i/>
          <w:iCs/>
        </w:rPr>
        <w:t>Onto-Ethologies: The Animal Environments of Uexküll, Heidegger, Merleau-Ponty, and Deleuze</w:t>
      </w:r>
      <w:r>
        <w:t xml:space="preserve"> (Albany: State University of New York Press, 2008), 1-38, 115-50.</w:t>
      </w:r>
    </w:p>
    <w:p w14:paraId="6BA11562" w14:textId="77777777" w:rsidR="004A6C7A" w:rsidRDefault="007849EA">
      <w:pPr>
        <w:pStyle w:val="NoteEntry"/>
      </w:pPr>
      <w:r>
        <w:t xml:space="preserve">6. Kurt Goldstein, </w:t>
      </w:r>
      <w:r>
        <w:rPr>
          <w:i/>
          <w:iCs/>
        </w:rPr>
        <w:t>The Organism: A Holistic Approach to Biology Derived from Pathological Data in Man</w:t>
      </w:r>
      <w:r>
        <w:t xml:space="preserve"> (New York: American Book Company, 1939), 33-49, 105-21.</w:t>
      </w:r>
    </w:p>
    <w:p w14:paraId="1DBE3648" w14:textId="77777777" w:rsidR="004A6C7A" w:rsidRDefault="007849EA">
      <w:pPr>
        <w:pStyle w:val="NoteEntry"/>
      </w:pPr>
      <w:r>
        <w:t xml:space="preserve">7. Goldstein, </w:t>
      </w:r>
      <w:r>
        <w:rPr>
          <w:i/>
          <w:iCs/>
        </w:rPr>
        <w:t>The Organism</w:t>
      </w:r>
      <w:r>
        <w:t>, 36-39. The description appears in his contrast between ordered behavior and the catastrophic reaction.</w:t>
      </w:r>
    </w:p>
    <w:p w14:paraId="25352E5E" w14:textId="77777777" w:rsidR="004A6C7A" w:rsidRDefault="007849EA">
      <w:pPr>
        <w:pStyle w:val="NoteEntry"/>
      </w:pPr>
      <w:r>
        <w:t xml:space="preserve">8. Goldstein, </w:t>
      </w:r>
      <w:r>
        <w:rPr>
          <w:i/>
          <w:iCs/>
        </w:rPr>
        <w:t>The Organism</w:t>
      </w:r>
      <w:r>
        <w:t>, 340-69, 511-12.</w:t>
      </w:r>
    </w:p>
    <w:p w14:paraId="04408732" w14:textId="77777777" w:rsidR="004A6C7A" w:rsidRDefault="007849EA">
      <w:pPr>
        <w:pStyle w:val="NoteEntry"/>
      </w:pPr>
      <w:r>
        <w:t xml:space="preserve">9. Maurice Merleau-Ponty, </w:t>
      </w:r>
      <w:r>
        <w:rPr>
          <w:i/>
          <w:iCs/>
        </w:rPr>
        <w:t>The Structure of Behavior</w:t>
      </w:r>
      <w:r>
        <w:t>, trans. Alden L. Fisher (Pittsburgh: Duquesne University Press, 1983), 3-50, 64-71, 145-69.</w:t>
      </w:r>
    </w:p>
    <w:p w14:paraId="3A8F41BC" w14:textId="77777777" w:rsidR="004A6C7A" w:rsidRDefault="007849EA">
      <w:pPr>
        <w:pStyle w:val="NoteEntry"/>
      </w:pPr>
      <w:r>
        <w:t xml:space="preserve">10. Georges Canguilhem, </w:t>
      </w:r>
      <w:r>
        <w:rPr>
          <w:i/>
          <w:iCs/>
        </w:rPr>
        <w:t>The Normal and the Pathological</w:t>
      </w:r>
      <w:r>
        <w:t>, trans. Carolyn R. Fawcett in collaboration with Robert S. Cohen (New York: Zone Books, 1991), 125-27, quotation at 126.</w:t>
      </w:r>
    </w:p>
    <w:p w14:paraId="24D9A875" w14:textId="77777777" w:rsidR="004A6C7A" w:rsidRDefault="007849EA">
      <w:pPr>
        <w:pStyle w:val="NoteEntry"/>
      </w:pPr>
      <w:r>
        <w:t xml:space="preserve">11. Canguilhem, </w:t>
      </w:r>
      <w:r>
        <w:rPr>
          <w:i/>
          <w:iCs/>
        </w:rPr>
        <w:t>The Normal and the Pathological</w:t>
      </w:r>
      <w:r>
        <w:t>, 181-202, quotation at 196-97.</w:t>
      </w:r>
    </w:p>
    <w:p w14:paraId="4D205E34" w14:textId="77777777" w:rsidR="004A6C7A" w:rsidRDefault="007849EA">
      <w:pPr>
        <w:pStyle w:val="NoteEntry"/>
      </w:pPr>
      <w:r>
        <w:t xml:space="preserve">12. Georges Canguilhem, </w:t>
      </w:r>
      <w:r>
        <w:rPr>
          <w:i/>
          <w:iCs/>
        </w:rPr>
        <w:t>Knowledge of Life</w:t>
      </w:r>
      <w:r>
        <w:t>, ed. Paola Marrati and Todd Meyers, trans. Stefanos Geroulanos and Daniela Ginsburg (New York: Fordham University Press, 2008), 98-120, especially "The Living and Its Milieu."</w:t>
      </w:r>
    </w:p>
    <w:p w14:paraId="6DCAD897" w14:textId="77777777" w:rsidR="004A6C7A" w:rsidRDefault="007849EA">
      <w:pPr>
        <w:pStyle w:val="NoteEntry"/>
      </w:pPr>
      <w:r>
        <w:t xml:space="preserve">13. Canguilhem, </w:t>
      </w:r>
      <w:r>
        <w:rPr>
          <w:i/>
          <w:iCs/>
        </w:rPr>
        <w:t>Knowledge of Life</w:t>
      </w:r>
      <w:r>
        <w:t>, 75-97, especially 88-93; the list of self-construction, self-conservation, self-regulation, and self-repair appears at 88.</w:t>
      </w:r>
    </w:p>
    <w:p w14:paraId="19E401AF" w14:textId="77777777" w:rsidR="004A6C7A" w:rsidRDefault="007849EA">
      <w:pPr>
        <w:pStyle w:val="NoteEntry"/>
      </w:pPr>
      <w:r>
        <w:t xml:space="preserve">14. Maurice Merleau-Ponty, </w:t>
      </w:r>
      <w:r>
        <w:rPr>
          <w:i/>
          <w:iCs/>
        </w:rPr>
        <w:t>Phenomenology of Perception</w:t>
      </w:r>
      <w:r>
        <w:t>, trans. Colin Smith, 2nd ed. (London: Routledge, 2002), 98-162.</w:t>
      </w:r>
    </w:p>
    <w:p w14:paraId="5B214E8B" w14:textId="77777777" w:rsidR="004A6C7A" w:rsidRDefault="007849EA">
      <w:pPr>
        <w:pStyle w:val="NoteEntry"/>
      </w:pPr>
      <w:r>
        <w:t xml:space="preserve">15. Merleau-Ponty, </w:t>
      </w:r>
      <w:r>
        <w:rPr>
          <w:i/>
          <w:iCs/>
        </w:rPr>
        <w:t>Phenomenology of Perception</w:t>
      </w:r>
      <w:r>
        <w:t xml:space="preserve">, 103-45; Goldstein, </w:t>
      </w:r>
      <w:r>
        <w:rPr>
          <w:i/>
          <w:iCs/>
        </w:rPr>
        <w:t>The Organism</w:t>
      </w:r>
      <w:r>
        <w:t>, 23-49, 326-69.</w:t>
      </w:r>
    </w:p>
    <w:p w14:paraId="27CF1EA3" w14:textId="77777777" w:rsidR="004A6C7A" w:rsidRDefault="007849EA">
      <w:pPr>
        <w:pStyle w:val="NoteEntry"/>
      </w:pPr>
      <w:r>
        <w:t xml:space="preserve">16. Merleau-Ponty, </w:t>
      </w:r>
      <w:r>
        <w:rPr>
          <w:i/>
          <w:iCs/>
        </w:rPr>
        <w:t>Phenomenology of Perception</w:t>
      </w:r>
      <w:r>
        <w:t>, 94-95.</w:t>
      </w:r>
    </w:p>
    <w:p w14:paraId="4FD71B85" w14:textId="77777777" w:rsidR="004A6C7A" w:rsidRDefault="007849EA">
      <w:pPr>
        <w:pStyle w:val="NoteEntry"/>
      </w:pPr>
      <w:r>
        <w:t xml:space="preserve">17. Merleau-Ponty, </w:t>
      </w:r>
      <w:r>
        <w:rPr>
          <w:i/>
          <w:iCs/>
        </w:rPr>
        <w:t>The Structure of Behavior</w:t>
      </w:r>
      <w:r>
        <w:t xml:space="preserve">, 39-50, 93-136, 145-69; Buchanan, </w:t>
      </w:r>
      <w:r>
        <w:rPr>
          <w:i/>
          <w:iCs/>
        </w:rPr>
        <w:t>Onto-Ethologies</w:t>
      </w:r>
      <w:r>
        <w:t>, 115-50.</w:t>
      </w:r>
    </w:p>
    <w:p w14:paraId="0A47A206" w14:textId="77777777" w:rsidR="004A6C7A" w:rsidRDefault="007849EA">
      <w:pPr>
        <w:pStyle w:val="NoteEntry"/>
      </w:pPr>
      <w:r>
        <w:t xml:space="preserve">18. Maurice Merleau-Ponty, </w:t>
      </w:r>
      <w:r>
        <w:rPr>
          <w:i/>
          <w:iCs/>
        </w:rPr>
        <w:t>Nature: Course Notes from the Collège de France</w:t>
      </w:r>
      <w:r>
        <w:t>, trans. Robert Vallier (Evanston, IL: Northwestern University Press, 2003), 167-76.</w:t>
      </w:r>
    </w:p>
    <w:p w14:paraId="791F7873" w14:textId="77777777" w:rsidR="004A6C7A" w:rsidRDefault="007849EA">
      <w:pPr>
        <w:pStyle w:val="NoteEntry"/>
      </w:pPr>
      <w:r>
        <w:t xml:space="preserve">19. Merleau-Ponty, </w:t>
      </w:r>
      <w:r>
        <w:rPr>
          <w:i/>
          <w:iCs/>
        </w:rPr>
        <w:t>Nature</w:t>
      </w:r>
      <w:r>
        <w:t xml:space="preserve">, 173-74. The phrase occurs in his philosophical interpretation of Uexküll's </w:t>
      </w:r>
      <w:r>
        <w:rPr>
          <w:i/>
          <w:iCs/>
        </w:rPr>
        <w:t>Umwelt</w:t>
      </w:r>
      <w:r>
        <w:t xml:space="preserve"> and the comparison with melody.</w:t>
      </w:r>
    </w:p>
    <w:p w14:paraId="475CBD6D" w14:textId="77777777" w:rsidR="004A6C7A" w:rsidRDefault="007849EA">
      <w:pPr>
        <w:pStyle w:val="NoteEntry"/>
      </w:pPr>
      <w:r>
        <w:t xml:space="preserve">20. Ted Toadvine, </w:t>
      </w:r>
      <w:r>
        <w:rPr>
          <w:i/>
          <w:iCs/>
        </w:rPr>
        <w:t>Merleau-Ponty's Philosophy of Nature</w:t>
      </w:r>
      <w:r>
        <w:t xml:space="preserve"> (Evanston, IL: Northwestern University Press, 2009), chaps. 1-5, especially "Nature as Gestalt and Melody," "Animality," and "The Human-Nature Chiasm."</w:t>
      </w:r>
    </w:p>
    <w:p w14:paraId="4BDBDCEF" w14:textId="77777777" w:rsidR="004A6C7A" w:rsidRDefault="007849EA">
      <w:pPr>
        <w:pStyle w:val="NoteEntry"/>
      </w:pPr>
      <w:r>
        <w:t xml:space="preserve">21. Merleau-Ponty, </w:t>
      </w:r>
      <w:r>
        <w:rPr>
          <w:i/>
          <w:iCs/>
        </w:rPr>
        <w:t>Phenomenology of Perception</w:t>
      </w:r>
      <w:r>
        <w:t>, 105-7.</w:t>
      </w:r>
    </w:p>
    <w:p w14:paraId="4CB78A99" w14:textId="77777777" w:rsidR="004A6C7A" w:rsidRDefault="007849EA">
      <w:pPr>
        <w:pStyle w:val="NoteEntry"/>
      </w:pPr>
      <w:r>
        <w:t xml:space="preserve">22. Maurice Merleau-Ponty, </w:t>
      </w:r>
      <w:r>
        <w:rPr>
          <w:i/>
          <w:iCs/>
        </w:rPr>
        <w:t>The Visible and the Invisible</w:t>
      </w:r>
      <w:r>
        <w:t>, ed. Claude Lefort, trans. Alphonso Lingis (Evanston, IL: Northwestern University Press, 1968), 130-40, quotation at 139.</w:t>
      </w:r>
    </w:p>
    <w:p w14:paraId="384CFE40" w14:textId="77777777" w:rsidR="004A6C7A" w:rsidRDefault="007849EA">
      <w:pPr>
        <w:pStyle w:val="NoteEntry"/>
      </w:pPr>
      <w:r>
        <w:t xml:space="preserve">23. Merleau-Ponty, </w:t>
      </w:r>
      <w:r>
        <w:rPr>
          <w:i/>
          <w:iCs/>
        </w:rPr>
        <w:t>The Visible and the Invisible</w:t>
      </w:r>
      <w:r>
        <w:t xml:space="preserve">, 130-55; Toadvine, </w:t>
      </w:r>
      <w:r>
        <w:rPr>
          <w:i/>
          <w:iCs/>
        </w:rPr>
        <w:t>Merleau-Ponty's Philosophy of Nature</w:t>
      </w:r>
      <w:r>
        <w:t>, chap. 5.</w:t>
      </w:r>
    </w:p>
    <w:p w14:paraId="7CC2C1F3" w14:textId="77777777" w:rsidR="002904CF" w:rsidRPr="002904CF" w:rsidRDefault="002904CF" w:rsidP="002904CF">
      <w:pPr>
        <w:pStyle w:val="ChapterHeading"/>
      </w:pPr>
      <w:bookmarkStart w:id="28" w:name="toc_chapter_22"/>
      <w:r>
        <w:rPr>
          <w:sz w:val="28"/>
        </w:rPr>
        <w:t>Chapter 22</w:t>
      </w:r>
      <w:r>
        <w:rPr>
          <w:sz w:val="28"/>
        </w:rPr>
        <w:br/>
      </w:r>
      <w:r>
        <w:t>Biosphere, Symbiosis, and Planetary Life</w:t>
      </w:r>
      <w:bookmarkEnd w:id="28"/>
    </w:p>
    <w:p w14:paraId="56978C46" w14:textId="77777777" w:rsidR="002904CF" w:rsidRPr="002904CF" w:rsidRDefault="002904CF" w:rsidP="002904CF">
      <w:pPr>
        <w:pStyle w:val="SectionHeading"/>
      </w:pPr>
      <w:r w:rsidRPr="002904CF">
        <w:t>Earth in Lunar Light</w:t>
      </w:r>
    </w:p>
    <w:p w14:paraId="0EED4328" w14:textId="77777777" w:rsidR="002904CF" w:rsidRPr="002904CF" w:rsidRDefault="002904CF" w:rsidP="002904CF">
      <w:pPr>
        <w:pStyle w:val="BookBody"/>
      </w:pPr>
      <w:r w:rsidRPr="002904CF">
        <w:t>Organism-specific worlds do not float independently. They exchange atmosphere, soil, water, microbes, food, waste, and evolutionary histories. The tick's world, the patient's contracted field, and the two touching hands considered in the previous chapter were each local achievements, but none was self-enclosed. Every functional circle borrows matter and energy from other circles; every norm of life is sustained by conditions other lives have altered; every body incorporates an environment whose history began before that body and will continue after it. The question must therefore be enlarged without sacrificing the distinctions already gained. How do innumerable milieus participate in a biosphere, and how do living beings alter planetary conditions for one another? Uexküll's circle opens toward Vladimir Vernadsky's envelope of life, Lynn Margulis's symbioses, and the contested insight of Gaia: not a restored cosmos, but an Earth whose physical history has been irreversibly made with and by the lives it carries.</w:t>
      </w:r>
    </w:p>
    <w:p w14:paraId="3F361452" w14:textId="77777777" w:rsidR="002904CF" w:rsidRPr="002904CF" w:rsidRDefault="002904CF" w:rsidP="002904CF">
      <w:pPr>
        <w:pStyle w:val="BookBody"/>
      </w:pPr>
      <w:r w:rsidRPr="002904CF">
        <w:t>On December 24, 1968, while Apollo 8 circled the Moon, William Anders photographed the Earth rising above a gray lunar horizon. The frame later catalogued as AS08-14-2383 presents a blue-white disk, mottled by cloud and partly shadowed, suspended over a foreground without air, water, weather, or visible life.</w:t>
      </w:r>
      <w:r w:rsidRPr="002904CF">
        <w:rPr>
          <w:vertAlign w:val="superscript"/>
        </w:rPr>
        <w:t>1</w:t>
      </w:r>
      <w:r w:rsidRPr="002904CF">
        <w:t xml:space="preserve"> It is tempting to read the photograph as an answer before asking what question it answers. The living planet appears whole, bounded, fragile, and alone; the black background seems to complete a cosmology of one precious home in empty space. Yet the image does not show a living Earth in the way a microscope shows a cell or a clinical examination shows an organism. No metabolism can be seen at that distance. No atmospheric concentration, carbon flux, microbial exchange, or extinction rate appears in the photograph. Earthrise is a material witness precisely because it joins disclosure to concealment. It gives the planet a sensible unity while withholding the processes that make that unity habitable.</w:t>
      </w:r>
    </w:p>
    <w:p w14:paraId="18B66FDF" w14:textId="77777777" w:rsidR="002904CF" w:rsidRPr="002904CF" w:rsidRDefault="002904CF" w:rsidP="002904CF">
      <w:pPr>
        <w:pStyle w:val="BookBody"/>
      </w:pPr>
      <w:r w:rsidRPr="002904CF">
        <w:t>The photograph also records a technical and historical situation. Earth did not rise for an unaided observer standing on the Moon. A spacecraft, a trajectory, a window, a camera, a roll of film, mission communications, and later systems of reproduction composed the event through which the planetary whole entered public vision. The image's power is not thereby unreal. Mediation is not the opposite of truth. But the mediation matters because the Earth seen as a single object can too easily be converted into an image of a single subject: Mother Earth looking back, a great organism serenely regulating herself, or a sacred globe whose wholeness guarantees care. The photograph warrants none of these conclusions. It makes visible a finite planetary surface shared by all known life. Whether that surface forms a system, whether living activity helps stabilize it, and whether such stabilization is organismic are questions that must be answered by other witnesses and other methods.</w:t>
      </w:r>
    </w:p>
    <w:p w14:paraId="29EE8EF0" w14:textId="77777777" w:rsidR="002904CF" w:rsidRPr="002904CF" w:rsidRDefault="002904CF" w:rsidP="002904CF">
      <w:pPr>
        <w:pStyle w:val="FigureCaption"/>
      </w:pPr>
      <w:r w:rsidRPr="002904CF">
        <w:t>[FIGURE 22.1 — Apollo 8 “Earthrise,” NASA image AS08-14-2383, photographed by William Anders on December 24, 1968. Insert the mission photograph and full NASA credit during final manuscript production.]</w:t>
      </w:r>
    </w:p>
    <w:p w14:paraId="3FEE4742" w14:textId="77777777" w:rsidR="002904CF" w:rsidRPr="002904CF" w:rsidRDefault="002904CF" w:rsidP="002904CF">
      <w:pPr>
        <w:pStyle w:val="BookBody"/>
      </w:pPr>
      <w:r w:rsidRPr="002904CF">
        <w:t>The distinction is fundamental. A universe is the indefinitely extensive domain investigated by physics and cosmology. A planet is a differentiated body within it. A biosphere is the zone and organized activity of life at a planetary scale. A lived world is a field of significance articulated for a living body. None of these terms can simply substitute for the others. Earthrise gathers the planet into an image, but it does not restore the ancient cosmos in which the whole carries a predetermined moral meaning. Nor does it reduce Earth to a merely external object, because the viewer belongs bodily, historically, and technically to what the image displays. The photograph is an invitation to think the planetary relation: a whole that can be seen only from a distance, a home whose active conditions can be known only by returning analytically to atmosphere, ocean, rock, organism, instrument, and time.</w:t>
      </w:r>
    </w:p>
    <w:p w14:paraId="3330800D" w14:textId="77777777" w:rsidR="002904CF" w:rsidRPr="002904CF" w:rsidRDefault="002904CF" w:rsidP="002904CF">
      <w:pPr>
        <w:pStyle w:val="BookBody"/>
      </w:pPr>
      <w:r w:rsidRPr="002904CF">
        <w:t>The chapter's governing question follows from that invitation. What does it mean to say that life transforms the planet that makes life possible? A weak answer would say only that organisms have effects, as stones and volcanoes also have effects. A strong but careless answer would make the planet a living subject that intends its own continuance. The needed answer lies between trivial influence and cosmic personification. Life is a geological and symbiotic power. It redirects energy, accelerates reactions, circulates elements, constructs niches, and produces new conditions of selection. Some of these effects become feedbacks; some stabilize ranges in which later organisms can live; others generate catastrophes, exclusions, and extinctions. Planetary habitability is therefore not a gift delivered before life. It is an unstable historical achievement to which life contributes without collectively foreseeing it.</w:t>
      </w:r>
    </w:p>
    <w:p w14:paraId="66AD3ABA" w14:textId="77777777" w:rsidR="002904CF" w:rsidRPr="002904CF" w:rsidRDefault="002904CF" w:rsidP="002904CF">
      <w:pPr>
        <w:pStyle w:val="SectionHeading"/>
      </w:pPr>
      <w:r w:rsidRPr="002904CF">
        <w:t>The Envelope of Life</w:t>
      </w:r>
    </w:p>
    <w:p w14:paraId="1EB2E0C4" w14:textId="77777777" w:rsidR="002904CF" w:rsidRPr="002904CF" w:rsidRDefault="002904CF" w:rsidP="002904CF">
      <w:pPr>
        <w:pStyle w:val="BookBody"/>
      </w:pPr>
      <w:r w:rsidRPr="002904CF">
        <w:t xml:space="preserve">Vernadsky gave the term biosphere an unprecedented explanatory weight. The word had existed before him, but in </w:t>
      </w:r>
      <w:r w:rsidRPr="002904CF">
        <w:rPr>
          <w:i/>
        </w:rPr>
        <w:t>The Biosphere</w:t>
      </w:r>
      <w:r w:rsidRPr="002904CF">
        <w:t xml:space="preserve"> it ceased to name merely the places where organisms happen to occur. It named a planetary domain in which living matter captures energy and reorganizes the chemistry of Earth's surface. The biosphere is thin when measured against the radius of the planet, yet its effects are not superficial in the sense of negligible. Oceans, soils, sedimentary deposits, atmospheric gases, and mineral transformations bear the signatures of living work. Organisms do not merely occupy a stage built by geology. Through reproduction and metabolism, they become agents within geology, even when no individual action is large and no collective intention directs the result.</w:t>
      </w:r>
      <w:r w:rsidRPr="002904CF">
        <w:rPr>
          <w:vertAlign w:val="superscript"/>
        </w:rPr>
        <w:t>2</w:t>
      </w:r>
    </w:p>
    <w:p w14:paraId="4F6587F5" w14:textId="77777777" w:rsidR="002904CF" w:rsidRPr="002904CF" w:rsidRDefault="002904CF" w:rsidP="002904CF">
      <w:pPr>
        <w:pStyle w:val="BookBody"/>
      </w:pPr>
      <w:r w:rsidRPr="002904CF">
        <w:t>Vernadsky begins from energy rather than from an analogy between Earth and an animal. Solar radiation reaches the planetary surface; living matter captures a portion of it, converts it into chemical form, and redistributes it through food, growth, decay, respiration, and burial. “It is living matter—the Earth's sum total of living organisms—that transforms the radiant energy of the sun into the active chemical energy of the biosphere.”</w:t>
      </w:r>
      <w:r w:rsidRPr="002904CF">
        <w:rPr>
          <w:vertAlign w:val="superscript"/>
        </w:rPr>
        <w:t>3</w:t>
      </w:r>
      <w:r w:rsidRPr="002904CF">
        <w:t xml:space="preserve"> The sentence does not claim that life creates energy or violates thermodynamics. It identifies a mode of transformation. Chlorophyll, membranes, enzymes, bodies, populations, and ecological exchanges form pathways through which energy becomes available for work that would not otherwise occur in the same way or at the same rate. Life changes which reactions are probable, where elements concentrate, and how long chemical products persist.</w:t>
      </w:r>
    </w:p>
    <w:p w14:paraId="051DAA28" w14:textId="77777777" w:rsidR="002904CF" w:rsidRPr="002904CF" w:rsidRDefault="002904CF" w:rsidP="002904CF">
      <w:pPr>
        <w:pStyle w:val="BookBody"/>
      </w:pPr>
      <w:r w:rsidRPr="002904CF">
        <w:t>The conceptual gain is easy to miss because “living matter” can sound like a special substance. For Vernadsky it means the totality of organisms considered through their mass, energy, chemical composition, reproduction, and planetary effects. A forest is composed of organisms, but its biogeochemical significance cannot be understood by listing trees. The same carbon atom may pass through air, leaf, insect, soil microbe, mineral solution, ocean, and sediment; the biosphere is active in this circulation without existing as another object beside its participants. It is closer to an organized field of transformations than to a super-organism. The individual organism remains a bounded center of metabolism and normativity. The biosphere is the planetary pattern formed as such centers exchange materials across generations and geological time.</w:t>
      </w:r>
    </w:p>
    <w:p w14:paraId="5E158670" w14:textId="77777777" w:rsidR="002904CF" w:rsidRPr="002904CF" w:rsidRDefault="002904CF" w:rsidP="002904CF">
      <w:pPr>
        <w:pStyle w:val="BookBody"/>
      </w:pPr>
      <w:r w:rsidRPr="002904CF">
        <w:t>This is why Vernadsky's strongest claim is geological: “Life is, therefore, not an external or accidental phenomenon of the Earth's crust.”</w:t>
      </w:r>
      <w:r w:rsidRPr="002904CF">
        <w:rPr>
          <w:vertAlign w:val="superscript"/>
        </w:rPr>
        <w:t>4</w:t>
      </w:r>
      <w:r w:rsidRPr="002904CF">
        <w:t xml:space="preserve"> The claim does not mean that life was logically necessary or that Earth exists for its sake. “Not accidental” here concerns the explanatory structure of the present crust. Once living processes have entered billions of years of mineral formation, atmospheric exchange, erosion, sedimentation, and elemental cycling, the actual surface cannot be understood by subtracting life as if it were a decorative film. The counterfactual lifeless Earth would not be the same planet minus organisms. Its atmosphere, colors, rocks, soils, and chemical gradients would have different histories. Life has become internal to the explanation of the surface that sustains it.</w:t>
      </w:r>
    </w:p>
    <w:p w14:paraId="7AD36295" w14:textId="77777777" w:rsidR="002904CF" w:rsidRPr="002904CF" w:rsidRDefault="002904CF" w:rsidP="002904CF">
      <w:pPr>
        <w:pStyle w:val="BookBody"/>
      </w:pPr>
      <w:r w:rsidRPr="002904CF">
        <w:t>Biogeochemistry gives this reciprocity a disciplined form. Carbon, nitrogen, phosphorus, sulfur, oxygen, and water circulate among reservoirs with different residence times. Organisms take up compounds, break them apart, bind them into tissues, release wastes, alter acidity, and move materials between atmosphere, land, and ocean. Geological forces constrain these cycles; tectonics exposes rock, volcanism releases gases, rivers transport dissolved ions, and solar energy powers climate. Yet biological processes modify the rates and routes of exchange. Photosynthesis draws carbon dioxide from the surrounding medium and stores solar energy in chemical bonds. Respiration and decay return carbon. Nitrogen-fixing microbes convert an abundant but largely inaccessible gas into compounds usable by living systems. Shell-building organisms change ocean chemistry and create deposits whose scale becomes geological. There is no clean border at which biology stops and geology begins.</w:t>
      </w:r>
    </w:p>
    <w:p w14:paraId="1A79DD8D" w14:textId="77777777" w:rsidR="002904CF" w:rsidRPr="002904CF" w:rsidRDefault="002904CF" w:rsidP="002904CF">
      <w:pPr>
        <w:pStyle w:val="BookBody"/>
      </w:pPr>
      <w:r w:rsidRPr="002904CF">
        <w:t>The reciprocity must nevertheless be kept asymmetrical enough to remain intelligible. The planet existed before life and supplies gravitational, chemical, and energetic conditions organisms did not invent. Life depends on those conditions absolutely. But dependence does not imply passivity. A river constrains the organisms within it, while beavers redirect water; oxygen permits animal respiration, while oxygenic photosynthesizers produced and continue to replenish atmospheric oxygen; rock weathering supplies nutrients, while roots, lichens, and microbes accelerate weathering. The biosphere is made in these crossed determinations. It is neither an autonomous maker of its world nor an inert effect of a ready-made environment. At planetary scale, as at organismic scale, relation precedes the fantasy of isolated terms.</w:t>
      </w:r>
    </w:p>
    <w:p w14:paraId="50352198" w14:textId="77777777" w:rsidR="002904CF" w:rsidRPr="002904CF" w:rsidRDefault="002904CF" w:rsidP="002904CF">
      <w:pPr>
        <w:pStyle w:val="BookBody"/>
      </w:pPr>
      <w:r w:rsidRPr="002904CF">
        <w:t>Vernadsky sometimes described the biosphere in language of cosmic harmony or necessary mechanism, language that can invite a return to the very cosmology this book has traced into decline. That invitation should be refused without discarding the scientific discovery. The biosphere belongs to an astronomical and geochemical setting, but its organization need not express a cosmic purpose. Its history includes contingent innovations, failed lineages, mass extinctions, and changes that were favorable to some forms of life only because they were lethal to others. What survives Vernadsky's occasional metaphysical assurance is more radical than reassurance: life is a planetary cause. The material surface is historical all the way down to the activities of organisms, and those activities can transform the conditions under which future activity becomes possible.</w:t>
      </w:r>
    </w:p>
    <w:p w14:paraId="2156A6FA" w14:textId="77777777" w:rsidR="002904CF" w:rsidRPr="002904CF" w:rsidRDefault="002904CF" w:rsidP="002904CF">
      <w:pPr>
        <w:pStyle w:val="BookBody"/>
      </w:pPr>
      <w:r w:rsidRPr="002904CF">
        <w:t>Whitehead's process vocabulary can clarify this result if it remains subordinate to the evidence. A planet is not best understood as a heap of self-sufficient substances that later enter relations; its relatively enduring features are achievements of interacting processes. But “process” explains little unless specified by photosynthesis, respiration, weathering, circulation, feedback, inheritance, and selection. Philosophy can resist the habit of treating relations as secondary and events as unreal. It cannot replace measurements of atmospheric composition or histories reconstructed from rocks. The biosphere is philosophically significant because a scientific object has disclosed a world in which life and material history are internally connected, not because a metaphysical system has pronounced the whole alive.</w:t>
      </w:r>
    </w:p>
    <w:p w14:paraId="145087BC" w14:textId="77777777" w:rsidR="002904CF" w:rsidRPr="002904CF" w:rsidRDefault="002904CF" w:rsidP="002904CF">
      <w:pPr>
        <w:pStyle w:val="SectionHeading"/>
      </w:pPr>
      <w:r w:rsidRPr="002904CF">
        <w:t>The Microbial Planet</w:t>
      </w:r>
    </w:p>
    <w:p w14:paraId="7073F2A3" w14:textId="77777777" w:rsidR="002904CF" w:rsidRPr="002904CF" w:rsidRDefault="002904CF" w:rsidP="002904CF">
      <w:pPr>
        <w:pStyle w:val="BookBody"/>
      </w:pPr>
      <w:r w:rsidRPr="002904CF">
        <w:t>A microbial mat is an unassuming witness to planetary power. Seen at close range, it may appear as a wet, laminated surface: green or brown films arranged across sediment, each layer inhabited by communities adapted to gradients of light, oxygen, sulfide, and nutrients. Its visible thickness is small. Its temporal and chemical depth is not. Photosynthetic microbes near the light may produce organic matter and oxygen; organisms below consume products, ferment compounds, reduce sulfate, or cycle nitrogen; dissolved substances diffuse between layers and the overlying water. The mat is not a crowd of independent cells placed side by side. It is a structured exchange in which the waste of one metabolism becomes the condition of another, and in which the community alters the very gradients by which its niches are differentiated.</w:t>
      </w:r>
      <w:r w:rsidRPr="002904CF">
        <w:rPr>
          <w:vertAlign w:val="superscript"/>
        </w:rPr>
        <w:t>5</w:t>
      </w:r>
    </w:p>
    <w:p w14:paraId="2B305206" w14:textId="77777777" w:rsidR="002904CF" w:rsidRPr="002904CF" w:rsidRDefault="002904CF" w:rsidP="002904CF">
      <w:pPr>
        <w:pStyle w:val="FigureCaption"/>
      </w:pPr>
      <w:r w:rsidRPr="002904CF">
        <w:t>[FIGURE 22.2 — Documented microbial mat or living stromatolite, showing visible lamination and a scale reference. Preferred source: a museum, geological survey, research institution, or peer-reviewed field study. Insert image and complete provenance during final manuscript production.]</w:t>
      </w:r>
    </w:p>
    <w:p w14:paraId="77C77EED" w14:textId="77777777" w:rsidR="002904CF" w:rsidRPr="002904CF" w:rsidRDefault="002904CF" w:rsidP="002904CF">
      <w:pPr>
        <w:pStyle w:val="BookBody"/>
      </w:pPr>
      <w:r w:rsidRPr="002904CF">
        <w:t>Ancient stromatolites extend this witness into deep time. Their laminated structures record interactions among microbial growth, sediment trapping, mineral precipitation, water chemistry, and repeated burial. They are not photographs of the first biosphere, and no single structure can bear every claim made about early life. Yet they make a crucial fact palpable: microbial activity can leave durable geological form. A metabolism measured in micrometers and hours can, through recurrence across surfaces and generations, participate in structures measured in meters and read after billions of years. Planetary agency does not require a gigantic agent. Scale is composed through repetition, transport, accumulation, and feedback.</w:t>
      </w:r>
    </w:p>
    <w:p w14:paraId="3B5D46A1" w14:textId="77777777" w:rsidR="002904CF" w:rsidRPr="002904CF" w:rsidRDefault="002904CF" w:rsidP="002904CF">
      <w:pPr>
        <w:pStyle w:val="BookBody"/>
      </w:pPr>
      <w:r w:rsidRPr="002904CF">
        <w:t>The microbial planet also corrects the human tendency to identify life with animals and plants. For most of Earth's history, life was microbial. Even now, microbes perform indispensable work in elemental cycles, inhabit animal bodies, sustain plant nutrition, regulate decomposition, and occupy environments inaccessible to unaided human perception. They are not primitive remnants beneath a more meaningful world. They are contemporaries and constituents. The oxygen in a breath, the nitrogen in a protein, the fertility of soil, and the chemistry of oceans depend on evolutionary lineages whose activities usually remain invisible. Earthrise makes the biosphere appear as a surface; the microbial mat reveals that the surface is densely layered with agencies that no planetary portrait can resolve.</w:t>
      </w:r>
    </w:p>
    <w:p w14:paraId="046B6423" w14:textId="77777777" w:rsidR="002904CF" w:rsidRPr="002904CF" w:rsidRDefault="002904CF" w:rsidP="002904CF">
      <w:pPr>
        <w:pStyle w:val="BookBody"/>
      </w:pPr>
      <w:r w:rsidRPr="002904CF">
        <w:t>One microbial innovation altered the planet with particular force. Before oxygenic photosynthesis, other forms of photosynthesis harvested light without splitting water and releasing oxygen. Cyanobacterial ancestors developed the capacity to use water as an electron donor, liberating molecular oxygen as a by-product.</w:t>
      </w:r>
      <w:r w:rsidRPr="002904CF">
        <w:rPr>
          <w:vertAlign w:val="superscript"/>
        </w:rPr>
        <w:t>6</w:t>
      </w:r>
      <w:r w:rsidRPr="002904CF">
        <w:t xml:space="preserve"> The innovation was local in origin, metabolically specific, and without planetary foresight. Its consequences accumulated through oceans, minerals, and atmosphere. Oxygen reacted first with reduced compounds, including dissolved iron, before becoming abundant in the air. The result was not an immediate benevolent enrichment. Oxygen was toxic to many organisms adapted to anoxic conditions; its rise reorganized habitats and contributed to extinctions and evolutionary opportunities. Later, aerobic respiration drew greater usable energy from organic molecules, and stratospheric ozone reduced damaging ultraviolet radiation. A waste product became a planetary condition.</w:t>
      </w:r>
    </w:p>
    <w:p w14:paraId="26ED376E" w14:textId="77777777" w:rsidR="002904CF" w:rsidRPr="002904CF" w:rsidRDefault="002904CF" w:rsidP="002904CF">
      <w:pPr>
        <w:pStyle w:val="BookBody"/>
      </w:pPr>
      <w:r w:rsidRPr="002904CF">
        <w:t>The Great Oxidation therefore resists every simple moral of balance. Life transformed the planet, but not “for life” considered as a unified interest. Some lives produced a gas that destroyed or displaced others. Descendants adapted to the changed medium and made new forms of complexity possible. The atmosphere became more habitable for them because history had filtered which organisms counted as inhabitants. To say that present conditions are favorable to present life risks reversing cause and effect. Existing organisms are fitted, within limits, to conditions partly inherited from past organisms. Habitability is relational and retrospective. It names the correspondence between particular forms of life and an Earth they did not choose but that living activity helped compose.</w:t>
      </w:r>
    </w:p>
    <w:p w14:paraId="757450F2" w14:textId="77777777" w:rsidR="002904CF" w:rsidRPr="002904CF" w:rsidRDefault="002904CF" w:rsidP="002904CF">
      <w:pPr>
        <w:pStyle w:val="BookBody"/>
      </w:pPr>
      <w:r w:rsidRPr="002904CF">
        <w:t>Microbial agency also unsettles the image of an organism as a self-sufficient individual. Every animal carries microbial communities that assist digestion, train immune systems, synthesize compounds, compete with pathogens, and respond to diet and environment. Plants live through associations with fungi and bacteria in roots, leaves, and soils. These relations range from indispensable cooperation to opportunism and conflict; they change over a lifetime and across environments. “Symbiosis” should not be romanticized as universal peace. It means living together, and living together includes dependence, bargaining, exploitation, breakdown, and new stability. The microbial mat is not a parliament animated by common purpose. Its organization arises from material compatibilities, spatial gradients, ecological constraints, and the continued reproduction of interacting lineages.</w:t>
      </w:r>
    </w:p>
    <w:p w14:paraId="0A5259E4" w14:textId="77777777" w:rsidR="002904CF" w:rsidRPr="002904CF" w:rsidRDefault="002904CF" w:rsidP="002904CF">
      <w:pPr>
        <w:pStyle w:val="BookBody"/>
      </w:pPr>
      <w:r w:rsidRPr="002904CF">
        <w:t>At this scale, the world-making described in the previous chapter becomes literally atmospheric and geological. A microbe responds to its milieu; populations modify pH, oxygen, nutrient availability, and mineral form; the modified medium selects among organisms and enables new relations. These loops can remain local, spread across ecosystems, or accumulate into planetary change. No jump from the cell to the globe is needed. There are linked scales, each with characteristic rates, boundaries, and causal powers. The biosphere is real because effects travel among them. It is not a mystical unity hidden behind organisms but the historical integration achieved through their exchanges.</w:t>
      </w:r>
    </w:p>
    <w:p w14:paraId="144F2A9D" w14:textId="77777777" w:rsidR="002904CF" w:rsidRPr="002904CF" w:rsidRDefault="002904CF" w:rsidP="002904CF">
      <w:pPr>
        <w:pStyle w:val="SectionHeading"/>
      </w:pPr>
      <w:r w:rsidRPr="002904CF">
        <w:t>Individuals by Incorporation</w:t>
      </w:r>
    </w:p>
    <w:p w14:paraId="3C229803" w14:textId="77777777" w:rsidR="002904CF" w:rsidRPr="002904CF" w:rsidRDefault="002904CF" w:rsidP="002904CF">
      <w:pPr>
        <w:pStyle w:val="BookBody"/>
      </w:pPr>
      <w:r w:rsidRPr="002904CF">
        <w:t>Margulis placed symbiosis near the center of evolutionary history. Her argument did not deny natural selection. It challenged the assumption that novelty arises chiefly through the gradual accumulation of mutations within independently evolving lineages. In symbiogenesis, organisms from different lineages enter sustained association, and the association becomes a new unit of inheritance and development. The clearest cases are the mitochondria and chloroplasts within eukaryotic cells. These organelles retain evidence of bacterial ancestry: their own genetic material, membranes, modes of division, and biochemical affinities. The nucleated cell is not the pure expression of one lineage. It is the stabilized descendant of incorporations that changed what an evolutionary individual could be.</w:t>
      </w:r>
      <w:r w:rsidRPr="002904CF">
        <w:rPr>
          <w:vertAlign w:val="superscript"/>
        </w:rPr>
        <w:t>7</w:t>
      </w:r>
    </w:p>
    <w:p w14:paraId="162E6FCD" w14:textId="77777777" w:rsidR="002904CF" w:rsidRPr="002904CF" w:rsidRDefault="002904CF" w:rsidP="002904CF">
      <w:pPr>
        <w:pStyle w:val="BookBody"/>
      </w:pPr>
      <w:r w:rsidRPr="002904CF">
        <w:t>The consequence is ontological as well as historical. Individuality can be achieved by composition. The boundary of a living unit need not mark an origin from a single, unmixed interior. It can enclose a negotiated history whose partners became developmentally inseparable. Margulis writes that symbiogenesis brings unlike individuals together into larger and more complex entities; eventually, “Individuals permanently merge and regulate their reproduction.”</w:t>
      </w:r>
      <w:r w:rsidRPr="002904CF">
        <w:rPr>
          <w:vertAlign w:val="superscript"/>
        </w:rPr>
        <w:t>8</w:t>
      </w:r>
      <w:r w:rsidRPr="002904CF">
        <w:t xml:space="preserve"> Permanence here is evolutionary, not metaphysical. The partners do not dissolve into featureless unity. Their differences are reorganized into a relation capable of reproducing itself. What counts as an individual at one scale may be a community at another, and what began as ecological association may become cellular anatomy.</w:t>
      </w:r>
    </w:p>
    <w:p w14:paraId="0E83D49B" w14:textId="77777777" w:rsidR="002904CF" w:rsidRPr="002904CF" w:rsidRDefault="002904CF" w:rsidP="002904CF">
      <w:pPr>
        <w:pStyle w:val="BookBody"/>
      </w:pPr>
      <w:r w:rsidRPr="002904CF">
        <w:t>The mitochondrion makes this history materially intimate. Nearly every movement, sensation, and thought in an animal depends on energy conversions performed by structures descended from bacteria. The “self” that perceives a world is thus enabled by an ancient incorporation. Chloroplasts likewise make plant life and much of the biosphere's primary production possible through a symbiotic history folded inside cells. Such facts do not eliminate organismic identity. A eukaryotic cell maintains a boundary, coordinates metabolism, repairs damage, and reproduces as a unit. They show that identity is not the opposite of relation. A living unity may be real because heterogeneous processes have become integrated, not because it was ever simple.</w:t>
      </w:r>
    </w:p>
    <w:p w14:paraId="727FFC92" w14:textId="77777777" w:rsidR="002904CF" w:rsidRPr="002904CF" w:rsidRDefault="002904CF" w:rsidP="002904CF">
      <w:pPr>
        <w:pStyle w:val="BookBody"/>
      </w:pPr>
      <w:r w:rsidRPr="002904CF">
        <w:t>This insight scales outward, but only with caution. Eukaryotic cells provide strong evidence for symbiogenesis because incorporation is materially traceable and reproduction coordinates the composite. Ecosystems and the biosphere are looser organizations. A forest does not reproduce as a cell does, and Earth has no demonstrated parent population against which planetary adaptations could be selected in the ordinary way. The language of “super-organism” can obscure these differences. Margulis's best contribution to planetary thought is therefore not a license to call every association an individual. It is a demonstration that the biological individual itself has a history, that cooperation and incorporation are genuine evolutionary processes, and that the boundaries of agency must be investigated rather than assumed.</w:t>
      </w:r>
    </w:p>
    <w:p w14:paraId="33096B12" w14:textId="77777777" w:rsidR="002904CF" w:rsidRPr="002904CF" w:rsidRDefault="002904CF" w:rsidP="002904CF">
      <w:pPr>
        <w:pStyle w:val="BookBody"/>
      </w:pPr>
      <w:r w:rsidRPr="002904CF">
        <w:t>Symbiosis also changes the meaning of competition. Organisms compete for resources, space, and reproductive opportunity, but the competitors are often composites sustained by cooperation at other scales. Selection among animals presupposes cells whose energy metabolism depends on ancient symbionts. Competition among plants presupposes microbial and fungal relations that shape nutrient uptake. An interaction can be beneficial under one condition and costly under another. Evolution does not choose once between struggle and harmony. It continually reorganizes relations whose effects depend on scale and situation. The biosphere is neither a battlefield of atomic selves nor a communion without conflict. It is a history in which new kinds of selves emerge through both alliance and exclusion.</w:t>
      </w:r>
    </w:p>
    <w:p w14:paraId="0B5D5919" w14:textId="77777777" w:rsidR="002904CF" w:rsidRPr="002904CF" w:rsidRDefault="002904CF" w:rsidP="002904CF">
      <w:pPr>
        <w:pStyle w:val="BookBody"/>
      </w:pPr>
      <w:r w:rsidRPr="002904CF">
        <w:t xml:space="preserve">Margulis's </w:t>
      </w:r>
      <w:r w:rsidRPr="002904CF">
        <w:rPr>
          <w:i/>
        </w:rPr>
        <w:t>Symbiotic Planet</w:t>
      </w:r>
      <w:r w:rsidRPr="002904CF">
        <w:t xml:space="preserve"> therefore helps connect the microbial mat to Earthrise without leaping over the middle. The mat shows communities constructing gradients; the cell shows community sedimented into individuality; the biosphere shows the planetary consequences of countless metabolisms and associations. At each level there are boundaries, but boundaries regulate exchange rather than abolish it. At each level there are relative unities, but unity is an accomplishment. And at each level the result can fail. Symbioses break down, communities collapse, lineages vanish, and feedbacks reverse. The living planet is not secured by the fact that relation is fundamental. Relation makes both stability and vulnerability possible.</w:t>
      </w:r>
    </w:p>
    <w:p w14:paraId="172FD978" w14:textId="77777777" w:rsidR="002904CF" w:rsidRPr="002904CF" w:rsidRDefault="002904CF" w:rsidP="002904CF">
      <w:pPr>
        <w:pStyle w:val="SectionHeading"/>
      </w:pPr>
      <w:r w:rsidRPr="002904CF">
        <w:t>An Atmosphere Made by Life</w:t>
      </w:r>
    </w:p>
    <w:p w14:paraId="21B68BB7" w14:textId="77777777" w:rsidR="002904CF" w:rsidRPr="002904CF" w:rsidRDefault="002904CF" w:rsidP="002904CF">
      <w:pPr>
        <w:pStyle w:val="BookBody"/>
      </w:pPr>
      <w:r w:rsidRPr="002904CF">
        <w:t>An atmospheric graph provides a different planetary portrait from Earthrise. Instead of a luminous whole, it displays axes, variables, scales, uncertainty bands, proxies, and curves. Deep-time graphs of oxygen and carbon dioxide are reconstructions rather than continuous recordings. Researchers infer earlier conditions from isotopes, mineral deposits, paleosols, fossils, ocean sediments, and models constrained by physical chemistry. The lines are therefore arguments condensed into visual form. Yet they reveal what the photograph cannot: Earth's atmosphere has a history, and that history cannot be separated from the history of metabolism. Oxygen rose through stages rather than in one smooth ascent. Carbon dioxide varied with volcanism, weathering, ocean chemistry, organic burial, biological innovation, and later human combustion. The atmosphere is neither a static container nor a neutral background. It is a changing medium with living sources and sinks.</w:t>
      </w:r>
    </w:p>
    <w:p w14:paraId="731AAB04" w14:textId="77777777" w:rsidR="002904CF" w:rsidRPr="002904CF" w:rsidRDefault="002904CF" w:rsidP="002904CF">
      <w:pPr>
        <w:pStyle w:val="FigureCaption"/>
      </w:pPr>
      <w:r w:rsidRPr="002904CF">
        <w:t>[FIGURE 22.3 — Paired atmospheric-history graphs: oxygen across deep time and carbon dioxide across an appropriate geological-to-industrial scale, with uncertainty bands and clearly identified proxy and instrumental sources. Insert a scientifically current, publication-quality graphic during final manuscript production.]</w:t>
      </w:r>
    </w:p>
    <w:p w14:paraId="611FB9DA" w14:textId="77777777" w:rsidR="002904CF" w:rsidRPr="002904CF" w:rsidRDefault="002904CF" w:rsidP="002904CF">
      <w:pPr>
        <w:pStyle w:val="BookBody"/>
      </w:pPr>
      <w:r w:rsidRPr="002904CF">
        <w:t>The graph disciplines the phrase “life made the atmosphere.” Organisms did not determine every gas, concentration, or transition. Volcanic outgassing, photochemistry, impacts, tectonics, ocean circulation, solar luminosity, and rock weathering are indispensable. Nor did living activity act as one cause with one direction. Photosynthesis releases oxygen, while respiration consumes it. Organic burial permits oxygen to accumulate; exposure and oxidation can reverse the effect. Vegetation can enhance weathering and carbon drawdown, while decomposition returns carbon dioxide. Methanogens produce a powerful greenhouse gas; methanotrophs consume it. The atmospheric state emerges from rates and reservoirs coupled across timescales. The planetary role of life is not sovereign control but causal participation so pervasive that purely abiotic explanation becomes inadequate.</w:t>
      </w:r>
    </w:p>
    <w:p w14:paraId="1929D4B6" w14:textId="77777777" w:rsidR="002904CF" w:rsidRPr="002904CF" w:rsidRDefault="002904CF" w:rsidP="002904CF">
      <w:pPr>
        <w:pStyle w:val="BookBody"/>
      </w:pPr>
      <w:r w:rsidRPr="002904CF">
        <w:t>This history also corrects the assumption that regulation always preserves a fixed optimum. The Sun's luminosity has increased over geological time, while greenhouse gases and albedo have changed. Earth has passed through icehouse and greenhouse states, oxygen crises, ocean anoxia, and mass extinctions. The persistence of liquid water and life through these changes is remarkable, but “persistence” covers enormous variation. A habitable planet for microbes can be lethal to forests; a stable climate over one interval can end abruptly; a feedback that damps one disturbance can amplify another after a threshold. Homeostasis must therefore name the maintenance of variables within ranges by feedback, not the immobility of an ideal state. The relevant ranges are plural because organisms have different tolerances, and they are historical because evolution changes who can inhabit them.</w:t>
      </w:r>
    </w:p>
    <w:p w14:paraId="74D20EE6" w14:textId="77777777" w:rsidR="002904CF" w:rsidRPr="002904CF" w:rsidRDefault="002904CF" w:rsidP="002904CF">
      <w:pPr>
        <w:pStyle w:val="BookBody"/>
      </w:pPr>
      <w:r w:rsidRPr="002904CF">
        <w:t>The oxygen curve offers the clearest rebuke to providential retrospect. Molecular oxygen eventually enabled high-energy metabolisms and complex animal life, but its initial accumulation was an environmental disruption caused by organisms that did not aim at animals. Later organisms exploited a transformed chemical field. The resulting fit can look designed when read backward from the present. In causal order, however, novelty preceded the world to which it later appeared adapted. Life modified the planet; the modified planet filtered life; the survivors and their descendants made further modifications. The circularity is real, but it is not the circle of a plan. It is historical recursion.</w:t>
      </w:r>
    </w:p>
    <w:p w14:paraId="39928404" w14:textId="77777777" w:rsidR="002904CF" w:rsidRPr="002904CF" w:rsidRDefault="002904CF" w:rsidP="002904CF">
      <w:pPr>
        <w:pStyle w:val="BookBody"/>
      </w:pPr>
      <w:r w:rsidRPr="002904CF">
        <w:t>The carbon cycle makes the same point at a different tempo. Carbon dioxide is both a raw material for photosynthesis and a greenhouse gas. Biological uptake, respiration, ocean exchange, carbonate formation, organic burial, weathering, volcanism, and combustion connect life to climate. Over long intervals, interactions among temperature, rainfall, vegetation, and silicate weathering can oppose changes in carbon dioxide, contributing to climatic stability. Over shorter intervals, rapid releases can outrun slower sinks. The existence of a negative feedback does not guarantee that it is strong or fast enough to protect a given community. Timescale is part of causal meaning. A process that restores balance over hundreds of thousands of years offers no homeostasis to a species confronting change over decades.</w:t>
      </w:r>
    </w:p>
    <w:p w14:paraId="44DF6E09" w14:textId="77777777" w:rsidR="002904CF" w:rsidRPr="002904CF" w:rsidRDefault="002904CF" w:rsidP="002904CF">
      <w:pPr>
        <w:pStyle w:val="BookBody"/>
      </w:pPr>
      <w:r w:rsidRPr="002904CF">
        <w:t>The atmospheric witness thus carries two lessons at once. First, life has planetary efficacy. The abundance of reactive gases, the presence of chemical disequilibria, and the sedimentary record of their transformations bear the work of organisms. Second, planetary efficacy has no necessary ethical direction. The same biosphere that sustains descendants contains the legacies of poisoning, predation, extinction, and radical environmental change. “For life” can mean only that some feedbacks have helped maintain conditions within which some life continued. It cannot mean that the biosphere acts for every organism, maximizes flourishing, or guarantees a future congenial to humanity.</w:t>
      </w:r>
    </w:p>
    <w:p w14:paraId="4A8D2E47" w14:textId="77777777" w:rsidR="002904CF" w:rsidRPr="002904CF" w:rsidRDefault="002904CF" w:rsidP="002904CF">
      <w:pPr>
        <w:pStyle w:val="SectionHeading"/>
      </w:pPr>
      <w:r w:rsidRPr="002904CF">
        <w:t>From Biosphere to Gaia</w:t>
      </w:r>
    </w:p>
    <w:p w14:paraId="25353FEC" w14:textId="77777777" w:rsidR="002904CF" w:rsidRPr="002904CF" w:rsidRDefault="002904CF" w:rsidP="002904CF">
      <w:pPr>
        <w:pStyle w:val="BookBody"/>
      </w:pPr>
      <w:r w:rsidRPr="002904CF">
        <w:t>The Gaia hypothesis emerged from attention to atmospheric disequilibrium. In the early 1970s, James Lovelock and Lynn Margulis asked why Earth's reactive gases persisted in combinations far from thermodynamic equilibrium and why surface conditions had remained compatible with life despite large changes in solar output and planetary history. Their 1974 paper proposed that the atmosphere should be treated as part of the biosphere's active organization. It offered an alternative to sheer coincidence: early life, they wrote, may have acquired “control of the planetary environment,” with “homeostasis by and for the biosphere” persisting thereafter.</w:t>
      </w:r>
      <w:r w:rsidRPr="002904CF">
        <w:rPr>
          <w:vertAlign w:val="superscript"/>
        </w:rPr>
        <w:t>9</w:t>
      </w:r>
      <w:r w:rsidRPr="002904CF">
        <w:t xml:space="preserve"> The language was intentionally strong. It moved the atmosphere from background to participant and challenged scientists to explain regulation rather than assume it.</w:t>
      </w:r>
    </w:p>
    <w:p w14:paraId="06E20A51" w14:textId="77777777" w:rsidR="002904CF" w:rsidRPr="002904CF" w:rsidRDefault="002904CF" w:rsidP="002904CF">
      <w:pPr>
        <w:pStyle w:val="BookBody"/>
      </w:pPr>
      <w:r w:rsidRPr="002904CF">
        <w:t>Gaia names the coupled system composed of living organisms and the portions of atmosphere, ocean, soil, and rock with which they actively interact. In its scientifically productive form, the hypothesis asks whether biological effects enter feedback loops that tend to keep certain variables within habitable ranges. Temperature, salinity, atmospheric composition, oxidation state, and nutrient availability are candidates, though evidence and mechanisms differ. The hypothesis is not established merely by showing that life affects its environment. Influence is unavoidable. Regulation requires a further relation: a deviation in some variable must trigger consequences that oppose, limit, or redirect the deviation. This is why the word “feedback” is more precise than the image of a caring Earth.</w:t>
      </w:r>
    </w:p>
    <w:p w14:paraId="28B28724" w14:textId="77777777" w:rsidR="002904CF" w:rsidRPr="002904CF" w:rsidRDefault="002904CF" w:rsidP="002904CF">
      <w:pPr>
        <w:pStyle w:val="BookBody"/>
      </w:pPr>
      <w:r w:rsidRPr="002904CF">
        <w:t>The original formulation nevertheless bundled several claims that must be separated. One claim is observational: life powerfully alters the physical and chemical environment. A second is systemic: some organism-environment couplings produce stabilizing feedbacks. A third is historical: such feedbacks have contributed to the long persistence of habitable conditions. A fourth is adaptive: planetary regulation is itself an evolved property. A fifth is teleological or optimizing: the biosphere acts to maintain conditions for life, perhaps even near an optimum. Evidence for the first does not prove the fifth. Each step requires additional mechanisms and standards of test. Much of the controversy around Gaia arose because critics attacked the strongest claims while advocates moved among the weaker and stronger senses.</w:t>
      </w:r>
    </w:p>
    <w:p w14:paraId="63F72F04" w14:textId="77777777" w:rsidR="002904CF" w:rsidRPr="002904CF" w:rsidRDefault="002904CF" w:rsidP="002904CF">
      <w:pPr>
        <w:pStyle w:val="BookBody"/>
      </w:pPr>
      <w:r w:rsidRPr="002904CF">
        <w:t>The organism metaphor intensified the ambiguity. Organisms regulate temperature, chemistry, and internal composition; Gaia seemed to do likewise on a larger scale. But an organism is not defined by regulation alone. It has a bounded metabolism, developmental organization, lineage, characteristic reproduction, and a norm of continued existence enacted through its parts. Earth exchanges energy extensively and matter to a lesser degree, but it does not have an empirically established parent, population, genome, or reproductive cycle. Calling it an organism may direct attention toward integration, yet it can also smuggle the conclusion into the premise. Similar patterns do not erase differences in how the patterns are produced.</w:t>
      </w:r>
    </w:p>
    <w:p w14:paraId="1CD39C79" w14:textId="77777777" w:rsidR="002904CF" w:rsidRPr="002904CF" w:rsidRDefault="002904CF" w:rsidP="002904CF">
      <w:pPr>
        <w:pStyle w:val="BookBody"/>
      </w:pPr>
      <w:r w:rsidRPr="002904CF">
        <w:t>Margulis later stated the needed limit with unusual clarity. The sum of planetary life displays a physiology recognizable as environmental regulation, but “Gaia itself is not an organism directly selected among many. It is an emergent property of interaction among organisms.”</w:t>
      </w:r>
      <w:r w:rsidRPr="002904CF">
        <w:rPr>
          <w:vertAlign w:val="superscript"/>
        </w:rPr>
        <w:t>10</w:t>
      </w:r>
      <w:r w:rsidRPr="002904CF">
        <w:t xml:space="preserve"> The word “physiology” here should be taken functionally, not anatomically. It directs inquiry toward flows, exchanges, feedbacks, and the persistence of organized conditions. “Emergent property” denies that regulation resides in a central controller or a planetary will. It arises from interactions whose participants pursue local survival and reproduction. The result may be orderly without having been represented in advance by any participant.</w:t>
      </w:r>
    </w:p>
    <w:p w14:paraId="7D2696A2" w14:textId="77777777" w:rsidR="002904CF" w:rsidRPr="002904CF" w:rsidRDefault="002904CF" w:rsidP="002904CF">
      <w:pPr>
        <w:pStyle w:val="BookBody"/>
      </w:pPr>
      <w:r w:rsidRPr="002904CF">
        <w:t>This distinction allows Gaia to sharpen Vernadsky rather than mythologize him. Vernadsky established that living matter is a geological force and that the biosphere is a domain of energy and chemical transformation. Gaia asks whether the effects of that force sometimes form regulatory loops. Symbiogenesis shows how integration can arise through the history of unlike partners. Gaia asks how far such integration extends when there is no cellular enclosure and no single reproductive lineage. Earth system science measures many of the relevant couplings without needing the name Gaia at all. The name remains useful only when it focuses a question that can be decomposed into mechanisms.</w:t>
      </w:r>
    </w:p>
    <w:p w14:paraId="4C6DCC65" w14:textId="77777777" w:rsidR="002904CF" w:rsidRPr="002904CF" w:rsidRDefault="002904CF" w:rsidP="002904CF">
      <w:pPr>
        <w:pStyle w:val="BookBody"/>
      </w:pPr>
      <w:r w:rsidRPr="002904CF">
        <w:t>The term is also a metaphor with cultural force. Named after a Greek goddess, Gaia evokes maternal earth, generativity, and whole-system belonging. Metaphor is not intellectual contamination; scientific thought cannot proceed without models and transferred terms. But metaphor must be identified as metaphor. A model selects relations that can be formalized or tested. An ontological claim says what kind of being Earth is. A mythic name gathers affect and orientation. These functions may coexist, but they are not interchangeable. The goddess does not supply evidence for feedback, the model does not prove personhood, and the scientific system does not exhaust the meanings people attach to their home.</w:t>
      </w:r>
    </w:p>
    <w:p w14:paraId="2B472F29" w14:textId="77777777" w:rsidR="002904CF" w:rsidRPr="002904CF" w:rsidRDefault="002904CF" w:rsidP="002904CF">
      <w:pPr>
        <w:pStyle w:val="SectionHeading"/>
      </w:pPr>
      <w:r w:rsidRPr="002904CF">
        <w:t>Daisyworld and the Logic of Feedback</w:t>
      </w:r>
    </w:p>
    <w:p w14:paraId="64E90405" w14:textId="77777777" w:rsidR="002904CF" w:rsidRPr="002904CF" w:rsidRDefault="002904CF" w:rsidP="002904CF">
      <w:pPr>
        <w:pStyle w:val="BookBody"/>
      </w:pPr>
      <w:r w:rsidRPr="002904CF">
        <w:t>Daisyworld was designed to isolate the logic that the organism metaphor obscured. Imagine a planet orbiting a star whose luminosity slowly increases. Its surface can support dark daisies, which absorb more radiation and warm their surroundings, and light daisies, which reflect more radiation and cool theirs. Both grow best within a certain temperature range. When the planet is cold, dark daisies gain an advantage because local warming improves their growth; as they spread, planetary temperature rises. When luminosity increases, light daisies gain an advantage because local cooling becomes beneficial; as they spread, warming is limited. No daisy measures global temperature, represents a planetary goal, or sacrifices itself for the whole. Local growth coupled to albedo can generate global regulation.</w:t>
      </w:r>
      <w:r w:rsidRPr="002904CF">
        <w:rPr>
          <w:vertAlign w:val="superscript"/>
        </w:rPr>
        <w:t>11</w:t>
      </w:r>
    </w:p>
    <w:p w14:paraId="5A4C22A2" w14:textId="77777777" w:rsidR="002904CF" w:rsidRPr="002904CF" w:rsidRDefault="002904CF" w:rsidP="002904CF">
      <w:pPr>
        <w:pStyle w:val="FigureCaption"/>
      </w:pPr>
      <w:r w:rsidRPr="002904CF">
        <w:t>[FIGURE 22.4 — Clear Daisyworld or Gaia feedback diagram showing stellar luminosity, dark and light daisy abundance, albedo, temperature, and the direction of reinforcing and balancing feedbacks. Insert a licensed scholarly diagram or newly drawn publication graphic during final manuscript production.]</w:t>
      </w:r>
    </w:p>
    <w:p w14:paraId="35D9937E" w14:textId="77777777" w:rsidR="002904CF" w:rsidRPr="002904CF" w:rsidRDefault="002904CF" w:rsidP="002904CF">
      <w:pPr>
        <w:pStyle w:val="BookBody"/>
      </w:pPr>
      <w:r w:rsidRPr="002904CF">
        <w:t>The model is deliberately unreal in detail so that a causal form becomes visible. Its variables are few, its organisms simplified, and its spatial and evolutionary assumptions contestable. That limitation is its strength when properly understood. Daisyworld does not simulate Earth's biosphere in all its complexity or demonstrate that the real planet self-regulates. It shows how environmental modification and differential growth can close a negative feedback loop without foresight. Temperature affects which daisies grow; daisy abundance affects albedo; albedo affects temperature. The circular causation is mechanistic. To explain it, one need not add a planetary subject standing outside the loop.</w:t>
      </w:r>
    </w:p>
    <w:p w14:paraId="76FC1F2A" w14:textId="77777777" w:rsidR="002904CF" w:rsidRPr="002904CF" w:rsidRDefault="002904CF" w:rsidP="002904CF">
      <w:pPr>
        <w:pStyle w:val="BookBody"/>
      </w:pPr>
      <w:r w:rsidRPr="002904CF">
        <w:t>Feedback itself is morally neutral. A negative feedback opposes a change relative to some state or range; a positive feedback amplifies it. The terms do not mean good and bad. Ice loss can reduce planetary reflectivity and intensify warming, a positive feedback. Increased plant growth under some conditions can draw down carbon dioxide, a negative feedback, but nutrient limitation, drought, fire, and respiration complicate the response. A balancing loop may preserve conditions harmful to particular organisms, while an amplifying loop may open a new ecological possibility. The normative question—good for whom, over what interval, and by what standard—cannot be read directly from the sign of the feedback.</w:t>
      </w:r>
    </w:p>
    <w:p w14:paraId="414478A8" w14:textId="77777777" w:rsidR="002904CF" w:rsidRPr="002904CF" w:rsidRDefault="002904CF" w:rsidP="002904CF">
      <w:pPr>
        <w:pStyle w:val="BookBody"/>
      </w:pPr>
      <w:r w:rsidRPr="002904CF">
        <w:t>Daisyworld also demonstrates why a material witness can be a model. Earthrise is a photograph, the microbial mat a field object, and the atmospheric graph a reconstruction from measurements and proxies. Daisyworld is a formalized thought experiment implemented through equations or computation. It witnesses not by resembling the planet but by making a dependency manipulable. Change luminosity, growth ranges, death rates, mutation, spatial structure, or the number of daisy types, and one can ask which regulatory effects persist. The model's artificiality is not a defect to hide. It is the controlled difference through which a claim becomes testable.</w:t>
      </w:r>
    </w:p>
    <w:p w14:paraId="7AD59C2B" w14:textId="77777777" w:rsidR="002904CF" w:rsidRPr="002904CF" w:rsidRDefault="002904CF" w:rsidP="002904CF">
      <w:pPr>
        <w:pStyle w:val="BookBody"/>
      </w:pPr>
      <w:r w:rsidRPr="002904CF">
        <w:t>Yet the model can mislead when its demonstration of possibility is converted into proof of actuality. Real organisms affect many variables at once. Interactions span unequal timescales; evolution changes traits; geological processes introduce disturbances; positive feedbacks and thresholds can overwhelm regulation; and what stabilizes one variable may destabilize another. The biosphere has no single temperature optimum shared by all life. Daisyworld establishes that natural selection and global regulation are not logically incompatible. It does not establish that selection will normally produce regulation, that regulation will be durable, or that it will preserve conditions favorable to humans.</w:t>
      </w:r>
    </w:p>
    <w:p w14:paraId="6FD52756" w14:textId="77777777" w:rsidR="002904CF" w:rsidRPr="002904CF" w:rsidRDefault="002904CF" w:rsidP="002904CF">
      <w:pPr>
        <w:pStyle w:val="BookBody"/>
      </w:pPr>
      <w:r w:rsidRPr="002904CF">
        <w:t>Tim Lenton and Andrew Watson capture the unresolved historical question by contrasting Lucky Gaia and Probable Gaia. On the Lucky view, Earth's regulatory feedbacks are contingent arrangements among many possible destabilizing ones; life persisted because the planet happened to avoid terminal trajectories. On the Probable view, general processes make regulatory feedbacks more likely to arise and endure.</w:t>
      </w:r>
      <w:r w:rsidRPr="002904CF">
        <w:rPr>
          <w:vertAlign w:val="superscript"/>
        </w:rPr>
        <w:t>12</w:t>
      </w:r>
      <w:r w:rsidRPr="002904CF">
        <w:t xml:space="preserve"> The opposition is not between chance and law in the abstract. It asks whether there are selection-like, ecological, or system-level mechanisms that bias planetary history toward persistence. The geological record shows persistence, but one surviving planet is a difficult sample from which to infer probability.</w:t>
      </w:r>
    </w:p>
    <w:p w14:paraId="5F53090C" w14:textId="77777777" w:rsidR="002904CF" w:rsidRPr="002904CF" w:rsidRDefault="002904CF" w:rsidP="002904CF">
      <w:pPr>
        <w:pStyle w:val="BookBody"/>
      </w:pPr>
      <w:r w:rsidRPr="002904CF">
        <w:t>The distinction also protects the chapter's central claim from inflation. Life plainly transforms Earth. Some transformations enter feedback loops. Some loops have contributed to long-lived habitability. These conclusions do not decide whether planetary self-regulation is probable across Earth-like worlds or whether the biosphere as a whole is adapted. The epistemic ladder must be climbed one rung at a time. Otherwise the evidence for oxygenic photosynthesis, carbon cycling, or temperature feedback is recruited into a total image it cannot support.</w:t>
      </w:r>
    </w:p>
    <w:p w14:paraId="0F8F067A" w14:textId="77777777" w:rsidR="002904CF" w:rsidRPr="002904CF" w:rsidRDefault="002904CF" w:rsidP="002904CF">
      <w:pPr>
        <w:pStyle w:val="SectionHeading"/>
      </w:pPr>
      <w:r w:rsidRPr="002904CF">
        <w:t>Strong Gaia, Weak Gaia</w:t>
      </w:r>
    </w:p>
    <w:p w14:paraId="7CF8261F" w14:textId="77777777" w:rsidR="002904CF" w:rsidRPr="002904CF" w:rsidRDefault="002904CF" w:rsidP="002904CF">
      <w:pPr>
        <w:pStyle w:val="BookBody"/>
      </w:pPr>
      <w:r w:rsidRPr="002904CF">
        <w:t>“Weak Gaia” is often used for claims that are now close to ordinary Earth system science: organisms and environment are coupled; the biosphere alters atmosphere, climate, and geochemistry; and biological effects can participate in feedbacks. Even this weak form is not trivial. It rejects the picture of life as a passenger on a planet whose significant physical conditions are wholly external. It requires climate models to include vegetation, carbon cycles, ocean biology, microbial processes, and ecological change where the relevant mechanisms demand them. It makes life part of the causal architecture of Earth.</w:t>
      </w:r>
    </w:p>
    <w:p w14:paraId="56DB6F1E" w14:textId="77777777" w:rsidR="002904CF" w:rsidRPr="002904CF" w:rsidRDefault="002904CF" w:rsidP="002904CF">
      <w:pPr>
        <w:pStyle w:val="BookBody"/>
      </w:pPr>
      <w:r w:rsidRPr="002904CF">
        <w:t>“Strong Gaia” can mean several different things, and clarity requires refusing to let them blur. It may mean that feedbacks generally maintain conditions favorable to life; that the biosphere optimizes those conditions; that Earth is literally an organism; or that the planet has purposes or awareness. These are not stronger measurements of the same variable. They are distinct empirical and ontological claims. Environmental regulation can occur without optimization. Optimization can be local and plural rather than planetary. Organismic organization requires more than feedback. Purpose in organisms, if admitted, does not automatically scale to a biosphere. Consciousness is a further question again. The stronger the claim, the less it follows from the shared evidence.</w:t>
      </w:r>
    </w:p>
    <w:p w14:paraId="3B42B57B" w14:textId="77777777" w:rsidR="002904CF" w:rsidRPr="002904CF" w:rsidRDefault="002904CF" w:rsidP="002904CF">
      <w:pPr>
        <w:pStyle w:val="BookBody"/>
      </w:pPr>
      <w:r w:rsidRPr="002904CF">
        <w:t>W. Ford Doolittle's recent effort to “Darwinize” Gaia is valuable because it addresses the evolutionary objection rather than bypassing it. Classical natural selection explains adaptations through differential reproduction among heritable variants. Earth does not obviously belong to a population of reproducing planets. Doolittle therefore explores whether multispecies communities, recurring interactions, and persistence-promoting processes can receive selection-like explanation without turning the biosphere into a conventional individual. He distinguishes influential and coevolutionary Gaia from homeostatic, teleological, and optimizing versions: mutual influence is uncontroversial; stabilizing influence is an empirical possibility; intended or best-possible regulation demands much more.</w:t>
      </w:r>
      <w:r w:rsidRPr="002904CF">
        <w:rPr>
          <w:vertAlign w:val="superscript"/>
        </w:rPr>
        <w:t>13</w:t>
      </w:r>
    </w:p>
    <w:p w14:paraId="0938F286" w14:textId="77777777" w:rsidR="002904CF" w:rsidRPr="002904CF" w:rsidRDefault="002904CF" w:rsidP="002904CF">
      <w:pPr>
        <w:pStyle w:val="BookBody"/>
      </w:pPr>
      <w:r w:rsidRPr="002904CF">
        <w:t>The concept of persistence is especially important. A pattern can become historically prominent not only because a bounded individual reproduces more copies than competitors but because interactions that destroy their own conditions disappear, while interactions compatible with continued recurrence remain available to be reassembled. Communities can recruit new participants into functional roles; lineages can be replaced while cycles persist; traits can spread because they modify environments inherited by descendants. Such processes may help explain why some regulatory relations endure. But “persistence of the persisting” risks tautology unless the mechanisms are specified. Which variations occur, what is inherited, what competes, what is filtered, and at what level? Darwinizing Gaia is a research program, not a coronation.</w:t>
      </w:r>
    </w:p>
    <w:p w14:paraId="68BCB30D" w14:textId="77777777" w:rsidR="002904CF" w:rsidRPr="002904CF" w:rsidRDefault="002904CF" w:rsidP="002904CF">
      <w:pPr>
        <w:pStyle w:val="BookBody"/>
      </w:pPr>
      <w:r w:rsidRPr="002904CF">
        <w:t>Doolittle is explicit about the modesty of the result: extending evolutionary theory can legitimize Gaia as a possible Darwinian hypothesis without proving it true.</w:t>
      </w:r>
      <w:r w:rsidRPr="002904CF">
        <w:rPr>
          <w:vertAlign w:val="superscript"/>
        </w:rPr>
        <w:t>14</w:t>
      </w:r>
      <w:r w:rsidRPr="002904CF">
        <w:t xml:space="preserve"> That caution is philosophically decisive. A concept may be coherent, compatible with selection, and scientifically investigable while remaining unconfirmed in a particular case. Conversely, a planetary feedback may be empirically well supported without establishing that the biosphere is a unit of selection. The desire for one comprehensive verdict—Gaia true or false—must give way to a map of claims with different evidence.</w:t>
      </w:r>
    </w:p>
    <w:p w14:paraId="2A2DF8A7" w14:textId="77777777" w:rsidR="002904CF" w:rsidRPr="002904CF" w:rsidRDefault="002904CF" w:rsidP="002904CF">
      <w:pPr>
        <w:pStyle w:val="BookBody"/>
      </w:pPr>
      <w:r w:rsidRPr="002904CF">
        <w:t xml:space="preserve">Margulis's own strong language is best read through this map. She resisted the statement that Earth is simply a single organism, while defending a planetary “physiology” formed by interacting organisms and environments. In </w:t>
      </w:r>
      <w:r w:rsidRPr="002904CF">
        <w:rPr>
          <w:i/>
        </w:rPr>
        <w:t>The Symbiotic Planet</w:t>
      </w:r>
      <w:r w:rsidRPr="002904CF">
        <w:t>, weak Gaia names the coupling of life and environment; strong Gaia approaches the claim that Earth is a single living system regulated so as to sustain life. She treated the physiology as an open scientific question, not as permission to attribute a mind to the planet.</w:t>
      </w:r>
      <w:r w:rsidRPr="002904CF">
        <w:rPr>
          <w:vertAlign w:val="superscript"/>
        </w:rPr>
        <w:t>15</w:t>
      </w:r>
      <w:r w:rsidRPr="002904CF">
        <w:t xml:space="preserve"> Her symbiotic biology supports integration without sameness. Gaia may be a system with emergent regulatory properties while remaining unlike a cell, animal, or person.</w:t>
      </w:r>
    </w:p>
    <w:p w14:paraId="40A8ECF8" w14:textId="77777777" w:rsidR="002904CF" w:rsidRPr="002904CF" w:rsidRDefault="002904CF" w:rsidP="002904CF">
      <w:pPr>
        <w:pStyle w:val="BookBody"/>
      </w:pPr>
      <w:r w:rsidRPr="002904CF">
        <w:t>The resulting position is neither timid nor enchanted. Earth is living at the level of process in the precise sense that its surface state is inseparable from the activities and histories of living beings. It is not established as living at the level of organismic individuality, still less at the level of conscious subjecthood. The distinction is not verbal. It identifies different organizations. A process-level living Earth includes metabolism distributed among organisms, cycles that cross living and nonliving reservoirs, and feedbacks emerging from ecological interaction. An organism-level Earth would require evidence of a higher-order individuality whose parts are integrated under a planetary norm. A personified Earth would require inwardness, experience, or intention. The first is scientifically secure in broad outline; the second is controversial; the third is unsupported.</w:t>
      </w:r>
    </w:p>
    <w:p w14:paraId="2B97B8D1" w14:textId="77777777" w:rsidR="002904CF" w:rsidRPr="002904CF" w:rsidRDefault="002904CF" w:rsidP="002904CF">
      <w:pPr>
        <w:pStyle w:val="SectionHeading"/>
      </w:pPr>
      <w:r w:rsidRPr="002904CF">
        <w:t>Jonas and the Limit of the Organism Analogy</w:t>
      </w:r>
    </w:p>
    <w:p w14:paraId="7699F1C7" w14:textId="77777777" w:rsidR="002904CF" w:rsidRPr="002904CF" w:rsidRDefault="002904CF" w:rsidP="002904CF">
      <w:pPr>
        <w:pStyle w:val="BookBody"/>
      </w:pPr>
      <w:r w:rsidRPr="002904CF">
        <w:t xml:space="preserve">Hans Jonas helps identify why the step from system to organism is so consequential. In </w:t>
      </w:r>
      <w:r w:rsidRPr="002904CF">
        <w:rPr>
          <w:i/>
        </w:rPr>
        <w:t>The Phenomenon of Life</w:t>
      </w:r>
      <w:r w:rsidRPr="002904CF">
        <w:t>, metabolism is not merely a chemical process occurring inside an already constituted thing. It is the activity through which a living identity continually replaces its material constituents while maintaining a form. The organism is itself only by exchanging matter with what is not itself. Its boundary separates, but it also exposes; its continuity is achieved through dependence. This is not the persistence of a stone whose matter remains largely where it is. It is a dynamic identity whose material content passes through it. Organismic being is therefore both precarious and self-concerned: the living unity must keep enacting the difference between continued life and dissolution.</w:t>
      </w:r>
      <w:r w:rsidRPr="002904CF">
        <w:rPr>
          <w:vertAlign w:val="superscript"/>
        </w:rPr>
        <w:t>16</w:t>
      </w:r>
    </w:p>
    <w:p w14:paraId="0ADD66EB" w14:textId="77777777" w:rsidR="002904CF" w:rsidRPr="002904CF" w:rsidRDefault="002904CF" w:rsidP="002904CF">
      <w:pPr>
        <w:pStyle w:val="BookBody"/>
      </w:pPr>
      <w:r w:rsidRPr="002904CF">
        <w:t>Jonas's account extends the organism-milieu relation developed in the previous chapter. Evolution makes structure itself a result of living history rather than a fixed machine given in advance. Jonas argues that organism and environment together form a system, so the basic concept of life becomes bipolar.</w:t>
      </w:r>
      <w:r w:rsidRPr="002904CF">
        <w:rPr>
          <w:vertAlign w:val="superscript"/>
        </w:rPr>
        <w:t>17</w:t>
      </w:r>
      <w:r w:rsidRPr="002904CF">
        <w:t xml:space="preserve"> Yet the two poles are not symmetrical abstractions. The organism encounters environmental conditions under the norm of its own continued activity. Food, poison, warmth, obstacle, mate, and threat are not neutral inputs assigned values by an external observer. Their significance belongs to the relational situation of a vulnerable body. Metabolism thus supports a modest naturalization of purpose: not a cosmic plan, but an immanent directedness enacted wherever life must distinguish what sustains from what destroys it.</w:t>
      </w:r>
    </w:p>
    <w:p w14:paraId="6AC1F027" w14:textId="77777777" w:rsidR="002904CF" w:rsidRPr="002904CF" w:rsidRDefault="002904CF" w:rsidP="002904CF">
      <w:pPr>
        <w:pStyle w:val="BookBody"/>
      </w:pPr>
      <w:r w:rsidRPr="002904CF">
        <w:t>This is the background to Jonas's uncompromising formula: “there is no organism without teleology; there is no teleology without inwardness.”</w:t>
      </w:r>
      <w:r w:rsidRPr="002904CF">
        <w:rPr>
          <w:vertAlign w:val="superscript"/>
        </w:rPr>
        <w:t>18</w:t>
      </w:r>
      <w:r w:rsidRPr="002904CF">
        <w:t xml:space="preserve"> The statement is controversial, especially where it extends inwardness to elementary life, but it sets a useful burden of proof. To call Earth an organism is not merely to compliment its complexity. It is to suggest that planetary processes are organized around a norm that is their own and perhaps accompanied by some degree of inwardness. Feedback alone does not establish either claim. A thermostat regulates temperature but does not care whether it continues; a carbon cycle may return toward a range without experiencing the deviation as a threat. The organism analogy becomes ontological only when such differences are ignored.</w:t>
      </w:r>
    </w:p>
    <w:p w14:paraId="2D26FD82" w14:textId="77777777" w:rsidR="002904CF" w:rsidRPr="002904CF" w:rsidRDefault="002904CF" w:rsidP="002904CF">
      <w:pPr>
        <w:pStyle w:val="BookBody"/>
      </w:pPr>
      <w:r w:rsidRPr="002904CF">
        <w:t>One might answer that planetary inwardness is distributed among living beings. Earth feels because animals feel; Earth values because organisms enact norms; Earth becomes conscious in human beings. There is a legitimate relational insight here: every animal subject is terrestrial, and no inwardness known to us floats free of planetary matter and history. But the grammar of inclusion does not prove identity. A forest contains many centers of experience without becoming a single experiencing subject. Humanity's reflective awareness occurs within the biosphere, not necessarily as the biosphere's awareness of itself. Distribution is not integration. To infer a planetary subject, one would need evidence that local experiences are unified in a perspective or norm attributable to the whole.</w:t>
      </w:r>
    </w:p>
    <w:p w14:paraId="4BD828EF" w14:textId="77777777" w:rsidR="002904CF" w:rsidRPr="002904CF" w:rsidRDefault="002904CF" w:rsidP="002904CF">
      <w:pPr>
        <w:pStyle w:val="BookBody"/>
      </w:pPr>
      <w:r w:rsidRPr="002904CF">
        <w:t>Jonas therefore both supports and limits the language of a living Earth. He supports it by refusing to reduce organisms to passive arrangements of matter and by showing that metabolic form is a distinctive achievement. This makes the biosphere more than a pattern imposed by human description, because its constituent organisms are active centers whose transactions alter the planet. He limits it by clarifying how much is contained in the word “organism.” The biosphere's cycles are composed of metabolisms without obviously constituting one metabolism. Its organisms have norms without obviously forming one planetary norm. Its animals have inwardness without obviously entering one encompassing subject. Earth can be alive with organisms and transformed by life without itself being an organism in Jonas's sense.</w:t>
      </w:r>
    </w:p>
    <w:p w14:paraId="3EA74851" w14:textId="77777777" w:rsidR="002904CF" w:rsidRPr="002904CF" w:rsidRDefault="002904CF" w:rsidP="002904CF">
      <w:pPr>
        <w:pStyle w:val="BookBody"/>
      </w:pPr>
      <w:r w:rsidRPr="002904CF">
        <w:t>The distinction also prevents an ethical shortcut. If Earth were a great organism, human environmental damage might be condemned as disease and ecological restoration praised as health. But disease metaphors can make dissenting populations into pathogens, conceal conflicts among interests, and imply that a single objective condition of planetary health is available. Ecological judgment is unavoidable, but it must name its norms: climatic stability, biodiversity, soil fertility, breathable air, distributive justice, the persistence of particular communities, or the reduction of suffering. These goods overlap without becoming identical. The living planet does not relieve humans of arguing about them.</w:t>
      </w:r>
    </w:p>
    <w:p w14:paraId="328E300E" w14:textId="77777777" w:rsidR="002904CF" w:rsidRPr="002904CF" w:rsidRDefault="002904CF" w:rsidP="002904CF">
      <w:pPr>
        <w:pStyle w:val="BookBody"/>
      </w:pPr>
      <w:r w:rsidRPr="002904CF">
        <w:t>Nor should Jonas's teleology be projected backward into the biosphere as providence. Organisms pursue continued life within their situations; this does not mean their combined effects pursue the continuation of all life. A photosynthesizer releases oxygen as a consequence of its metabolism, not as a gift to future animals. A tree affects rainfall, shade, carbon storage, and soil while growing under local constraints. Human purposes can now represent planetary consequences in ways unavailable to most organisms, but they remain divided, fallible, and institutionally mediated. Purpose enters Earth history through purposive beings. It does not follow that Earth history as a whole has a purpose.</w:t>
      </w:r>
    </w:p>
    <w:p w14:paraId="13D660C1" w14:textId="77777777" w:rsidR="002904CF" w:rsidRPr="002904CF" w:rsidRDefault="002904CF" w:rsidP="002904CF">
      <w:pPr>
        <w:pStyle w:val="SectionHeading"/>
      </w:pPr>
      <w:r w:rsidRPr="002904CF">
        <w:t>Earth System Without Providence</w:t>
      </w:r>
    </w:p>
    <w:p w14:paraId="224A9386" w14:textId="77777777" w:rsidR="002904CF" w:rsidRPr="002904CF" w:rsidRDefault="002904CF" w:rsidP="002904CF">
      <w:pPr>
        <w:pStyle w:val="BookBody"/>
      </w:pPr>
      <w:r w:rsidRPr="002904CF">
        <w:t>Earth system science inherits much of Gaia's field while replacing its most provocative images with coupled measurements and models. Atmosphere, ocean, cryosphere, land, biosphere, and human activities are treated as interacting components whose exchanges can be quantified across scales. Satellites measure radiation, cloud, vegetation, ice, sea level, and atmospheric composition. Ships, floats, stations, cores, and laboratories extend observations through water, air, rock, and time. Models encode conservation laws, circulation, chemistry, ecological responses, and socioeconomic scenarios. The planet appears not as a single photograph but as a dynamic construction assembled from instruments, archives, equations, and repeated comparison with observations.</w:t>
      </w:r>
    </w:p>
    <w:p w14:paraId="220A3321" w14:textId="77777777" w:rsidR="002904CF" w:rsidRPr="002904CF" w:rsidRDefault="002904CF" w:rsidP="002904CF">
      <w:pPr>
        <w:pStyle w:val="BookBody"/>
      </w:pPr>
      <w:r w:rsidRPr="002904CF">
        <w:t>This scientific gain is substantial. It permits inquiry into causal relations that neither ordinary perception nor a global image can reveal: how ocean heat uptake delays atmospheric warming, how deforestation changes carbon storage and water cycling, how aerosols alter radiation and clouds, how thawing permafrost can release greenhouse gases, how warming and acidification combine in marine ecosystems, and how emissions pathways shape future risks. A coupled model does not need to decide whether Gaia is alive. It asks which processes interact, with what strength, under which initial conditions, and with what uncertainty. The discipline of decomposition keeps planetary language answerable to material relations.</w:t>
      </w:r>
    </w:p>
    <w:p w14:paraId="7C583C58" w14:textId="77777777" w:rsidR="002904CF" w:rsidRPr="002904CF" w:rsidRDefault="002904CF" w:rsidP="002904CF">
      <w:pPr>
        <w:pStyle w:val="BookBody"/>
      </w:pPr>
      <w:r w:rsidRPr="002904CF">
        <w:t>At the same time, the system concept is not innocent of choices. Modelers decide which components and scales to represent, which variables to treat as external, which observations to assimilate, and which futures to compare. Resolution makes some patterns visible and averages others away. Uncertainty can arise from measurement, variability, structural assumptions, and unknown human decisions. None of this makes models arbitrary. It means that scientific objectivity is achieved through explicit methods, error estimates, independent checks, and public revision rather than through a view from nowhere. The operational Earth is known by coordinating situated instruments and partial models.</w:t>
      </w:r>
    </w:p>
    <w:p w14:paraId="6010077C" w14:textId="77777777" w:rsidR="002904CF" w:rsidRPr="002904CF" w:rsidRDefault="002904CF" w:rsidP="002904CF">
      <w:pPr>
        <w:pStyle w:val="BookBody"/>
      </w:pPr>
      <w:r w:rsidRPr="002904CF">
        <w:t>The planetary boundaries framework exemplifies both the power and the normative structure of this knowledge. It identifies processes judged critical to Earth-system stability and proposes control variables and boundaries marking increasing risk to the relatively stable conditions in which human civilizations developed. The 2023 update concluded that six of nine boundaries were transgressed, with ocean acidification approaching its boundary and several measures moving farther into zones of risk.</w:t>
      </w:r>
      <w:r w:rsidRPr="002904CF">
        <w:rPr>
          <w:vertAlign w:val="superscript"/>
        </w:rPr>
        <w:t>19</w:t>
      </w:r>
      <w:r w:rsidRPr="002904CF">
        <w:t xml:space="preserve"> The framework does not reveal a natural line between cosmic good and evil. Its “safe operating space” is a scientifically argued, precautionary relation between biophysical change and human dependence on Holocene-like conditions. Thresholds, uncertainties, regional inequalities, and interactions among processes complicate every boundary. Yet complication does not dissolve danger.</w:t>
      </w:r>
    </w:p>
    <w:p w14:paraId="61FC0247" w14:textId="77777777" w:rsidR="002904CF" w:rsidRPr="002904CF" w:rsidRDefault="002904CF" w:rsidP="002904CF">
      <w:pPr>
        <w:pStyle w:val="BookBody"/>
      </w:pPr>
      <w:r w:rsidRPr="002904CF">
        <w:t>The framework is especially relevant to the biosphere because it resists reducing the planetary crisis to atmospheric carbon alone. Climate change interacts with biosphere integrity, land-system change, freshwater change, nutrient cycles, ocean acidification, aerosols, ozone, and novel entities. Forest loss changes carbon storage, evapotranspiration, rainfall, habitat, and fire. Fertilizer mobilizes nitrogen and phosphorus, raising food production while altering rivers, coasts, and atmospheric chemistry. Synthetic compounds and plastics enter organisms and cycles that did not evolve in their presence. Planetary processes are coupled, so an intervention aimed at one variable may intensify another. The biosphere is an adaptive core of the Earth system, not a decorative sector to be protected after economic and technical decisions have been made.</w:t>
      </w:r>
    </w:p>
    <w:p w14:paraId="1BF03CA8" w14:textId="77777777" w:rsidR="002904CF" w:rsidRPr="002904CF" w:rsidRDefault="002904CF" w:rsidP="002904CF">
      <w:pPr>
        <w:pStyle w:val="BookBody"/>
      </w:pPr>
      <w:r w:rsidRPr="002904CF">
        <w:t>The IPCC's synthesis gives the climatic case a similarly precise form. Human activities, principally greenhouse-gas emissions, have unequivocally caused global warming; average global surface temperature in 2011–2020 stood about 1.1°C above the 1850–1900 baseline.</w:t>
      </w:r>
      <w:r w:rsidRPr="002904CF">
        <w:rPr>
          <w:vertAlign w:val="superscript"/>
        </w:rPr>
        <w:t>20</w:t>
      </w:r>
      <w:r w:rsidRPr="002904CF">
        <w:t xml:space="preserve"> The statement is not the voice of a planet announcing injury. It is a collective scientific judgment based on observations, attribution studies, physical understanding, and assessed confidence. Its subject is also carefully differentiated. “Human activities” does not mean that every person contributed equally or benefited equally. Energy systems, land use, production, consumption, wealth, political power, and historical responsibility distribute causes and vulnerabilities unevenly.</w:t>
      </w:r>
    </w:p>
    <w:p w14:paraId="6A53AADB" w14:textId="77777777" w:rsidR="002904CF" w:rsidRPr="002904CF" w:rsidRDefault="002904CF" w:rsidP="002904CF">
      <w:pPr>
        <w:pStyle w:val="BookBody"/>
      </w:pPr>
      <w:r w:rsidRPr="002904CF">
        <w:t>Anthropogenic climate change is Gaian in one defensible sense: a living species has become a planetary forcing whose activities alter feedbacks and the conditions of life. But the label can obscure more than it reveals if “humanity” is treated as a unified geological subject. Fossil carbon is extracted through institutions, technologies, property regimes, infrastructures, and decisions. Emissions accumulate globally while harms arrive through locally specific worlds: heat in a worker's body, salt in a field, smoke in lungs, bleaching in a reef, a shifting insect range, a disappearing snowpack, an insurance market withdrawing from a coast. Planetary change is real because it enters milieus; its scale does not abolish the unequal relations through which it is caused and lived.</w:t>
      </w:r>
    </w:p>
    <w:p w14:paraId="26CE8BBF" w14:textId="77777777" w:rsidR="002904CF" w:rsidRPr="002904CF" w:rsidRDefault="002904CF" w:rsidP="002904CF">
      <w:pPr>
        <w:pStyle w:val="BookBody"/>
      </w:pPr>
      <w:r w:rsidRPr="002904CF">
        <w:t>The atmospheric graph now acquires a second temporal register. Deep-time curves show that life and geology have always changed atmospheric composition. The modern instrumental rise in carbon dioxide is different not because change itself is unnatural, but because its cause, rate, and social meaning are historically specific. Carbon stored over geological intervals is being returned rapidly to the active atmosphere-ocean system. A geological agency has become technically organized and partially self-aware. Knowledge of the effect arrives while the forcing continues, creating a form of responsibility absent from cyanobacteria. The comparison with ancient oxygenation clarifies causal scale but cannot excuse the present. Foresight changes what agency means.</w:t>
      </w:r>
    </w:p>
    <w:p w14:paraId="5CD3DF59" w14:textId="77777777" w:rsidR="002904CF" w:rsidRPr="002904CF" w:rsidRDefault="002904CF" w:rsidP="002904CF">
      <w:pPr>
        <w:pStyle w:val="BookBody"/>
      </w:pPr>
      <w:r w:rsidRPr="002904CF">
        <w:t>This is where the language of Gaia 2.0, developed by Lenton and Bruno Latour and discussed by Doolittle, becomes suggestive but dangerous. The phrase names a possible transition in which a technologically reflective species becomes aware of planetary feedbacks and deliberately acts within them.</w:t>
      </w:r>
      <w:r w:rsidRPr="002904CF">
        <w:rPr>
          <w:vertAlign w:val="superscript"/>
        </w:rPr>
        <w:t>21</w:t>
      </w:r>
      <w:r w:rsidRPr="002904CF">
        <w:t xml:space="preserve"> It does not mean that humanity assumes the cockpit of spaceship Earth or becomes the brain of Gaia. There is no unified pilot, complete dashboard, or external position from which the system can be mastered. Knowledge is distributed among institutions and contested publics; interventions have side effects; values conflict; nonhuman processes exceed prediction. Conscious self-regulation is therefore a political and epistemic problem before it is a planetary achievement.</w:t>
      </w:r>
    </w:p>
    <w:p w14:paraId="472C45AE" w14:textId="77777777" w:rsidR="002904CF" w:rsidRPr="002904CF" w:rsidRDefault="002904CF" w:rsidP="002904CF">
      <w:pPr>
        <w:pStyle w:val="BookBody"/>
      </w:pPr>
      <w:r w:rsidRPr="002904CF">
        <w:t>The temptation to convert Earth-system knowledge into managerial sovereignty repeats an old structure. A world rendered as variables appears available for optimization. Forests become carbon stocks, rivers water services, species units of diversity, and populations exposure values. Such representations can make damage legible and guide indispensable action. They can also erase meanings that do not fit the metric and transfer authority to those who control instruments and models. The answer is not to abandon quantification for reverence. It is to keep the operational representation connected to the lived and material worlds it abstracts: trees that are habitats and kin, rivers that are legal and sacred relations, communities whose losses cannot be averaged into a global benefit.</w:t>
      </w:r>
    </w:p>
    <w:p w14:paraId="0879F0B7" w14:textId="77777777" w:rsidR="002904CF" w:rsidRPr="002904CF" w:rsidRDefault="002904CF" w:rsidP="002904CF">
      <w:pPr>
        <w:pStyle w:val="BookBody"/>
      </w:pPr>
      <w:r w:rsidRPr="002904CF">
        <w:t>Earth system science is thus a further stage in the history of the operational universe, not its simple negation. The planet is made knowable through sensors, statistical series, remote observation, standardized units, computational grids, and scenarios. These operations disclose genuine relations. They also establish what counts as visible, comparable, and actionable. Earthrise gathered the globe for vision; the microbial mat opened it into layered metabolism; the atmospheric graph reconstructed its chemical history; Daisyworld isolated a feedback logic. The operational planet coordinates all four into an object of monitoring and intervention. The next question is who operates, under what mandate, and toward which norms.</w:t>
      </w:r>
    </w:p>
    <w:p w14:paraId="4914616A" w14:textId="77777777" w:rsidR="002904CF" w:rsidRPr="002904CF" w:rsidRDefault="002904CF" w:rsidP="002904CF">
      <w:pPr>
        <w:pStyle w:val="SectionHeading"/>
      </w:pPr>
      <w:r w:rsidRPr="002904CF">
        <w:t>Stability, Resilience, and Thresholds</w:t>
      </w:r>
    </w:p>
    <w:p w14:paraId="2DE9FD8B" w14:textId="77777777" w:rsidR="002904CF" w:rsidRPr="002904CF" w:rsidRDefault="002904CF" w:rsidP="002904CF">
      <w:pPr>
        <w:pStyle w:val="BookBody"/>
      </w:pPr>
      <w:r w:rsidRPr="002904CF">
        <w:t>The word “stability” requires one final clarification. A system may be stable because it returns after a disturbance, because its variables change slowly, because its organization persists while its components turn over, or because it remains within a bounded region while never returning to the same state. These are different properties. A forest can persist through seasonal change yet be transformed by repeated fire; a lake can absorb nutrient inputs until a threshold is crossed and a turbid state becomes self-maintaining; an atmosphere can remain habitable while its composition changes substantially. To call Earth stable across billions of years risks compressing these distinctions into a single reassuring duration.</w:t>
      </w:r>
    </w:p>
    <w:p w14:paraId="04B095C4" w14:textId="77777777" w:rsidR="002904CF" w:rsidRPr="002904CF" w:rsidRDefault="002904CF" w:rsidP="002904CF">
      <w:pPr>
        <w:pStyle w:val="BookBody"/>
      </w:pPr>
      <w:r w:rsidRPr="002904CF">
        <w:t>Resilience names the capacity to absorb disturbance without losing a characteristic organization, but it too is relative to scale and value. A social-ecological regime can be resilient while unjust; an invasive species can stabilize a degraded system; a desert may persist robustly after the conditions for a former grassland have disappeared. The question is never simply whether a system returns. It is what returns, for whom, and through which processes. In Earth-system discourse, resilience is most useful when paired with specified variables, spatial domains, timescales, and dependencies. Otherwise it becomes another name for the hope that the whole will take care of itself.</w:t>
      </w:r>
    </w:p>
    <w:p w14:paraId="056E32A2" w14:textId="77777777" w:rsidR="002904CF" w:rsidRPr="002904CF" w:rsidRDefault="002904CF" w:rsidP="002904CF">
      <w:pPr>
        <w:pStyle w:val="BookBody"/>
      </w:pPr>
      <w:r w:rsidRPr="002904CF">
        <w:t>Thresholds reveal why that hope is unsafe. Feedbacks can change strength or direction as ice retreats, soils dry, species disappear, or circulation shifts. Near a threshold, a small additional forcing may reorganize a system disproportionately; after crossing, reversing the original pressure may not restore the earlier state. The possibility of hysteresis means that repair can require a different path from degradation. Planetary boundaries do not claim perfect knowledge of every tipping point. They translate incomplete knowledge into a precautionary warning: the farther interacting systems are pushed from historically observed conditions, the greater the risk of changes that are difficult or impossible to reverse on human timescales.</w:t>
      </w:r>
    </w:p>
    <w:p w14:paraId="6F992DB1" w14:textId="77777777" w:rsidR="002904CF" w:rsidRPr="002904CF" w:rsidRDefault="002904CF" w:rsidP="002904CF">
      <w:pPr>
        <w:pStyle w:val="BookBody"/>
      </w:pPr>
      <w:r w:rsidRPr="002904CF">
        <w:t>The history of oxygen shows that crossing a threshold is not necessarily the end of life. It may be the end of a world. Anaerobic communities contracted while oxygen-tolerant and oxygen-using lineages expanded; the biosphere continued through a redistribution of possibility. This is exactly why the bare persistence of “life” is an inadequate norm for present action. Microbes may survive conditions in which forests, reefs, agriculture, coastal cities, and complex societies do not. Gaia can persist while innumerable organismic worlds vanish. A planetary ethic must care about differentiated forms of life, not merely the continuation of metabolism somewhere.</w:t>
      </w:r>
    </w:p>
    <w:p w14:paraId="627ACC05" w14:textId="77777777" w:rsidR="002904CF" w:rsidRPr="002904CF" w:rsidRDefault="002904CF" w:rsidP="002904CF">
      <w:pPr>
        <w:pStyle w:val="BookBody"/>
      </w:pPr>
      <w:r w:rsidRPr="002904CF">
        <w:t>The same point applies to claims that warming will produce compensating biological growth. Carbon dioxide can stimulate photosynthesis under some conditions, but response depends on water, temperature, nutrients, species, disturbance, and ecological reorganization. Forests exposed to heat, drought, fire, pests, and clearing can weaken as sinks or become sources. Ocean uptake moderates atmospheric increase while causing acidification and storing heat. One stabilizing effect can transfer damage into another domain. Coupling prevents single-variable optimism. A biosphere is not a reserve mechanism waiting to cancel whatever forcing industrial society produces.</w:t>
      </w:r>
    </w:p>
    <w:p w14:paraId="1BF1CB3D" w14:textId="77777777" w:rsidR="002904CF" w:rsidRPr="002904CF" w:rsidRDefault="002904CF" w:rsidP="002904CF">
      <w:pPr>
        <w:pStyle w:val="BookBody"/>
      </w:pPr>
      <w:r w:rsidRPr="002904CF">
        <w:t>Homeostasis, resilience, and habitability should therefore be treated as achievements with costs and limits. They arise from particular organizations of feedback, redundancy, diversity, and material flow. They can be strengthened or eroded. They do not imply equilibrium in every component, and they do not exempt human action from judgment. If Earth has remained inhabited, that fact records both the power of living systems to transform and adapt and the repeated disappearance of forms unable to pass through transformation. The survivor's view can too easily rename catastrophe as regulation.</w:t>
      </w:r>
    </w:p>
    <w:p w14:paraId="260E9A76" w14:textId="77777777" w:rsidR="002904CF" w:rsidRPr="002904CF" w:rsidRDefault="002904CF" w:rsidP="002904CF">
      <w:pPr>
        <w:pStyle w:val="BookBody"/>
      </w:pPr>
      <w:r w:rsidRPr="002904CF">
        <w:t>Gaia's most durable lesson is not that the planet will preserve us. It is that actions return through a field of dependencies too extensive for any actor to command. Waste becomes atmosphere, ocean chemistry, tissue, sediment, and inheritance. The local and the planetary are not rival scales but routes through which consequences travel. Feedback can turn intervention back upon its source, though not necessarily quickly, proportionately, or upon the same population that caused it. To live within a biosphere is to act in a medium that remembers materially, even when no planetary mind remembers at all.</w:t>
      </w:r>
    </w:p>
    <w:p w14:paraId="1948564B" w14:textId="77777777" w:rsidR="002904CF" w:rsidRPr="002904CF" w:rsidRDefault="002904CF" w:rsidP="002904CF">
      <w:pPr>
        <w:pStyle w:val="SectionHeading"/>
      </w:pPr>
      <w:r w:rsidRPr="002904CF">
        <w:t>The Contingency of a Living Planet</w:t>
      </w:r>
    </w:p>
    <w:p w14:paraId="07234248" w14:textId="77777777" w:rsidR="002904CF" w:rsidRPr="002904CF" w:rsidRDefault="002904CF" w:rsidP="002904CF">
      <w:pPr>
        <w:pStyle w:val="BookBody"/>
      </w:pPr>
      <w:r w:rsidRPr="002904CF">
        <w:t>The phrase “living planet” can now be retained, provided its grammar remains explicit. Earth is a planet on which life is not external to surface physics and chemistry. Organisms capture energy, redirect reactions, circulate elements, construct habitats, form symbioses, and alter selection pressures. Their effects link across space and accumulate across time. Some couplings become feedbacks that stabilize ranges; others amplify change. The biosphere has a real systemic organization because materials and consequences move among its parts, not because the parts obey a central command. Planetary life is an emergent history of relations.</w:t>
      </w:r>
    </w:p>
    <w:p w14:paraId="6EB27F1F" w14:textId="77777777" w:rsidR="002904CF" w:rsidRPr="002904CF" w:rsidRDefault="002904CF" w:rsidP="002904CF">
      <w:pPr>
        <w:pStyle w:val="BookBody"/>
      </w:pPr>
      <w:r w:rsidRPr="002904CF">
        <w:t>This formulation preserves the scientific gain of Gaia while refusing three inflations. The first is inflation from effect to control. Life affects nearly every surface process, but control requires a specified feedback and a variable kept within a range. The second is inflation from regulation to organism. A system can exhibit homeostasis without possessing the integrated metabolism, reproduction, normativity, and inwardness of an organism. The third is inflation from organism to providence. Even an organism acts for its own continuation under finite conditions; it does not guarantee justice or flourishing to everything within it. No planetary evidence establishes a purpose that reconciles extinction, suffering, and ecological conflict within a higher good.</w:t>
      </w:r>
    </w:p>
    <w:p w14:paraId="50C3C697" w14:textId="77777777" w:rsidR="002904CF" w:rsidRPr="002904CF" w:rsidRDefault="002904CF" w:rsidP="002904CF">
      <w:pPr>
        <w:pStyle w:val="BookBody"/>
      </w:pPr>
      <w:r w:rsidRPr="002904CF">
        <w:t>The refusal of providence does not leave a dead mechanism. On the contrary, it makes the achievements of life more remarkable because they are contingent. Photosynthesis, nitrogen fixation, eukaryotic cells, multicellularity, soils, reefs, forests, and reflective intelligence were not contained as promises in the early Earth. They emerged through histories that could have gone otherwise. Each opened possibilities and closed others. The world became richer in differentiated milieus while remaining vulnerable to interruption. Contingency is not meaninglessness. It is the condition under which living activity can genuinely make a difference.</w:t>
      </w:r>
    </w:p>
    <w:p w14:paraId="01A6724A" w14:textId="77777777" w:rsidR="002904CF" w:rsidRPr="002904CF" w:rsidRDefault="002904CF" w:rsidP="002904CF">
      <w:pPr>
        <w:pStyle w:val="BookBody"/>
      </w:pPr>
      <w:r w:rsidRPr="002904CF">
        <w:t>Nor does the absence of planetary intention make regulation unreal. A city can have traffic patterns no driver intends; a language has structures no speaker designed; an ecosystem can cycle nutrients without a council of organisms. Emergence is not a mystical supplement to causation. It names patterns whose properties depend on organized interactions and cannot be assigned to one isolated participant. Explanation moves between levels: molecular reactions, organismic behavior, population change, community interaction, atmospheric transport, and geological storage. The higher-level pattern is real when it constrains and informs inquiry, but it remains accountable to the lower-level processes through which it exists.</w:t>
      </w:r>
    </w:p>
    <w:p w14:paraId="697B35C8" w14:textId="77777777" w:rsidR="002904CF" w:rsidRPr="002904CF" w:rsidRDefault="002904CF" w:rsidP="002904CF">
      <w:pPr>
        <w:pStyle w:val="BookBody"/>
      </w:pPr>
      <w:r w:rsidRPr="002904CF">
        <w:t>The four witnesses can therefore be read together. Earthrise gives planetary finitude a sensible form but hides the work that sustains it. The microbial mat shows small lives producing layered worlds through exchange. The atmospheric graph makes their accumulated consequences legible across deep time and the industrial present. Daisyworld demonstrates how local differential growth can generate global negative feedback without foresight. None by itself establishes Gaia as organism or person. Together they support a stronger and more careful judgment: the material conditions of life are partly products of life, and the planet's relative habitability is a historical relation rather than a ready-made container.</w:t>
      </w:r>
    </w:p>
    <w:p w14:paraId="36CB1CA3" w14:textId="77777777" w:rsidR="002904CF" w:rsidRPr="002904CF" w:rsidRDefault="002904CF" w:rsidP="002904CF">
      <w:pPr>
        <w:pStyle w:val="BookBody"/>
      </w:pPr>
      <w:r w:rsidRPr="002904CF">
        <w:t>That judgment changes the meaning of environmental loss. If the world were guaranteed by cosmic order, damage might be interpreted as a temporary deviation within a larger harmony. If Earth were an inert stage, extinction would remove occupants while leaving the stage essentially intact. The biosphere disallows both consolations. The loss of organisms can alter soils, nutrient cycles, food webs, water movement, carbon storage, and future evolutionary possibilities. Extinction ends a mode of access, as the previous chapter argued, and it can also remove a material function through which other worlds were sustained. The living planet is not only a collection of lives; it is the inheritance their relations have built.</w:t>
      </w:r>
    </w:p>
    <w:p w14:paraId="29167C7F" w14:textId="77777777" w:rsidR="002904CF" w:rsidRPr="002904CF" w:rsidRDefault="002904CF" w:rsidP="002904CF">
      <w:pPr>
        <w:pStyle w:val="BookBody"/>
      </w:pPr>
      <w:r w:rsidRPr="002904CF">
        <w:t>Responsibility begins inside this inheritance. Humans did not create the biosphere and cannot command all its feedbacks. They have nevertheless acquired powers capable of changing atmospheric composition, moving species, transforming land, synthesizing persistent compounds, and accelerating extinction. They have also acquired partial knowledge of consequences through the technical networks that measure the planet. Power and knowledge remain incomplete, but incompleteness is not innocence. The absence of a perfect model does not erase well-established causal relations, and the absence of planetary consensus does not suspend the material effects of delay.</w:t>
      </w:r>
    </w:p>
    <w:p w14:paraId="5EB2E176" w14:textId="77777777" w:rsidR="002904CF" w:rsidRPr="002904CF" w:rsidRDefault="002904CF" w:rsidP="002904CF">
      <w:pPr>
        <w:pStyle w:val="BookBody"/>
      </w:pPr>
      <w:r w:rsidRPr="002904CF">
        <w:t>The appropriate ethic cannot be extracted automatically from Earth-system science, yet it must be answerable to it. Facts about thresholds do not decide how burdens should be shared; climate sensitivity does not define justice; biodiversity indicators do not tell a community what it owes a place. But ethical and political proposals that ignore physical feedbacks become fantasies. Conversely, policies that treat measured stability as the only good can sacrifice persons, cultures, and nonhuman worlds to an abstract system. A livable future requires negotiation between planetary constraints and plural meanings, with neither reduced to the other.</w:t>
      </w:r>
    </w:p>
    <w:p w14:paraId="0F805718" w14:textId="77777777" w:rsidR="002904CF" w:rsidRPr="002904CF" w:rsidRDefault="002904CF" w:rsidP="002904CF">
      <w:pPr>
        <w:pStyle w:val="BookBody"/>
      </w:pPr>
      <w:r w:rsidRPr="002904CF">
        <w:t>This is also why “saving the planet” is both excessive and insufficient. Earth as a rocky body will persist through changes that could devastate human societies and much existing life. The object of care is not planetary existence in the astronomical sense. It is the vulnerable configuration of atmosphere, ocean, climate, soil, species, and institutions within which diverse lives can continue to make worlds. That configuration is neither perfectly stable nor wholly under human control. It can be damaged, defended, and transformed. The rhetoric of saving becomes responsible only when it names what is at risk and who bears the costs of action and inaction.</w:t>
      </w:r>
    </w:p>
    <w:p w14:paraId="4999E46C" w14:textId="77777777" w:rsidR="002904CF" w:rsidRPr="002904CF" w:rsidRDefault="002904CF" w:rsidP="002904CF">
      <w:pPr>
        <w:pStyle w:val="BookBody"/>
      </w:pPr>
      <w:r w:rsidRPr="002904CF">
        <w:t>The death of the living cosmos does not end with the discovery of a living Earth. Gaia cannot simply replace the ordered heavens as a new total being that guarantees meaning. The biosphere has no demonstrated plan for humanity, and its feedbacks do not promise rescue from consequences. What returns is more limited and more demanding: a material world in which life is causally creative, dependence is constitutive, and significance is carried by precarious relations. The planet is not sacred because science has found it to be a person. It becomes ethically unavoidable because every known world of life participates in its finite history.</w:t>
      </w:r>
    </w:p>
    <w:p w14:paraId="2FDCDF9F" w14:textId="77777777" w:rsidR="002904CF" w:rsidRPr="002904CF" w:rsidRDefault="002904CF" w:rsidP="002904CF">
      <w:pPr>
        <w:pStyle w:val="BookBody"/>
      </w:pPr>
      <w:r w:rsidRPr="002904CF">
        <w:t>The next chapter must follow the means by which that finite history is now rendered actionable. The Earth known to contemporary power is an operational planet: observed by satellites, divided into grids, translated into data streams, projected through models, priced through markets, and governed through targets, scenarios, and risk thresholds. These practices can disclose dangers that no local witness could see. They can also detach management from the lives and places represented. The problem is no longer only whether life makes a world, or whether life makes a planet. It is how technical systems make the planet present for intervention—and whether the forms of control they enable can remain answerable to the living relations they claim to secure.</w:t>
      </w:r>
      <w:r w:rsidRPr="002904CF">
        <w:rPr>
          <w:vertAlign w:val="superscript"/>
        </w:rPr>
        <w:t>22</w:t>
      </w:r>
    </w:p>
    <w:p w14:paraId="477BAF2D" w14:textId="77777777" w:rsidR="002904CF" w:rsidRPr="002904CF" w:rsidRDefault="002904CF" w:rsidP="002904CF">
      <w:pPr>
        <w:pStyle w:val="NotesHeading"/>
      </w:pPr>
      <w:r w:rsidRPr="002904CF">
        <w:t>Notes</w:t>
      </w:r>
    </w:p>
    <w:p w14:paraId="6EFC3812" w14:textId="77777777" w:rsidR="002904CF" w:rsidRDefault="002904CF" w:rsidP="002904CF">
      <w:pPr>
        <w:pStyle w:val="NoteEntry"/>
      </w:pPr>
      <w:r w:rsidRPr="002904CF">
        <w:t>1. NASA, “Apollo 8's Iconic Earthrise,” NASA Science, image AS08-14-2383; NASA Johnson Space Center, Gateway to Astronaut Photography of Earth, mission AS08, roll 14, frame 2383. The image was made by William Anders on December 24, 1968, from lunar orbit. See https://science.nasa.gov/resource/apollo-8s-iconic-earthrise/ and https://eol.jsc.nasa.gov/SearchPhotos/photo.pl?mission=AS08&amp;roll=14&amp;frame=2383.</w:t>
      </w:r>
    </w:p>
    <w:p w14:paraId="5D000BDD" w14:textId="77777777" w:rsidR="002904CF" w:rsidRDefault="002904CF" w:rsidP="002904CF">
      <w:pPr>
        <w:pStyle w:val="NoteEntry"/>
      </w:pPr>
      <w:r w:rsidRPr="002904CF">
        <w:t xml:space="preserve">2. Vladimir I. Vernadsky, </w:t>
      </w:r>
      <w:r w:rsidRPr="002904CF">
        <w:rPr>
          <w:i/>
        </w:rPr>
        <w:t>The Biosphere</w:t>
      </w:r>
      <w:r w:rsidRPr="002904CF">
        <w:t>, trans. David B. Langmuir, rev. and annotated Mark A. S. McMenamin (New York: Copernicus/Springer, 1998), 39–59. Vernadsky's “living matter” is a biogeochemical category for the aggregate of organisms and their planetary work, not a claim that life is a separate chemical substance.</w:t>
      </w:r>
    </w:p>
    <w:p w14:paraId="65D40AE7" w14:textId="77777777" w:rsidR="002904CF" w:rsidRPr="002904CF" w:rsidRDefault="002904CF" w:rsidP="002904CF">
      <w:pPr>
        <w:pStyle w:val="NoteEntry"/>
      </w:pPr>
      <w:r w:rsidRPr="002904CF">
        <w:t xml:space="preserve">3. Vernadsky, </w:t>
      </w:r>
      <w:r w:rsidRPr="002904CF">
        <w:rPr>
          <w:i/>
        </w:rPr>
        <w:t>The Biosphere</w:t>
      </w:r>
      <w:r w:rsidRPr="002904CF">
        <w:t>, 44–50, quotation at 50. See also 44, where the biosphere is described as collecting, redistributing, and converting solar energy into forms capable of terrestrial work.</w:t>
      </w:r>
    </w:p>
    <w:p w14:paraId="12B33628" w14:textId="77777777" w:rsidR="002904CF" w:rsidRDefault="002904CF" w:rsidP="002904CF">
      <w:pPr>
        <w:pStyle w:val="NoteEntry"/>
      </w:pPr>
      <w:r w:rsidRPr="002904CF">
        <w:t xml:space="preserve">4. Vernadsky, </w:t>
      </w:r>
      <w:r w:rsidRPr="002904CF">
        <w:rPr>
          <w:i/>
        </w:rPr>
        <w:t>The Biosphere</w:t>
      </w:r>
      <w:r w:rsidRPr="002904CF">
        <w:t>, 57–58, quotation at 58. The surrounding passage emphasizes life's continuous disturbance of chemical inertia and its participation in the mechanism of Earth's crust.</w:t>
      </w:r>
    </w:p>
    <w:p w14:paraId="00316823" w14:textId="77777777" w:rsidR="002904CF" w:rsidRDefault="002904CF" w:rsidP="002904CF">
      <w:pPr>
        <w:pStyle w:val="NoteEntry"/>
      </w:pPr>
      <w:r w:rsidRPr="002904CF">
        <w:t xml:space="preserve">5. Tim Lenton and Andrew Watson, </w:t>
      </w:r>
      <w:r w:rsidRPr="002904CF">
        <w:rPr>
          <w:i/>
        </w:rPr>
        <w:t>Revolutions That Made the Earth</w:t>
      </w:r>
      <w:r w:rsidRPr="002904CF">
        <w:t xml:space="preserve"> (Oxford: Oxford University Press, 2011), 10–22. For microbial mats and stromatolites as evidence of ancient microbial communities, see especially their discussion of early ecosystems and the geological record.</w:t>
      </w:r>
    </w:p>
    <w:p w14:paraId="0274C4C2" w14:textId="77777777" w:rsidR="002904CF" w:rsidRDefault="002904CF" w:rsidP="002904CF">
      <w:pPr>
        <w:pStyle w:val="NoteEntry"/>
      </w:pPr>
      <w:r w:rsidRPr="002904CF">
        <w:t xml:space="preserve">6. Lenton and Watson, </w:t>
      </w:r>
      <w:r w:rsidRPr="002904CF">
        <w:rPr>
          <w:i/>
        </w:rPr>
        <w:t>Revolutions That Made the Earth</w:t>
      </w:r>
      <w:r w:rsidRPr="002904CF">
        <w:t>, 18–34. Their account distinguishes the evolution of oxygenic photosynthesis from the later accumulation of oxygen and follows the consequences through ocean chemistry, atmospheric change, and new metabolic opportunities.</w:t>
      </w:r>
    </w:p>
    <w:p w14:paraId="54AD093D" w14:textId="77777777" w:rsidR="002904CF" w:rsidRDefault="002904CF" w:rsidP="002904CF">
      <w:pPr>
        <w:pStyle w:val="NoteEntry"/>
      </w:pPr>
      <w:r w:rsidRPr="002904CF">
        <w:t xml:space="preserve">7. Lynn Margulis, </w:t>
      </w:r>
      <w:r w:rsidRPr="002904CF">
        <w:rPr>
          <w:i/>
        </w:rPr>
        <w:t>The Symbiotic Planet: A New Look at Evolution</w:t>
      </w:r>
      <w:r w:rsidRPr="002904CF">
        <w:t xml:space="preserve"> (London: Phoenix, 1999), 31–64; Lenton and Watson, </w:t>
      </w:r>
      <w:r w:rsidRPr="002904CF">
        <w:rPr>
          <w:i/>
        </w:rPr>
        <w:t>Revolutions That Made the Earth</w:t>
      </w:r>
      <w:r w:rsidRPr="002904CF">
        <w:t>, 39–43. The bacterial ancestry of mitochondria and chloroplasts supplies the most strongly established cases of symbiogenesis.</w:t>
      </w:r>
    </w:p>
    <w:p w14:paraId="0D484B4F" w14:textId="77777777" w:rsidR="002904CF" w:rsidRDefault="002904CF" w:rsidP="002904CF">
      <w:pPr>
        <w:pStyle w:val="NoteEntry"/>
      </w:pPr>
      <w:r w:rsidRPr="002904CF">
        <w:t xml:space="preserve">8. Margulis, </w:t>
      </w:r>
      <w:r w:rsidRPr="002904CF">
        <w:rPr>
          <w:i/>
        </w:rPr>
        <w:t>The Symbiotic Planet</w:t>
      </w:r>
      <w:r w:rsidRPr="002904CF">
        <w:t>, 7–16, quotation at 12. Her formulation stresses merger, coordinated reproduction, and the emergence of new multiunit individuals rather than temporary ecological association alone.</w:t>
      </w:r>
    </w:p>
    <w:p w14:paraId="297DC74E" w14:textId="77777777" w:rsidR="002904CF" w:rsidRDefault="002904CF" w:rsidP="002904CF">
      <w:pPr>
        <w:pStyle w:val="NoteEntry"/>
      </w:pPr>
      <w:r w:rsidRPr="002904CF">
        <w:t xml:space="preserve">9. James E. Lovelock and Lynn Margulis, “Atmospheric Homeostasis by and for the Biosphere: The Gaia Hypothesis,” </w:t>
      </w:r>
      <w:r w:rsidRPr="002904CF">
        <w:rPr>
          <w:i/>
        </w:rPr>
        <w:t>Tellus</w:t>
      </w:r>
      <w:r w:rsidRPr="002904CF">
        <w:t xml:space="preserve"> 26, nos. 1–2 (1974): 2–10, quotations at 2. The article presents planetary homeostasis as a hypothesis and treats the atmosphere as actively coupled to the biosphere.</w:t>
      </w:r>
    </w:p>
    <w:p w14:paraId="5953B840" w14:textId="77777777" w:rsidR="002904CF" w:rsidRDefault="002904CF" w:rsidP="002904CF">
      <w:pPr>
        <w:pStyle w:val="NoteEntry"/>
      </w:pPr>
      <w:r w:rsidRPr="002904CF">
        <w:t xml:space="preserve">10. Margulis, </w:t>
      </w:r>
      <w:r w:rsidRPr="002904CF">
        <w:rPr>
          <w:i/>
        </w:rPr>
        <w:t>The Symbiotic Planet</w:t>
      </w:r>
      <w:r w:rsidRPr="002904CF">
        <w:t>, 141–60, quotation at 149. Margulis distinguishes planetary physiology from the claim that Earth is a conventionally selected organism and emphasizes regulation as an emergent effect of interactions.</w:t>
      </w:r>
    </w:p>
    <w:p w14:paraId="7BD062F0" w14:textId="77777777" w:rsidR="002904CF" w:rsidRDefault="002904CF" w:rsidP="002904CF">
      <w:pPr>
        <w:pStyle w:val="NoteEntry"/>
      </w:pPr>
      <w:r w:rsidRPr="002904CF">
        <w:t xml:space="preserve">11. Lenton and Watson, </w:t>
      </w:r>
      <w:r w:rsidRPr="002904CF">
        <w:rPr>
          <w:i/>
        </w:rPr>
        <w:t>Revolutions That Made the Earth</w:t>
      </w:r>
      <w:r w:rsidRPr="002904CF">
        <w:t xml:space="preserve">, 105–26, especially 112–20; Andrew J. Watson and James E. Lovelock, “Biological Homeostasis of the Global Environment: The Parable of Daisyworld,” </w:t>
      </w:r>
      <w:r w:rsidRPr="002904CF">
        <w:rPr>
          <w:i/>
        </w:rPr>
        <w:t>Tellus B</w:t>
      </w:r>
      <w:r w:rsidRPr="002904CF">
        <w:t xml:space="preserve"> 35, no. 4 (1983): 284–89. Daisyworld demonstrates a possible mechanism, not the actual sufficiency of terrestrial regulation.</w:t>
      </w:r>
    </w:p>
    <w:p w14:paraId="04707C6A" w14:textId="77777777" w:rsidR="002904CF" w:rsidRDefault="002904CF" w:rsidP="002904CF">
      <w:pPr>
        <w:pStyle w:val="NoteEntry"/>
      </w:pPr>
      <w:r w:rsidRPr="002904CF">
        <w:t xml:space="preserve">12. Lenton and Watson, </w:t>
      </w:r>
      <w:r w:rsidRPr="002904CF">
        <w:rPr>
          <w:i/>
        </w:rPr>
        <w:t>Revolutions That Made the Earth</w:t>
      </w:r>
      <w:r w:rsidRPr="002904CF">
        <w:t>, 105–11. “Lucky Gaia” and “Probable Gaia” distinguish contingent survival from the claim that general processes make regulatory feedbacks more likely to predominate.</w:t>
      </w:r>
    </w:p>
    <w:p w14:paraId="6A619F49" w14:textId="77777777" w:rsidR="002904CF" w:rsidRDefault="002904CF" w:rsidP="002904CF">
      <w:pPr>
        <w:pStyle w:val="NoteEntry"/>
      </w:pPr>
      <w:r w:rsidRPr="002904CF">
        <w:t xml:space="preserve">13. W. Ford Doolittle, </w:t>
      </w:r>
      <w:r w:rsidRPr="002904CF">
        <w:rPr>
          <w:i/>
        </w:rPr>
        <w:t>Darwinizing Gaia: Natural Selection and Multispecies Community Evolution</w:t>
      </w:r>
      <w:r w:rsidRPr="002904CF">
        <w:t xml:space="preserve"> (Cambridge, MA: MIT Press, 2024), 1–16. Doolittle draws on James Kirchner's typology to separate influential, coevolutionary, homeostatic, teleological, and optimizing Gaia claims.</w:t>
      </w:r>
    </w:p>
    <w:p w14:paraId="3E2896E0" w14:textId="77777777" w:rsidR="002904CF" w:rsidRDefault="002904CF" w:rsidP="002904CF">
      <w:pPr>
        <w:pStyle w:val="NoteEntry"/>
      </w:pPr>
      <w:r w:rsidRPr="002904CF">
        <w:t xml:space="preserve">14. Doolittle, </w:t>
      </w:r>
      <w:r w:rsidRPr="002904CF">
        <w:rPr>
          <w:i/>
        </w:rPr>
        <w:t>Darwinizing Gaia</w:t>
      </w:r>
      <w:r w:rsidRPr="002904CF">
        <w:t>, 127–53, especially 135. His extended replicator/interactor account is offered to make Gaian adaptation theoretically possible; he repeatedly distinguishes legitimation from empirical proof.</w:t>
      </w:r>
    </w:p>
    <w:p w14:paraId="3630E3AC" w14:textId="77777777" w:rsidR="002904CF" w:rsidRDefault="002904CF" w:rsidP="002904CF">
      <w:pPr>
        <w:pStyle w:val="NoteEntry"/>
      </w:pPr>
      <w:r w:rsidRPr="002904CF">
        <w:t xml:space="preserve">15. Margulis, </w:t>
      </w:r>
      <w:r w:rsidRPr="002904CF">
        <w:rPr>
          <w:i/>
        </w:rPr>
        <w:t>The Symbiotic Planet</w:t>
      </w:r>
      <w:r w:rsidRPr="002904CF">
        <w:t xml:space="preserve">, 143–60; Mohammad Shamsudduha, </w:t>
      </w:r>
      <w:r w:rsidRPr="002904CF">
        <w:rPr>
          <w:i/>
        </w:rPr>
        <w:t>An Analysis of James E. Lovelock's Gaia: A New Look at Life on Earth</w:t>
      </w:r>
      <w:r w:rsidRPr="002904CF">
        <w:t xml:space="preserve"> (London: Macat, 2017), 21–45. The latter is a secondary analysis, not Lovelock's original book, and is used here only for the hypothesis's argumentative structure and reception.</w:t>
      </w:r>
    </w:p>
    <w:p w14:paraId="0C9AFE3A" w14:textId="77777777" w:rsidR="002904CF" w:rsidRDefault="002904CF" w:rsidP="002904CF">
      <w:pPr>
        <w:pStyle w:val="NoteEntry"/>
      </w:pPr>
      <w:r w:rsidRPr="002904CF">
        <w:t xml:space="preserve">16. Hans Jonas, </w:t>
      </w:r>
      <w:r w:rsidRPr="002904CF">
        <w:rPr>
          <w:i/>
        </w:rPr>
        <w:t>The Phenomenon of Life: Toward a Philosophical Biology</w:t>
      </w:r>
      <w:r w:rsidRPr="002904CF">
        <w:t xml:space="preserve"> (Evanston, IL: Northwestern University Press, 2001), 64–92. Jonas develops metabolism as the continuous material exchange through which a living form maintains its identity.</w:t>
      </w:r>
    </w:p>
    <w:p w14:paraId="3117A826" w14:textId="77777777" w:rsidR="002904CF" w:rsidRDefault="002904CF" w:rsidP="002904CF">
      <w:pPr>
        <w:pStyle w:val="NoteEntry"/>
      </w:pPr>
      <w:r w:rsidRPr="002904CF">
        <w:t xml:space="preserve">17. Jonas, </w:t>
      </w:r>
      <w:r w:rsidRPr="002904CF">
        <w:rPr>
          <w:i/>
        </w:rPr>
        <w:t>The Phenomenon of Life</w:t>
      </w:r>
      <w:r w:rsidRPr="002904CF">
        <w:t>, 43–47, quotation at 46. Jonas treats organism and environment as a system while preserving the organism's distinctive mode of self-maintenance.</w:t>
      </w:r>
    </w:p>
    <w:p w14:paraId="739A92AB" w14:textId="77777777" w:rsidR="002904CF" w:rsidRPr="002904CF" w:rsidRDefault="002904CF" w:rsidP="002904CF">
      <w:pPr>
        <w:pStyle w:val="NoteEntry"/>
      </w:pPr>
      <w:r w:rsidRPr="002904CF">
        <w:t xml:space="preserve">18. Jonas, </w:t>
      </w:r>
      <w:r w:rsidRPr="002904CF">
        <w:rPr>
          <w:i/>
        </w:rPr>
        <w:t>The Phenomenon of Life</w:t>
      </w:r>
      <w:r w:rsidRPr="002904CF">
        <w:t>, 75–92, quotation at 91. The inference from organismic teleology to inwardness is Jonas's philosophical argument; it should not be treated as an established result of Earth system science.</w:t>
      </w:r>
    </w:p>
    <w:p w14:paraId="0BF9944C" w14:textId="77777777" w:rsidR="002904CF" w:rsidRDefault="002904CF" w:rsidP="002904CF">
      <w:pPr>
        <w:pStyle w:val="NoteEntry"/>
      </w:pPr>
      <w:r w:rsidRPr="002904CF">
        <w:t xml:space="preserve">19. Katherine Richardson et al., “Earth beyond Six of Nine Planetary Boundaries,” </w:t>
      </w:r>
      <w:r w:rsidRPr="002904CF">
        <w:rPr>
          <w:i/>
        </w:rPr>
        <w:t>Science Advances</w:t>
      </w:r>
      <w:r w:rsidRPr="002904CF">
        <w:t xml:space="preserve"> 9, no. 37 (2023): eadh2458, https://doi.org/10.1126/sciadv.adh2458. The authors report six transgressed boundaries and emphasize interactions across physical, chemical, and biological domains.</w:t>
      </w:r>
    </w:p>
    <w:p w14:paraId="00BAE9ED" w14:textId="77777777" w:rsidR="002904CF" w:rsidRDefault="002904CF" w:rsidP="002904CF">
      <w:pPr>
        <w:pStyle w:val="NoteEntry"/>
      </w:pPr>
      <w:r w:rsidRPr="002904CF">
        <w:t xml:space="preserve">20. Intergovernmental Panel on Climate Change, </w:t>
      </w:r>
      <w:r w:rsidRPr="002904CF">
        <w:rPr>
          <w:i/>
        </w:rPr>
        <w:t>Climate Change 2023: Synthesis Report—Summary for Policymakers</w:t>
      </w:r>
      <w:r w:rsidRPr="002904CF">
        <w:t xml:space="preserve"> (Geneva: IPCC, 2023), 4–10, especially statement A.1. The assessed 2011–2020 warming relative to 1850–1900 is 1.1°C, with attribution to human activities stated as unequivocal.</w:t>
      </w:r>
    </w:p>
    <w:p w14:paraId="1DACD30F" w14:textId="77777777" w:rsidR="002904CF" w:rsidRDefault="002904CF" w:rsidP="002904CF">
      <w:pPr>
        <w:pStyle w:val="NoteEntry"/>
      </w:pPr>
      <w:r w:rsidRPr="002904CF">
        <w:t xml:space="preserve">21. Doolittle, </w:t>
      </w:r>
      <w:r w:rsidRPr="002904CF">
        <w:rPr>
          <w:i/>
        </w:rPr>
        <w:t>Darwinizing Gaia</w:t>
      </w:r>
      <w:r w:rsidRPr="002904CF">
        <w:t>, 171–78. Doolittle discusses the “Gaia 2.0” proposal and its turn toward deliberate self-regulation while questioning who the relevant collective agent could be.</w:t>
      </w:r>
    </w:p>
    <w:p w14:paraId="0A29B581" w14:textId="77777777" w:rsidR="002904CF" w:rsidRPr="002904CF" w:rsidRDefault="002904CF" w:rsidP="002904CF">
      <w:pPr>
        <w:pStyle w:val="NoteEntry"/>
      </w:pPr>
      <w:r w:rsidRPr="002904CF">
        <w:t xml:space="preserve">22. IPCC, </w:t>
      </w:r>
      <w:r w:rsidRPr="002904CF">
        <w:rPr>
          <w:i/>
        </w:rPr>
        <w:t>Climate Change 2023: Synthesis Report—Summary for Policymakers</w:t>
      </w:r>
      <w:r w:rsidRPr="002904CF">
        <w:t>, 42–47; Richardson et al., “Earth beyond Six of Nine Planetary Boundaries,” 1–13. Both syntheses depend on coordinated observations, models, indicators, scenarios, and quantified uncertainty; these mediations become the point of departure for Chapter 23.</w:t>
      </w:r>
    </w:p>
    <w:p w14:paraId="7D24C6AD" w14:textId="77777777" w:rsidR="00F93551" w:rsidRDefault="00DD7D58">
      <w:pPr>
        <w:pStyle w:val="PartHeading"/>
      </w:pPr>
      <w:bookmarkStart w:id="29" w:name="toc_part_23"/>
      <w:r>
        <w:t>Part VII</w:t>
      </w:r>
      <w:r>
        <w:br/>
      </w:r>
      <w:r>
        <w:rPr>
          <w:sz w:val="40"/>
        </w:rPr>
        <w:t>The Operational World</w:t>
      </w:r>
      <w:bookmarkEnd w:id="29"/>
    </w:p>
    <w:p w14:paraId="06E6D4DF" w14:textId="77777777" w:rsidR="00DD7D58" w:rsidRDefault="00DD7D58" w:rsidP="00DE35F5">
      <w:pPr>
        <w:pStyle w:val="ChapterHeading"/>
      </w:pPr>
      <w:bookmarkStart w:id="30" w:name="toc_chapter_23"/>
      <w:r>
        <w:rPr>
          <w:sz w:val="28"/>
        </w:rPr>
        <w:t>Chapter 23</w:t>
      </w:r>
      <w:r>
        <w:rPr>
          <w:sz w:val="28"/>
        </w:rPr>
        <w:br/>
      </w:r>
      <w:r>
        <w:t>The Quantified and Operational Planet</w:t>
      </w:r>
      <w:bookmarkEnd w:id="30"/>
    </w:p>
    <w:p w14:paraId="60812E2D" w14:textId="77777777" w:rsidR="00DD7D58" w:rsidRDefault="00DD7D58" w:rsidP="00DE35F5">
      <w:pPr>
        <w:pStyle w:val="SectionHeading"/>
      </w:pPr>
      <w:r>
        <w:t>The Form on the Table</w:t>
      </w:r>
    </w:p>
    <w:p w14:paraId="56D552E8" w14:textId="77777777" w:rsidR="00DD7D58" w:rsidRDefault="00DD7D58" w:rsidP="00DE35F5">
      <w:pPr>
        <w:pStyle w:val="BookBody"/>
      </w:pPr>
      <w:r>
        <w:t>The Earth known to contemporary power is an operational planet: observed from above, divided into grids, translated into data streams, projected through models, and governed through targets, scenarios, and thresholds. Yet the operational planet did not begin with the satellite. It began wherever a place, a person, or an event had to be made answerable to a form. Imagine a census schedule laid across a kitchen table. Its paper is thin, its boxes regular, its demands apparently modest: name, age, sex, occupat</w:t>
      </w:r>
      <w:r>
        <w:t>ion, relation to household head, birthplace, residence. The house around it is dense with things the schedule cannot see—debts and dependencies, remembered migrations, informal work, disputed kinship, sickness borne without diagnosis, rooms occupied by several families at different hours. The enumerator must nevertheless decide what counts as an answer. The resident must translate a life into entries that can travel without the life attached. Ink enters a cell; the cell enters a column; the column joins tho</w:t>
      </w:r>
      <w:r>
        <w:t xml:space="preserve">usands of others; a population appears. </w:t>
      </w:r>
    </w:p>
    <w:p w14:paraId="50DA70F6" w14:textId="77777777" w:rsidR="00DD7D58" w:rsidRDefault="00DD7D58" w:rsidP="00DE35F5">
      <w:pPr>
        <w:pStyle w:val="BookBody"/>
      </w:pPr>
      <w:r>
        <w:t>Nothing here is merely fictive</w:t>
      </w:r>
      <w:r>
        <w:t>. People do have ages, dwellings, jobs, and relations. But neither is the form a transparent window. It is a device for establishing which similarities will matter, which differences will be retained, and which ambiguities must be resolved before the resulting persons can be added together. Ian Hacking’s comparison of the first and tenth United States censuses captures the expansion: four household questions became 13,010 questions distributed across schedules for persons, firms, farms, hospitals, churches,</w:t>
      </w:r>
      <w:r>
        <w:t xml:space="preserve"> and other institutions. The increase marks more than bureaucratic curiosity. It records the construction of a world in which the state could act through increasingly differentiated populations.</w:t>
      </w:r>
      <w:r>
        <w:rPr>
          <w:vertAlign w:val="superscript"/>
        </w:rPr>
        <w:t>1</w:t>
      </w:r>
    </w:p>
    <w:p w14:paraId="672C6FAC" w14:textId="77777777" w:rsidR="00DD7D58" w:rsidRDefault="00DD7D58" w:rsidP="00DE35F5">
      <w:pPr>
        <w:pStyle w:val="BookBody"/>
      </w:pPr>
      <w:r>
        <w:t xml:space="preserve">The form therefore belongs in the foreground of this chapter as a material witness. It does not simply represent a population already waiting in the world. It mediates between singular lives and administrative action. A census can allocate legislative seats, direct sanitation, identify famine, plan schools, expose inequality, or justify exclusion. The same enumerative capacity that makes exploitation visible can also encode racial hierarchy; the same occupational categories that disclose dangerous work can </w:t>
      </w:r>
      <w:r>
        <w:t xml:space="preserve">render domestic labor statistically marginal. What the form can do depends on who designed it, how its classifications were negotiated, who is compelled to answer, which institutions receive its totals, and whether those represented can contest the categories under which they appear. The politics does not enter after the counting. It is already present in the decision that a household, rather than a kin network, a workplace, a neighborhood, or a migrating route, will </w:t>
      </w:r>
      <w:r>
        <w:t>be the basic unit. Yet the form’s politics is not exhausted by suspicion. A population that is never counted may be easier to neglect. Mortality tables, censuses, and public-health registers have made injuries publicly undeniable that private testimony alone could not force distant administrations to acknowledge. The problem is not whether abstraction should be abolished. It is how abstraction acquires authority, what kinds of reality it enables, and to whom its operations remain answerable.</w:t>
      </w:r>
    </w:p>
    <w:p w14:paraId="2EC4FF50" w14:textId="77777777" w:rsidR="00DD7D58" w:rsidRDefault="00DD7D58" w:rsidP="00DE35F5">
      <w:pPr>
        <w:pStyle w:val="BookBody"/>
      </w:pPr>
      <w:r>
        <w:t>Chapter 22 followed a planet whose atmosphere and rocks have been transformed by life. The present chapter follows a different transformation: the conversion of Earth and its inhabitants into variables capable of coordinated intervention. The biosphere is not replaced by this operational planet. Wetlands continue to metabolize, microbes continue to alter chemical gradients, and organisms continue to make milieus whether or not a monitoring station registers them. But a measured wetland can now enter a flood</w:t>
      </w:r>
      <w:r>
        <w:t xml:space="preserve"> model, a carbon inventory, a conservation standard, an insurance premium, or a national account. Each passage requires equivalences. A sensor reading must be calibrated; a land cover must be classified; uncertainty must be expressed; incompatible records must be standardized; the result must reach an office or machine authorized to act. The operational planet is thus neither a second planet nor a mere image floating above the first. It is an arrangement of forms, instruments, institutions, and infrastructu</w:t>
      </w:r>
      <w:r>
        <w:t>res through which selected relations on Earth become available for comparison, prediction, and control. Its fundamental unit is not the isolated number but the chain that makes the number portable: body to form, form to table, table to curve, curve to decision, decision to material intervention.</w:t>
      </w:r>
    </w:p>
    <w:p w14:paraId="56837422" w14:textId="77777777" w:rsidR="00DD7D58" w:rsidRDefault="00DD7D58" w:rsidP="00DE35F5">
      <w:pPr>
        <w:pStyle w:val="FigureCaption"/>
      </w:pPr>
      <w:r>
        <w:t>[FIGURE 23.1 — MATERIAL-WITNESS PLACEHOLDER: CENSUS FORM. Insert a documented historical census schedule showing the categories by which persons and households were rendered administratively comparable. Provide archive, jurisdiction, census year, schedule title, and stable identifier; caption should identify several visible fields and note who completed the form.]</w:t>
      </w:r>
    </w:p>
    <w:p w14:paraId="0C0B0E8D" w14:textId="77777777" w:rsidR="00DD7D58" w:rsidRDefault="00DD7D58" w:rsidP="00DE35F5">
      <w:pPr>
        <w:pStyle w:val="SectionHeading"/>
      </w:pPr>
      <w:r>
        <w:t>When the State Learned to See Populations</w:t>
      </w:r>
    </w:p>
    <w:p w14:paraId="1F39F4AB" w14:textId="77777777" w:rsidR="00DD7D58" w:rsidRDefault="00DD7D58" w:rsidP="00DE35F5">
      <w:pPr>
        <w:pStyle w:val="BookBody"/>
      </w:pPr>
      <w:r>
        <w:t xml:space="preserve">States counted long before modern statistics. Taxation, conscription, tribute, and the provisioning of armies all required enumerations. What changed around the end of the eighteenth century was the scale, publicity, regularity, and conceptual ambition of counting. Hacking calls the early nineteenth-century proliferation “an avalanche of printed numbers.” The phrase is exact because printing mattered. Administrative tallies that remained secret could guide a court or ministry, but published series could be </w:t>
      </w:r>
      <w:r>
        <w:t xml:space="preserve">inspected across years, compared across provinces, </w:t>
      </w:r>
      <w:r>
        <w:t>disputed by reformers, and treated as evidence of stable social tendencies. New statistical bureaus did not merely collect more observations. They made recurrence visible. Annual totals of births, deaths, marriages, crimes, suicides, illnesses, pauperism, and school attendance appeared to fluctuate less than the individual events from which they were composed. At the scale of the person, a death was an irreducible event. At the scale of the table, deaths formed rates. The population emerged as a peculiar ob</w:t>
      </w:r>
      <w:r>
        <w:t>ject: composed entirely of singular lives yet displaying regularities no individual intended.</w:t>
      </w:r>
      <w:r>
        <w:rPr>
          <w:vertAlign w:val="superscript"/>
        </w:rPr>
        <w:t>2</w:t>
      </w:r>
    </w:p>
    <w:p w14:paraId="0D6BF581" w14:textId="77777777" w:rsidR="00DD7D58" w:rsidRDefault="00DD7D58" w:rsidP="00DE35F5">
      <w:pPr>
        <w:pStyle w:val="BookBody"/>
      </w:pPr>
      <w:r>
        <w:t>This object required institutions before it could be measured. A population is not simply everyone who happens to be somewhere. Officials must determine a territorial boundary, a census date, rules of residence, the status of visitors, prisoners, soldiers, ships’ crews, infants born during enumeration, and persons without conventional dwellings. They must decide whether to count people where they sleep, where they work, where they claim citizenship, or where another authority claims them. The apparent solid</w:t>
      </w:r>
      <w:r>
        <w:t>ity of a total conceals a long series of jurisdictional and practical settlements. Hacking notes that the very idea of an exact population has little sense without institutions that establish what population means. This does not make the resulting population unreal. It explains the work by which a politically and geographically dispersed multiplicity becomes a stable referent. Once assembled, the total can alter representation, revenue, and public obligation. The count acquires consequences that return to t</w:t>
      </w:r>
      <w:r>
        <w:t>he people counted.</w:t>
      </w:r>
    </w:p>
    <w:p w14:paraId="01B5FDE1" w14:textId="77777777" w:rsidR="00DD7D58" w:rsidRDefault="00DD7D58" w:rsidP="00DE35F5">
      <w:pPr>
        <w:pStyle w:val="BookBody"/>
      </w:pPr>
      <w:r>
        <w:t>The census form makes this circularity tangible. It first asks residents to fit themselves into categories, then uses the aggregate to reorganize the world in which subsequent residents will answer. A new racial category can make a constituency statistically visible; its visibility can support claims, budgets, and institutions; those institutions can consolidate or contest the identity the category named. An occupational classification can distinguish professional from manual labor and thereby help organize</w:t>
      </w:r>
      <w:r>
        <w:t xml:space="preserve"> insurance, taxation, credentialing, and prestige. A boundary drawn for enumeration can become a service district and then a lived neighborhood. Alain Desrosières emphasizes that the word statistics is historically bound to the construction and administration of the state. The relation is not simply one of state power extracting knowledge from society. Statistical categories help constitute the scale on which public problems can be recognized. An epidemic requires cases related to a denominator; unemploymen</w:t>
      </w:r>
      <w:r>
        <w:t>t requires a rule for distinguishing those seeking work from those outside the labor force; infant mortality requires the standardized registration of live births and deaths. Without these conventions, suffering remains real but cannot acquire the same administrative presence.</w:t>
      </w:r>
      <w:r>
        <w:rPr>
          <w:vertAlign w:val="superscript"/>
        </w:rPr>
        <w:t>3</w:t>
      </w:r>
    </w:p>
    <w:p w14:paraId="3DD95411" w14:textId="77777777" w:rsidR="00DD7D58" w:rsidRDefault="00DD7D58" w:rsidP="00DE35F5">
      <w:pPr>
        <w:pStyle w:val="BookBody"/>
      </w:pPr>
      <w:r>
        <w:t>The gain is inseparable from a danger. Once population rates become stable enough to compare, a government may treat regularity as fate. The annual number of crimes can look like a quantity society must produce, and the individual offender can appear as merely the instrument of a collective law. Nineteenth-century debates about suicide exposed this problem with unusual clarity. If suicide rates remain regular while individual decisions appear free, where does causality reside—in character, climate, religion</w:t>
      </w:r>
      <w:r>
        <w:t>, institutions, urban life, or society itself? Statistical regularity encouraged reform because it suggested that altered conditions might change a rate. It also invited fatalism because the rate seemed to require a quota of acts. Hacking’s history is valuable here because it refuses a simple story in which probability displaced control. Indeterminism and control grew together. A world understood through distributions could be less predictable in each case and more manageable in aggregate. The population be</w:t>
      </w:r>
      <w:r>
        <w:t>came governable precisely because no official needed to know in advance which person would become ill, default on a loan, or commit an offense.</w:t>
      </w:r>
    </w:p>
    <w:p w14:paraId="557AD3EA" w14:textId="77777777" w:rsidR="00DD7D58" w:rsidRDefault="00DD7D58" w:rsidP="00DE35F5">
      <w:pPr>
        <w:pStyle w:val="SectionHeading"/>
      </w:pPr>
      <w:r>
        <w:t>The Curve and the Average Person</w:t>
      </w:r>
    </w:p>
    <w:p w14:paraId="64208A47" w14:textId="77777777" w:rsidR="00DD7D58" w:rsidRDefault="00DD7D58" w:rsidP="00DE35F5">
      <w:pPr>
        <w:pStyle w:val="BookBody"/>
      </w:pPr>
      <w:r>
        <w:t>A table lists; a curve proposes a form. When observations gathered for different purposes are placed along an axis and their frequencies rise toward a center and fall toward the extremes, variation begins to look organized. The bell-shaped curve had traveled from the analysis of error in astronomy and geodesy, where repeated measurements of one object dispersed around a presumed true value. Adolphe Quetelet’s decisive move was to apply this form to measurements and conduct among human beings. The chest circ</w:t>
      </w:r>
      <w:r>
        <w:t>umferences of soldiers, heights of conscripts, marriages, crimes, and suicides could be treated as distributions around a type. In 1844 he argued that the same curve associated with binomial trials and measurement error fitted human attributes. The transfer was philosophically momentous. In astronomy, deviations could be attributed to imperfect observation of a stable object. In social statistics, the individuals themselves became the deviations and the aggregate supplied the type. The average person was no</w:t>
      </w:r>
      <w:r>
        <w:t>t an observed person standing in the middle of the crowd. It was an entity calculated from the crowd and then returned as a standard against which each member could be located.</w:t>
      </w:r>
      <w:r>
        <w:rPr>
          <w:vertAlign w:val="superscript"/>
        </w:rPr>
        <w:t>4</w:t>
      </w:r>
    </w:p>
    <w:p w14:paraId="4F65B091" w14:textId="77777777" w:rsidR="00DD7D58" w:rsidRDefault="00DD7D58" w:rsidP="00DE35F5">
      <w:pPr>
        <w:pStyle w:val="BookBody"/>
      </w:pPr>
      <w:r>
        <w:t xml:space="preserve">The curve performs several operations at once. It compresses a mass of observations into a visible pattern; it defines a center; it measures dispersion; it makes extremes commensurable as distances from that center; and it permits probabilities to be assigned to intervals. None of these operations by itself says that the average is desirable. A mean can be merely descriptive, a parameter useful for </w:t>
      </w:r>
      <w:r>
        <w:t>comparing groups or detecting change. Yet the vocabulary of the normal allowed frequency, typicality, health, and moral approval to slide into one another. If most cases cluster near a value, that value can begin to look natural; if natural, then proper; if proper, then a legitimate target for correction. Hacking traces two divergent inheritances. In one, associated with Quetelet and later Durkheim, the normal becomes the right or healthy condition of a social whole. In another, associated with Francis Galt</w:t>
      </w:r>
      <w:r>
        <w:t>on, the normal names mediocrity from which improvement must depart. The same curve can therefore sustain normalization toward the center or selection away from it. Its geometry does not decide the politics. The project in which the curve is embedded does.</w:t>
      </w:r>
    </w:p>
    <w:p w14:paraId="0B337E4D" w14:textId="77777777" w:rsidR="00DD7D58" w:rsidRDefault="00DD7D58" w:rsidP="00DE35F5">
      <w:pPr>
        <w:pStyle w:val="FigureCaption"/>
      </w:pPr>
      <w:r>
        <w:t>[FIGURE 23.2 — MATERIAL-WITNESS PLACEHOLDER: STATISTICAL CURVE. Insert a historically documented normal or error curve associated with nineteenth-century social statistics, preferably a legible primary-source figure connected to Quetelet or an early statistical text. Preserve axes, labels, edition, page, and repository metadata; caption should distinguish mathematical distribution from normative judgment.]</w:t>
      </w:r>
    </w:p>
    <w:p w14:paraId="5180F85C" w14:textId="77777777" w:rsidR="00DD7D58" w:rsidRDefault="00DD7D58" w:rsidP="00DE35F5">
      <w:pPr>
        <w:pStyle w:val="BookBody"/>
      </w:pPr>
      <w:r>
        <w:t>The curve’s authority depends on what has already been made comparable. Desrosières’s formulation is as concise as it is disarming: “Before drawing lots, one must first compose the urn.” An urn model assumes discrete balls whose membership and relevant properties have been settled. A social population supplies no such balls by nature. To sample households, administrators must define a household; to calculate occupational mortality, registrars must code occupations; to compare causes of death, physicians mus</w:t>
      </w:r>
      <w:r>
        <w:t>t translate variable clinical judgments into a shared nomenclature. Probability enters after this political and material work, even when textbooks present the mathematical operation first. Categories of equivalence are practical achievements before they are cognitive objects. Their construction may involve statutes, forms, training manuals, border decisions, professional negotiations, inspections, punched cards, database fields, and appeals. Once stabilized, these investments recede from view, and the resul</w:t>
      </w:r>
      <w:r>
        <w:t>ting figures appear to speak directly about reality.</w:t>
      </w:r>
      <w:r>
        <w:rPr>
          <w:vertAlign w:val="superscript"/>
        </w:rPr>
        <w:t>5</w:t>
      </w:r>
    </w:p>
    <w:p w14:paraId="5BC4B797" w14:textId="77777777" w:rsidR="00DD7D58" w:rsidRDefault="00DD7D58" w:rsidP="00DE35F5">
      <w:pPr>
        <w:pStyle w:val="BookBody"/>
      </w:pPr>
      <w:r>
        <w:t>This is why a statistical curve should not be dismissed as an illusion. The curve can disclose a regularity that no unaided observer could see: a widening inequality, a shift in age-specific mortality, a concentration of toxic exposure, a decline in vaccination, a systematic bias in sentencing. Its reality is neither simply found nor simply fabricated. It arises through a disciplined relation between the world and a standardized apparatus of recording. The categories may be revisable while the inequality th</w:t>
      </w:r>
      <w:r>
        <w:t xml:space="preserve">ey disclose remains stubbornly material. Conversely, perfect mathematical technique cannot rescue a poorly composed population. A confidence interval does not correct a census that systematically misses the </w:t>
      </w:r>
      <w:r>
        <w:t>unhoused; a precise average does not redeem a diagnostic category that conflates distinct conditions; a forecast cannot overcome a historical series broken by changing definitions unless those changes are understood. The operational world therefore requires a double realism: confidence that careful measurement can reveal consequential patterns, and vigilance about the conventions that made those patterns calculable.</w:t>
      </w:r>
    </w:p>
    <w:p w14:paraId="24C3F15A" w14:textId="77777777" w:rsidR="00DD7D58" w:rsidRDefault="00DD7D58" w:rsidP="00DE35F5">
      <w:pPr>
        <w:pStyle w:val="SectionHeading"/>
      </w:pPr>
      <w:r>
        <w:t>Risk: Governing What Has Not Yet Happened</w:t>
      </w:r>
    </w:p>
    <w:p w14:paraId="0C0EC6D7" w14:textId="77777777" w:rsidR="00DD7D58" w:rsidRDefault="00DD7D58" w:rsidP="00DE35F5">
      <w:pPr>
        <w:pStyle w:val="BookBody"/>
      </w:pPr>
      <w:r>
        <w:t>Probability becomes operational when a distribution is turned toward the future. A mortality table does not predict whose life will end next year. It estimates how many among a sufficiently defined group will die at each age. Insurance converts that aggregate expectation into premiums, reserves, exclusions, and contracts. The uncertainty borne catastrophically by one household can be pooled across many households and across time. This is a genuine social achievement. It can replace charity with entitlement,</w:t>
      </w:r>
      <w:r>
        <w:t xml:space="preserve"> stabilize families after loss, finance reconstruction, and make long-term obligations possible. But risk is not a thing found intact inside an individual. It is a relation among a defined event, a population judged relevant, an interval of time, and an institution able to collect and pay. Change the class, the event, the data, or the institution, and the risk changes.</w:t>
      </w:r>
    </w:p>
    <w:p w14:paraId="2DEEE1F9" w14:textId="77777777" w:rsidR="00DD7D58" w:rsidRDefault="00DD7D58" w:rsidP="00DE35F5">
      <w:pPr>
        <w:pStyle w:val="BookBody"/>
      </w:pPr>
      <w:r>
        <w:t>The nineteenth-century history of insurance shows that quantification did not simply discover fixed natural rates. Theodore Porter describes actuaries debating whether mortality and sickness possessed universal laws or varied characteristically among associations. Insurers did not wait passively for regularity. They selected lives, required medical examinations, imposed rules, limited benefits, monitored claims, and built a domain in which pooled events would remain financially tractable. General life table</w:t>
      </w:r>
      <w:r>
        <w:t>s could represent a national population while failing to describe the membership of a particular company. The institution therefore helped produce the regularity on which it relied. This is not evidence of fraud. It is evidence that operational knowledge often works by arranging conditions so that calculation becomes reliable. A fire code reduces the losses an insurer prices; a vaccination campaign alters the disease rate a health authority forecasts; a reserve requirement changes the probability that a ban</w:t>
      </w:r>
      <w:r>
        <w:t>k run will become a collapse. Prediction and intervention are coupled.</w:t>
      </w:r>
      <w:r>
        <w:rPr>
          <w:vertAlign w:val="superscript"/>
        </w:rPr>
        <w:t>6</w:t>
      </w:r>
    </w:p>
    <w:p w14:paraId="405FEC51" w14:textId="77777777" w:rsidR="00DD7D58" w:rsidRDefault="00DD7D58" w:rsidP="00DE35F5">
      <w:pPr>
        <w:pStyle w:val="BookBody"/>
      </w:pPr>
      <w:r>
        <w:t xml:space="preserve">Public health intensifies the coupling because the object is not merely a contract but the changing exposure of a population. Bills of mortality, hospital reports, maps, registries, and laboratory tests transform illness into cases and rates. They can reveal that deaths cluster around a water source, that workers in one industry develop a disease, or that an infection is spreading before any clinician sees the </w:t>
      </w:r>
      <w:r>
        <w:t>whole. The case definition is crucial. Too narrow, it misses people; too broad, it joins conditions with different causes and needs. A case is not simply a sick individual. It is an individual whose signs, tests, history, or administrative status satisfy a rule designed for surveillance or action. The rule may change as knowledge changes, producing discontinuities that look like changes in disease. Statistical literacy therefore requires institutional memory: one must know not only the numbers but how a cas</w:t>
      </w:r>
      <w:r>
        <w:t>e came to count.</w:t>
      </w:r>
    </w:p>
    <w:p w14:paraId="3AF9B79E" w14:textId="77777777" w:rsidR="00DD7D58" w:rsidRDefault="00DD7D58" w:rsidP="00DE35F5">
      <w:pPr>
        <w:pStyle w:val="BookBody"/>
      </w:pPr>
      <w:r>
        <w:t>Risk can also become a moral disguise. When a population rate is assigned to a person, the estimate may be treated as if it were the person’s hidden essence. A neighborhood’s default rate becomes a borrower’s risk; an occupational category becomes a worker’s expected longevity; an actuarial class becomes a reason to deny an opportunity. Some classification is unavoidable in collective provisioning, but the movement from aggregate to individual must remain contestable. A probability describes uncertainty und</w:t>
      </w:r>
      <w:r>
        <w:t>er specified assumptions. It does not pronounce a destiny. The operational temptation is to forget this distinction because action demands a decision. A loan is approved or denied, a patient prioritized or deferred, a building insured or excluded. The ethical task is not to prevent institutions from deciding. It is to ensure that the decision does not conceal its conventions behind the aura of inevitability, and that persons retain avenues to show why a class does not exhaust their case.</w:t>
      </w:r>
    </w:p>
    <w:p w14:paraId="1905FA39" w14:textId="77777777" w:rsidR="00DD7D58" w:rsidRDefault="00DD7D58" w:rsidP="00DE35F5">
      <w:pPr>
        <w:pStyle w:val="SectionHeading"/>
      </w:pPr>
      <w:r>
        <w:t>Equivalence Before Measurement</w:t>
      </w:r>
    </w:p>
    <w:p w14:paraId="155D1DAC" w14:textId="77777777" w:rsidR="00DD7D58" w:rsidRDefault="00DD7D58" w:rsidP="00DE35F5">
      <w:pPr>
        <w:pStyle w:val="BookBody"/>
      </w:pPr>
      <w:r>
        <w:t xml:space="preserve">Quantification is often imagined as a second step: first there is a world of objects, then numbers are attached to their properties. Desrosières shows why this picture is incomplete for the social and administrative sciences. Before measuring how much unemployment exists, one must decide what unemployment is. Before comparing national income, one must specify which activities count as production. Before calculating a price index, one must define a basket, decide how to treat changing quality, and determine </w:t>
      </w:r>
      <w:r>
        <w:t xml:space="preserve">when one commodity is equivalent enough to replace another. These decisions are conventions, but convention does not mean whim. A convention can be negotiated, institutionalized, tested, challenged, and revised in light of what it permits people to do. It is closer to </w:t>
      </w:r>
      <w:r>
        <w:t>a durable grammar than to an arbitrary label.</w:t>
      </w:r>
    </w:p>
    <w:p w14:paraId="30481578" w14:textId="77777777" w:rsidR="00DD7D58" w:rsidRDefault="00DD7D58" w:rsidP="00DE35F5">
      <w:pPr>
        <w:pStyle w:val="BookBody"/>
      </w:pPr>
      <w:r>
        <w:t xml:space="preserve">The establishment of equivalence has a material history. Enumerators carry manuals. Doctors learn codes. Clerks resolve illegible responses. Machines require fixed fields. Statistical offices harmonize definitions across jurisdictions. Legislation creates statuses that data systems later count, while data systems reveal </w:t>
      </w:r>
      <w:r>
        <w:t>populations around which legislation is reorganized. Desrosières identifies two essential operations: defining classes of equivalence and encoding singular cases into them. A census is therefore not a warehouse into which ready-made facts are deposited. It is a factory of comparability. The metaphor must be used carefully, because the facts are not fabricated from nothing. People answer, bodies age, wages are paid, illnesses occur, and dwellings exist. But these realities become summable only after a coding</w:t>
      </w:r>
      <w:r>
        <w:t xml:space="preserve"> practice specifies what will count as the same.</w:t>
      </w:r>
      <w:r>
        <w:rPr>
          <w:vertAlign w:val="superscript"/>
        </w:rPr>
        <w:t>7</w:t>
      </w:r>
    </w:p>
    <w:p w14:paraId="586C6918" w14:textId="77777777" w:rsidR="00DD7D58" w:rsidRDefault="00DD7D58" w:rsidP="00DE35F5">
      <w:pPr>
        <w:pStyle w:val="BookBody"/>
      </w:pPr>
      <w:r>
        <w:t>Once established, equivalence releases extraordinary capacities. A standard unit permits materials to be bought across distance; a common diagnostic code permits mortality to be compared across hospitals; a shared accounting category allows budgets to be coordinated; a voltage standard allows devices produced by strangers to connect. The achievement is infrastructural precisely because users no longer need to renegotiate equivalence in every encounter. A meter works without reopening the history of metrolog</w:t>
      </w:r>
      <w:r>
        <w:t>y. An international disease code allows a record to travel beyond the physician who made it. Yet this convenience can obscure the cases that were difficult to encode. The cleaner the table, the easier it is to forget the hesitation at the form, the local compromise, or the residual category into which an anomalous life was placed.</w:t>
      </w:r>
    </w:p>
    <w:p w14:paraId="5208A904" w14:textId="77777777" w:rsidR="00DD7D58" w:rsidRDefault="00DD7D58" w:rsidP="00DE35F5">
      <w:pPr>
        <w:pStyle w:val="BookBody"/>
      </w:pPr>
      <w:r>
        <w:t>Measurement, administrative classification, prediction, and normalization must consequently be distinguished. Measurement assigns values according to an operational procedure. Classification assigns cases to categories. Prediction estimates an unknown or future state from a model and data. Normalization organizes conduct or conditions around a standard. These activities often reinforce one another but are not identical. A height can be measured without prescribing an ideal height. A disease can be classifie</w:t>
      </w:r>
      <w:r>
        <w:t>d to coordinate treatment without predicting an individual outcome. A forecast can warn of a range without commanding behavior. A standard can be adopted through public deliberation rather than imposed by a hidden authority. Collapsing these differences produces two symmetrical mistakes: either numbers appear innocent because they merely describe, or they appear oppressive because they always command. In practice their force lies in the specific chain by which a representation becomes an intervention.</w:t>
      </w:r>
    </w:p>
    <w:p w14:paraId="3148DC7D" w14:textId="77777777" w:rsidR="00DD7D58" w:rsidRDefault="00DD7D58" w:rsidP="00DE35F5">
      <w:pPr>
        <w:pStyle w:val="SectionHeading"/>
      </w:pPr>
      <w:r>
        <w:t>Trust at a Distance</w:t>
      </w:r>
    </w:p>
    <w:p w14:paraId="533F7FAD" w14:textId="77777777" w:rsidR="00DD7D58" w:rsidRDefault="00DD7D58" w:rsidP="00DE35F5">
      <w:pPr>
        <w:pStyle w:val="BookBody"/>
      </w:pPr>
      <w:r>
        <w:t xml:space="preserve">The modern number is persuasive partly because it can travel without its maker. Local knowledge rests on familiarity with people, places, materials, and exceptions. It can be exact in ways no general rule captures, but it is difficult to transmit to strangers. Porter’s governing phrase is that “quantification is a </w:t>
      </w:r>
      <w:r>
        <w:t>technology of distance.” A standardized result can cross a ministry, a courtroom, a laboratory network, or an international organization because its production is disciplined by publicly stated procedures. The recipient does not need to know the enumerator’s character or the engineer’s tacit judgment. Ideally, another competent person can reconstruct the calculation. Quantification thus answers a problem of scale: how can decisions be coordinated when personal trust does not extend across the domain in whic</w:t>
      </w:r>
      <w:r>
        <w:t>h action must occur?</w:t>
      </w:r>
      <w:r>
        <w:rPr>
          <w:vertAlign w:val="superscript"/>
        </w:rPr>
        <w:t>8</w:t>
      </w:r>
    </w:p>
    <w:p w14:paraId="4611E8A3" w14:textId="77777777" w:rsidR="00DD7D58" w:rsidRDefault="00DD7D58" w:rsidP="00DE35F5">
      <w:pPr>
        <w:pStyle w:val="BookBody"/>
      </w:pPr>
      <w:r>
        <w:t xml:space="preserve">This account explains why the demand for numbers becomes strongest where trust is weak, authority contested, and decisions exposed to outsiders. Experts secure within a cohesive community can rely on seasoned judgment. Officials who must defend a decision before legislators, courts, rival agencies, or an unfamiliar public often prefer rules and calculations that display restraint. Mechanical objectivity promises that the decision maker did not simply choose a favored outcome. A cost-benefit analysis, audit </w:t>
      </w:r>
      <w:r>
        <w:t>rule, test score, or risk threshold can function as a shield against accusations of partiality. It can also discipline the official by requiring reasons to take a common form. The moral appeal of the number is therefore bound to impersonality. It seems to prevent private desire from entering public judgment.</w:t>
      </w:r>
    </w:p>
    <w:p w14:paraId="3816986C" w14:textId="77777777" w:rsidR="00DD7D58" w:rsidRDefault="00DD7D58" w:rsidP="00DE35F5">
      <w:pPr>
        <w:pStyle w:val="BookBody"/>
      </w:pPr>
      <w:r>
        <w:t>Yet, as Porter insists, mechanical objectivity is never entirely mechanical. Someone chooses the variables, the time horizon, the discount rate, the baseline, the categories, and the acceptable uncertainty. Rules must be interpreted when cases do not fit. Data must be cleaned, and missing values must be treated somehow. Even a measurement instrument embodies judgments about calibration and relevance. The presence of judgment does not invalidate objectivity; it changes what objectivity can mean. Public objec</w:t>
      </w:r>
      <w:r>
        <w:t>tivity cannot be the absence of persons. It must be an organized practice in which judgments are exposed to criticism, procedures are documented, conflicts of interest constrained, and revisions possible. A number becomes trustworthy not because it escaped every human decision but because the chain of decisions can be inspected and challenged.</w:t>
      </w:r>
    </w:p>
    <w:p w14:paraId="55E22D97" w14:textId="77777777" w:rsidR="00DD7D58" w:rsidRDefault="00DD7D58" w:rsidP="00DE35F5">
      <w:pPr>
        <w:pStyle w:val="BookBody"/>
      </w:pPr>
      <w:r>
        <w:t>This is also why numbers can democratize as well as centralize. A quantified standard may enable citizens to compare drinking-water quality across districts, document discriminatory lending, track workplace injuries, or test whether promised emissions reductions occurred. Shared metrics can force institutions to answer in a language that travels beyond professional privilege. But the same metric can narrow public reason if only what it measures is allowed to count. A hospital target can improve waiting time</w:t>
      </w:r>
      <w:r>
        <w:t xml:space="preserve">s while displacing unmeasured care; a school score can expose neglect while reorganizing teaching around the test; an efficiency index can reveal waste while treating care, redundancy, and resilience as </w:t>
      </w:r>
      <w:r>
        <w:t>costs. The solution is not to retreat to unaccountable expertise. It is to place quantitative evidence within a richer ecology of testimony, historical knowledge, material observation, and public judgment. Trust in numbers should be neither faith nor cynicism. It should be earned through accountable relations.</w:t>
      </w:r>
    </w:p>
    <w:p w14:paraId="60FBE932" w14:textId="77777777" w:rsidR="00DD7D58" w:rsidRDefault="00DD7D58" w:rsidP="00DE35F5">
      <w:pPr>
        <w:pStyle w:val="SectionHeading"/>
      </w:pPr>
      <w:r>
        <w:t>The Number and the Witness</w:t>
      </w:r>
    </w:p>
    <w:p w14:paraId="3B2E2038" w14:textId="77777777" w:rsidR="00DD7D58" w:rsidRDefault="00DD7D58" w:rsidP="00DE35F5">
      <w:pPr>
        <w:pStyle w:val="BookBody"/>
      </w:pPr>
      <w:r>
        <w:t>A number that travels successfully can appear to have left its material origin behind. The rate enters a report without the paper schedules, conversations, specimens, gauges, and acts of judgment through which it was made. Yet every quantitative claim retains a dependence on witnesses. Someone observed a dwelling, certified a death, calibrated an instrument, read a meter, recorded an absence, or decided that an event satisfied a rule. Even automated sensors depend on installation, maintenance, and an accoun</w:t>
      </w:r>
      <w:r>
        <w:t>t of what their signals stand for. The difference between testimony and data is therefore not that one is human and the other is pure fact. Data are observations disciplined so that they can be detached from the original observer and recombined elsewhere.</w:t>
      </w:r>
    </w:p>
    <w:p w14:paraId="7396E440" w14:textId="77777777" w:rsidR="00DD7D58" w:rsidRDefault="00DD7D58" w:rsidP="00DE35F5">
      <w:pPr>
        <w:pStyle w:val="BookBody"/>
      </w:pPr>
      <w:r>
        <w:t>Detachment is productive because no central authority could personally revisit every event. It is also risky because the conventions that governed observation may not travel with the result. A mortality rate can conceal changing diagnostic practices. An employment series can cross a revision in the definition of active job search. A crime rate can track reporting and enforcement as much as underlying acts. A sensor series can shift when the instrument is replaced or its location altered. These are not reaso</w:t>
      </w:r>
      <w:r>
        <w:t>ns to discard the series. They are reasons to preserve metadata, version histories, uncertainty, and institutional context as part of the evidence rather than as technical footnotes disposable after calculation.</w:t>
      </w:r>
    </w:p>
    <w:p w14:paraId="7EBF5844" w14:textId="77777777" w:rsidR="00DD7D58" w:rsidRDefault="00DD7D58" w:rsidP="00DE35F5">
      <w:pPr>
        <w:pStyle w:val="BookBody"/>
      </w:pPr>
      <w:r>
        <w:t>Missing data reveal this dependency with particular force. A blank cell is not nothing. It may mark refusal, absence, equipment failure, institutional neglect, fear, illegibility, or a category that could not hold the answer. Treating all blanks as random loss can turn a patterned exclusion into a harmless statistical inconvenience. The unhoused may be difficult to enumerate because the census assumes an address; precarious workers may vanish between occupational categories; pollution monitors may be sparse</w:t>
      </w:r>
      <w:r>
        <w:t xml:space="preserve"> precisely in politically weak neighborhoods. The operational world sees through installed channels, and the absence of a channel can be mistaken for the absence of a condition. Responsible quantification therefore asks who or what is hardest to register and whether missingness follows the distribution of power.</w:t>
      </w:r>
    </w:p>
    <w:p w14:paraId="0DAA3400" w14:textId="77777777" w:rsidR="00DD7D58" w:rsidRDefault="00DD7D58" w:rsidP="00DE35F5">
      <w:pPr>
        <w:pStyle w:val="BookBody"/>
      </w:pPr>
      <w:r>
        <w:t>Error has a similarly double meaning. In metrology, error can name the difference between a measurement and a value sought, analyzed through repeatable procedures. In administration, an error may be a miscoded case, an outdated address, a duplicate identity, or a mistaken decision imposed on a person. Aggregation can tolerate some errors while producing a reliable estimate; the person whose benefits are stopped cannot experience the mistake as a negligible residual. Statistical acceptability and administrat</w:t>
      </w:r>
      <w:r>
        <w:t>ive justice thus operate at different scales. A system may be accurate on average and intolerable in its uncorrectable cases. Appeals, audits, and human review are not extraneous frictions. They are feedback channels through which singular realities can correct aggregate machinery.</w:t>
      </w:r>
    </w:p>
    <w:p w14:paraId="55998AE3" w14:textId="77777777" w:rsidR="00DD7D58" w:rsidRDefault="00DD7D58" w:rsidP="00DE35F5">
      <w:pPr>
        <w:pStyle w:val="BookBody"/>
      </w:pPr>
      <w:r>
        <w:t>Models add another layer. A measurement describes an observed relation according to a procedure; a model organizes relations so that unobserved states or futures can be estimated. Models are indispensable when action cannot wait for complete observation. They allow planners to test scenarios, allocate reserves, and anticipate thresholds. But a model’s output is conditional upon structure, parameters, data, and purpose. Its precision can exceed the certainty of those conditions. A projected number with two d</w:t>
      </w:r>
      <w:r>
        <w:t>ecimal places may rest on contestable assumptions about behavior, prices, climate, or institutional response. Good modeling does not eliminate such assumptions; it makes them explicit, tests alternatives, and marks where uncertainty changes the decision.</w:t>
      </w:r>
    </w:p>
    <w:p w14:paraId="7E720AB7" w14:textId="77777777" w:rsidR="00DD7D58" w:rsidRDefault="00DD7D58" w:rsidP="00DE35F5">
      <w:pPr>
        <w:pStyle w:val="BookBody"/>
      </w:pPr>
      <w:r>
        <w:t>The material witness provides a discipline against both numerical fetishism and numerical dismissal. Return to the form: examine its categories and instructions. Return to the curve: inspect its axes, sample, and tails. Return to the control panel: ask which process moves each indicator and which alarms have been suppressed. Return to the grid diagram: trace a line into the landscapes and institutions that sustain it. These returns do not dissolve abstraction into anecdote. They reconnect portable knowledge</w:t>
      </w:r>
      <w:r>
        <w:t xml:space="preserve"> with the relations that give it reference. A public number deserves authority when it can survive this movement in both directions—from situated witness to operational equivalence, and from operational decision back to the situated world it changes.</w:t>
      </w:r>
    </w:p>
    <w:p w14:paraId="78121007" w14:textId="77777777" w:rsidR="00DD7D58" w:rsidRDefault="00DD7D58" w:rsidP="00DE35F5">
      <w:pPr>
        <w:pStyle w:val="SectionHeading"/>
      </w:pPr>
      <w:r>
        <w:t>The Normal and the Normative</w:t>
      </w:r>
    </w:p>
    <w:p w14:paraId="67FDDEFE" w14:textId="77777777" w:rsidR="00DD7D58" w:rsidRDefault="00DD7D58" w:rsidP="00DE35F5">
      <w:pPr>
        <w:pStyle w:val="BookBody"/>
      </w:pPr>
      <w:r>
        <w:t xml:space="preserve">At this point the distinction developed in the previous chapters becomes indispensable. A statistical normal is a feature of a distribution: a central value, a frequent interval, or a pattern regarded as typical under stated conditions. A biological norm is a value enacted by a living being in relation to a milieu. Georges Canguilhem’s claim that “life is in fact a normative activity” does not mean that an </w:t>
      </w:r>
      <w:r>
        <w:t>organism deliberates like a legislature or that nature issues moral commands. It means that living activity is not indifferent to its conditions. Food and poison, shelter and exposure, repair and injury are not equivalent from the standpoint of the organism’s continued powers. A bacterium moving along a chemical gradient, a plant altering growth under drought, and a person reorganizing daily life after illness each disclose a polarity that cannot be derived from frequency alone. The organism establishes tol</w:t>
      </w:r>
      <w:r>
        <w:t>erable relations and, when healthy enough, can establish new ones when circumstances change.</w:t>
      </w:r>
      <w:r>
        <w:rPr>
          <w:vertAlign w:val="superscript"/>
        </w:rPr>
        <w:t>9</w:t>
      </w:r>
    </w:p>
    <w:p w14:paraId="11609942" w14:textId="77777777" w:rsidR="00DD7D58" w:rsidRDefault="00DD7D58" w:rsidP="00DE35F5">
      <w:pPr>
        <w:pStyle w:val="BookBody"/>
      </w:pPr>
      <w:r>
        <w:t xml:space="preserve">This difference prevents the curve from usurping the clinic. A value can be statistically unusual without being pathological, and statistically common without being healthy. Nearsightedness may be frequent in a population and still constrain a person in an environment lacking corrective lenses. An atypical heart rate may belong to a trained athlete’s expanded capacity rather than a disease. Chronic stress may be statistically prevalent while diminishing the range of conditions people can bear. Canguilhem’s </w:t>
      </w:r>
      <w:r>
        <w:t>examples repeatedly break the assumed identity of average and norm. He notes that a biologically favorable reaction can become harmful when the situations provoking it recur with abnormal frequency. Conversely, the pathological is not simply the absence of norms. A sick organism continues to organize a life, but under a narrower norm that tolerates fewer variations. Health is not perfect conformity to a fixed value. It is a certain latitude—the capacity to endure change, recover, improvise, and institute an</w:t>
      </w:r>
      <w:r>
        <w:t>other viable relation.</w:t>
      </w:r>
    </w:p>
    <w:p w14:paraId="41E42A6E" w14:textId="77777777" w:rsidR="00DD7D58" w:rsidRDefault="00DD7D58" w:rsidP="00DE35F5">
      <w:pPr>
        <w:pStyle w:val="BookBody"/>
      </w:pPr>
      <w:r>
        <w:t xml:space="preserve">The practical consequence is not that medicine should abandon measurement. Blood pressure, temperature, oxygen saturation, glucose, tumor dimensions, and population rates can disclose states inaccessible to unaided sensation. </w:t>
      </w:r>
    </w:p>
    <w:p w14:paraId="693C934D" w14:textId="77777777" w:rsidR="00DD7D58" w:rsidRDefault="00DD7D58" w:rsidP="00DE35F5">
      <w:pPr>
        <w:pStyle w:val="BookBody"/>
      </w:pPr>
      <w:r>
        <w:t>Canguilhem’s point is that the clinical meaning of a value arises through a living history. A laboratory range is constructed from populations; the patient presents a trajectory, symptoms, exposures, capacities, and aims. The same number can signify differently in different bodies or in the same body at different times. Clinical judgment must therefore move between the population distribution and the individual’s mode of life. When it treats the average as a command, it confuses a description of many bodies</w:t>
      </w:r>
      <w:r>
        <w:t xml:space="preserve"> with the norm of this living person. When it rejects population evidence in favor of intuition, it loses the corrective power of comparison. The clinic is precisely the difficult practice of holding both forms of knowledge together.</w:t>
      </w:r>
    </w:p>
    <w:p w14:paraId="53EBECE7" w14:textId="77777777" w:rsidR="00DD7D58" w:rsidRDefault="00DD7D58" w:rsidP="00DE35F5">
      <w:pPr>
        <w:pStyle w:val="BookBody"/>
      </w:pPr>
      <w:r>
        <w:t xml:space="preserve">Canguilhem’s distinction also clarifies the boundary between normativity and normalization. Normativity begins within life’s evaluative relation to its milieu. Normalization begins when a technical, administrative, or social standard is </w:t>
      </w:r>
      <w:r>
        <w:t>established and applied across cases. The two can support each other. A wheelchair ramp is a standardized construction that expands the normative freedom of bodies; a clean-water rule translates biological vulnerability into a public obligation; an occupational exposure limit can protect workers against conditions whose harm becomes visible statistically. But normalization can also subordinate living variability to an institutional convenience. A workplace designed around one body treats others as deviation</w:t>
      </w:r>
      <w:r>
        <w:t>s. A benefit rule may demand that fluctuating illness appear constant before it becomes legible. A treatment protocol can be so rigid that it secures compliance while reducing a patient’s capacity to live. The issue is not standard versus life. It is whether the standard serves the enlargement of living possibilities or makes life answer to the smooth operation of the system.</w:t>
      </w:r>
    </w:p>
    <w:p w14:paraId="1CEC4465" w14:textId="77777777" w:rsidR="00DD7D58" w:rsidRDefault="00DD7D58" w:rsidP="00DE35F5">
      <w:pPr>
        <w:pStyle w:val="BookBody"/>
      </w:pPr>
      <w:r>
        <w:t xml:space="preserve">The difference between organism and machine sharpens the point. In </w:t>
      </w:r>
      <w:r>
        <w:rPr>
          <w:i/>
        </w:rPr>
        <w:t>Knowledge of Life</w:t>
      </w:r>
      <w:r>
        <w:t xml:space="preserve">, Canguilhem observes that machines verify norms of calculation: identity, consistency, and predictability. Their purpose is relatively rigid, and breakdown is judged against a design. An organism has more potentialities and greater functional latitude. An organ can participate in several activities; another part may compensate for injury; behavior can alter the effective environment. Technical systems can certainly adapt, learn, and reorganize, but their criteria of success are initially installed through </w:t>
      </w:r>
      <w:r>
        <w:t>design, training, selection, or institutional use. Even when a machine modifies its operations, the question of which modification counts as improvement cannot be answered by frequency alone. It depends on a valued relation: stability, efficiency, safety, profit, accuracy, resilience, or care. To call an output normal is therefore to ask whose norm is being served and whether the living beings within the system can contest it.</w:t>
      </w:r>
      <w:r>
        <w:rPr>
          <w:vertAlign w:val="superscript"/>
        </w:rPr>
        <w:t>10</w:t>
      </w:r>
    </w:p>
    <w:p w14:paraId="2F088E70" w14:textId="77777777" w:rsidR="00DD7D58" w:rsidRDefault="00DD7D58" w:rsidP="00DE35F5">
      <w:pPr>
        <w:pStyle w:val="BookBody"/>
      </w:pPr>
      <w:r>
        <w:t>The census form and the statistical curve now look different. They are not rival descriptions of life but instruments within a political physiology. The form makes cases comparable; the curve locates their distribution; the institution selects a standard; the standard returns to reorganize conditions. Canguilhem inserts a necessary interruption into this circuit. The fact that most bodies, households, or behaviors fall within an interval does not tell us what any living being should become. Nor does deviati</w:t>
      </w:r>
      <w:r>
        <w:t>on prove liberation: some deviations are injuries and some common conditions are sustaining. Judgment begins from the encounter between measured conditions and lived capacities. The operational planet becomes defensible when its measurements help worlds remain habitable for varied forms of life, not when life is reduced to whatever its dashboards can readily normalize.</w:t>
      </w:r>
    </w:p>
    <w:p w14:paraId="764D3DEB" w14:textId="77777777" w:rsidR="00DD7D58" w:rsidRDefault="00DD7D58" w:rsidP="00DE35F5">
      <w:pPr>
        <w:pStyle w:val="SectionHeading"/>
      </w:pPr>
      <w:r>
        <w:t>Population, Security, and Milieu</w:t>
      </w:r>
    </w:p>
    <w:p w14:paraId="0C4D5B68" w14:textId="77777777" w:rsidR="00DD7D58" w:rsidRDefault="00DD7D58" w:rsidP="00DE35F5">
      <w:pPr>
        <w:pStyle w:val="BookBody"/>
      </w:pPr>
      <w:r>
        <w:t xml:space="preserve">Michel Foucault’s lectures on security provide the hinge from statistics to government. His account should not be made the chapter’s center, because the history of quantification cannot be reduced to a single logic of power. It is nevertheless precise about what changes when administration takes population as both object and subject. Sovereign power can prohibit an act; discipline can arrange bodies within an enclosed space; security works upon series of possible events. It estimates circulation, tolerates </w:t>
      </w:r>
      <w:r>
        <w:t>some variation, identifies dangerous thresholds, and seeks to modify the conditions in which aggregate effects arise. Foucault’s examples include scarcity, urban circulation, smallpox inoculation, crime, and public hygiene. In each, the governing problem is not simply to eliminate an unwanted event by command. It is to act within a field of uncertainty so that probable outcomes shift.</w:t>
      </w:r>
      <w:r>
        <w:rPr>
          <w:vertAlign w:val="superscript"/>
        </w:rPr>
        <w:t>11</w:t>
      </w:r>
    </w:p>
    <w:p w14:paraId="0EB86227" w14:textId="77777777" w:rsidR="00DD7D58" w:rsidRDefault="00DD7D58" w:rsidP="00DE35F5">
      <w:pPr>
        <w:pStyle w:val="BookBody"/>
      </w:pPr>
      <w:r>
        <w:t xml:space="preserve">The material object of security is consequently a milieu. This word returns from Chapter 21, but with a different emphasis. Uexküll’s </w:t>
      </w:r>
      <w:r>
        <w:rPr>
          <w:i/>
        </w:rPr>
        <w:t>Umwelt</w:t>
      </w:r>
      <w:r>
        <w:t xml:space="preserve"> named the meaningful world enacted in the organism’s functional relations; Canguilhem’s milieu named conditions evaluated by living activity. Foucault’s security milieu is an operational field composed of natural and artificial givens—rivers, marshes, streets, houses, densities, flows—whose causes and effects circulate through one another. A road changes movement; movement changes commerce and contagion; drainage alters disease and land value; housing density alters transport, exposure, and policing. Gover</w:t>
      </w:r>
      <w:r>
        <w:t>nment acts not only on persons but on the conditions through which their possible actions are distributed. The milieu becomes a surface of intervention.</w:t>
      </w:r>
    </w:p>
    <w:p w14:paraId="529A1C94" w14:textId="77777777" w:rsidR="00DD7D58" w:rsidRDefault="00DD7D58" w:rsidP="00DE35F5">
      <w:pPr>
        <w:pStyle w:val="BookBody"/>
      </w:pPr>
      <w:r>
        <w:t>This is neither simply benevolent nor simply sinister. Sewers, vaccination, traffic engineering, food inspection, flood control, and epidemic surveillance can preserve life on a scale no household can secure alone. They require population knowledge and coordinated infrastructure. Yet the same orientation can treat persons as components whose acceptable losses are optimized. Once intervention is framed as a balance of costs, probabilities, and circulation, preventable suffering can be redescribed as an effic</w:t>
      </w:r>
      <w:r>
        <w:t>ient residual. A danger affecting a politically weak group may remain below the chosen threshold; an average improvement can conceal intensified harm at the margin. Security acts through distributions, and distributions can hide the identities of those concentrated in a tail.</w:t>
      </w:r>
    </w:p>
    <w:p w14:paraId="7D472C42" w14:textId="77777777" w:rsidR="00DD7D58" w:rsidRDefault="00DD7D58" w:rsidP="00DE35F5">
      <w:pPr>
        <w:pStyle w:val="BookBody"/>
      </w:pPr>
      <w:r>
        <w:t xml:space="preserve">Foucault is especially useful in distinguishing disciplinary normalization from the normalization of security. Discipline posits an optimal model and trains individuals </w:t>
      </w:r>
      <w:r>
        <w:t>toward it. Security begins from observed distributions: different rates, zones of danger, cases, and risks. It then tries to bring less favorable distributions closer to more favorable ones. The norm is derived from the interplay of normalities rather than imposed wholly in advance. But Canguilhem prevents this empirical norm from being mistaken for a living one. A lower population mortality rate is ordinarily a real achievement, yet the procedures used to secure it still require evaluation in relation to l</w:t>
      </w:r>
      <w:r>
        <w:t>ives. Quarantine, compulsory treatment, environmental redesign, or resource allocation may protect some capacities while constraining others. Statistical improvement does not end ethical judgment; it creates the conditions in which judgment must become more exact.</w:t>
      </w:r>
    </w:p>
    <w:p w14:paraId="2E79DFA8" w14:textId="77777777" w:rsidR="00DD7D58" w:rsidRDefault="00DD7D58" w:rsidP="00DE35F5">
      <w:pPr>
        <w:pStyle w:val="BookBody"/>
      </w:pPr>
      <w:r>
        <w:t>The modern health dashboard is a descendant of this security apparatus. It displays cases, rates, capacity, trends, forecasts, and thresholds. It can coordinate action across institutions and tell a public what no individual observer can know. It can also encourage the fantasy that the population has been captured because the indicators are visible. A dashboard is an interface, not the milieu itself. It selects temporal windows, geographic units, denominators, and colors. Its red zone is a decision rendered</w:t>
      </w:r>
      <w:r>
        <w:t xml:space="preserve"> visible. Its blank field may mean zero, missing data, or exclusion from reporting. The art of governing through such an interface lies in remembering what the display cannot contain: local knowledge, unregistered suffering, feedback from the intervention, and the capacity of those governed to define what safety means in their own worlds.</w:t>
      </w:r>
      <w:r>
        <w:rPr>
          <w:vertAlign w:val="superscript"/>
        </w:rPr>
        <w:t>12</w:t>
      </w:r>
    </w:p>
    <w:p w14:paraId="1485F74B" w14:textId="77777777" w:rsidR="00DD7D58" w:rsidRDefault="00DD7D58" w:rsidP="00DE35F5">
      <w:pPr>
        <w:pStyle w:val="SectionHeading"/>
      </w:pPr>
      <w:r>
        <w:t>The Quiet Authority of Classification</w:t>
      </w:r>
    </w:p>
    <w:p w14:paraId="726CA1C1" w14:textId="77777777" w:rsidR="00DD7D58" w:rsidRDefault="00DD7D58" w:rsidP="00DE35F5">
      <w:pPr>
        <w:pStyle w:val="BookBody"/>
      </w:pPr>
      <w:r>
        <w:t xml:space="preserve">Between the census and the dashboard stands an immense architecture of classification. Geoffrey Bowker and Susan Leigh Star begin </w:t>
      </w:r>
      <w:r>
        <w:rPr>
          <w:i/>
        </w:rPr>
        <w:t>Sorting Things Out</w:t>
      </w:r>
      <w:r>
        <w:t xml:space="preserve"> from a plain observation: modern lives are surrounded by standards and categories, most of which become visible only when they fail or when someone does not fit. The plug meets the socket; the diagnosis finds a code; the parcel crosses a border; the record joins a database. Compatibility feels natural because the agreements that sustain it have been built into things and routines. When compatibility breaks, the material force of categories appears—in an unusable electrical appliance, a denied benefit, a mi</w:t>
      </w:r>
      <w:r>
        <w:t>sfiled record, an inaccessible room, or a person forced to choose an identity that does not describe a life.</w:t>
      </w:r>
      <w:r>
        <w:rPr>
          <w:vertAlign w:val="superscript"/>
        </w:rPr>
        <w:t>13</w:t>
      </w:r>
    </w:p>
    <w:p w14:paraId="4C865B14" w14:textId="77777777" w:rsidR="00DD7D58" w:rsidRDefault="00DD7D58" w:rsidP="00DE35F5">
      <w:pPr>
        <w:pStyle w:val="BookBody"/>
      </w:pPr>
      <w:r>
        <w:t xml:space="preserve">Classification is work distributed across time. Designers seek categories broad enough to travel and precise enough to coordinate action. Frontline workers encounter cases the designers did not anticipate. They use residual entries, local notes, approximations, and work-arounds. Managers demand comparable totals. </w:t>
      </w:r>
      <w:r>
        <w:t>Software imposes validation rules. Researchers later treat the resulting database as evidence. Every stage can alter meaning. A physician may choose a billing code close enough to secure treatment while privately rejecting it as a full diagnosis. An enumerator may select the nearest occupational category for informal labor. A clerk may place two incompatible histories under the same status because the system allows no distinction. The aggregate is therefore not merely data collected from the world. It is se</w:t>
      </w:r>
      <w:r>
        <w:t>dimented practical judgment.</w:t>
      </w:r>
    </w:p>
    <w:p w14:paraId="5960F2BE" w14:textId="77777777" w:rsidR="00DD7D58" w:rsidRDefault="00DD7D58" w:rsidP="00DE35F5">
      <w:pPr>
        <w:pStyle w:val="BookBody"/>
      </w:pPr>
      <w:r>
        <w:t xml:space="preserve">Standards magnify this work by making classifications durable and portable. A successful standard distinguishes compliant from noncompliant actions or objects. It can coordinate strangers and lower the cost of cooperation; it can also lock in a design whose original circumstances have vanished. Electrical frequencies, paper sizes, building codes, disease classifications, time zones, and data formats each open possibilities by closing alternatives. Their effectiveness depends less on logical perfection than </w:t>
      </w:r>
      <w:r>
        <w:t>on institutional reach, installed equipment, training, maintenance, and the willingness of others to adapt. This is why technically inferior standards can persist and why changing an apparently simple category can require rebuilding an infrastructure.</w:t>
      </w:r>
    </w:p>
    <w:p w14:paraId="774D531D" w14:textId="77777777" w:rsidR="00DD7D58" w:rsidRDefault="00DD7D58" w:rsidP="00DE35F5">
      <w:pPr>
        <w:pStyle w:val="BookBody"/>
      </w:pPr>
      <w:r>
        <w:t>The residual category is a revealing witness. “Other,” “not elsewhere classified,” “unknown,” and “not stated” look like margins of a system, but no large classification can operate without them. They absorb the world’s refusal to divide cleanly. Bowker and Star show that residuals are often distributed rather than allowed to gather at the top, because a single large remainder would expose uncertainty too dramatically. This can be prudent: localized uncertainty prevents one ambiguous class from overwhelming</w:t>
      </w:r>
      <w:r>
        <w:t xml:space="preserve"> the system. It can also hide how much reality has been forced into partial fits. The residual is not noise outside classification. It is evidence of the encounter between a finite scheme and a more various world.</w:t>
      </w:r>
    </w:p>
    <w:p w14:paraId="6C7A758B" w14:textId="77777777" w:rsidR="00DD7D58" w:rsidRDefault="00DD7D58" w:rsidP="00DE35F5">
      <w:pPr>
        <w:pStyle w:val="BookBody"/>
      </w:pPr>
      <w:r>
        <w:t>The ethical harm of classification often appears as torque: a twisting produced when a biography and a categorical trajectory do not align. A disease status required for care may conflict with a person’s changing condition; a racial classification may reorganize residence, schooling, work, and family; a disability category may provide essential access while freezing a fluctuating body into an administrative identity. The category can be both necessary and inadequate. Refusing it may surrender rights; accept</w:t>
      </w:r>
      <w:r>
        <w:t xml:space="preserve">ing it may require a person to narrate life in the system’s terms. This ambivalence is why the politics of classification cannot be settled by declaring categories unreal. They are real in their consequences, and </w:t>
      </w:r>
      <w:r>
        <w:t>their users must be able to revise them, appeal them, and preserve knowledge that exceeds them.</w:t>
      </w:r>
      <w:r>
        <w:rPr>
          <w:vertAlign w:val="superscript"/>
        </w:rPr>
        <w:t>14</w:t>
      </w:r>
    </w:p>
    <w:p w14:paraId="30FC58FF" w14:textId="77777777" w:rsidR="00DD7D58" w:rsidRDefault="00DD7D58" w:rsidP="00DE35F5">
      <w:pPr>
        <w:pStyle w:val="BookBody"/>
      </w:pPr>
      <w:r>
        <w:t>On the operational planet, classifications connect domains that otherwise could not act together. A land-cover category links satellite pixels to forestry policy; a species status links field observations to legal protection; a credit category links transactions to a lending decision; a threat classification links sensor readings to security response. Each connection can make coordinated care possible. Each can also allow a remote institution to act without encountering the place or person affected. The nec</w:t>
      </w:r>
      <w:r>
        <w:t>essary question is therefore not only whether a category is accurate. It is whether the entire classificatory chain permits correction from the world it organizes. A system that can ingest new data but cannot hear an objection is informationally open and politically closed.</w:t>
      </w:r>
    </w:p>
    <w:p w14:paraId="5BEF0015" w14:textId="77777777" w:rsidR="00DD7D58" w:rsidRDefault="00DD7D58" w:rsidP="00DE35F5">
      <w:pPr>
        <w:pStyle w:val="SectionHeading"/>
      </w:pPr>
      <w:r>
        <w:t>Inside the Control Room</w:t>
      </w:r>
    </w:p>
    <w:p w14:paraId="7AE31079" w14:textId="77777777" w:rsidR="00DD7D58" w:rsidRDefault="00DD7D58" w:rsidP="00DE35F5">
      <w:pPr>
        <w:pStyle w:val="BookBody"/>
      </w:pPr>
      <w:r>
        <w:t>The control room gathers the operational world into a field of attention. Banks of gauges, annunciators, mimic diagrams, switches, clocks, phones, and later screens bring dispersed processes before operators who cannot directly see the turbines, transmission lines, reservoirs, substations, factories, and households they coordinate. A needle falls; a light changes color; a frequency drifts; an alarm sounds. Each signal is a reduction, but not therefore a fiction. It is a carefully engineered relation between</w:t>
      </w:r>
      <w:r>
        <w:t xml:space="preserve"> a distant condition and a perceptible mark. The room exists because the system’s spatial extent exceeds unaided perception and because its components must respond within a shared temporal order. Control is a practice of mediated presence.</w:t>
      </w:r>
    </w:p>
    <w:p w14:paraId="73FBF2E8" w14:textId="77777777" w:rsidR="00DD7D58" w:rsidRDefault="00DD7D58" w:rsidP="00DE35F5">
      <w:pPr>
        <w:pStyle w:val="FigureCaption"/>
      </w:pPr>
      <w:r>
        <w:t>[FIGURE 23.3 — MATERIAL-WITNESS PLACEHOLDER: CONTROL ROOM. Insert a documented historical electrical-system dispatch or generating-station control room with visible operators, instruments, and system diagram or panels. Provide facility, utility, location, date, photographer or institutional creator, archive, and stable identifier; caption should identify what could and could not be seen from the room.]</w:t>
      </w:r>
    </w:p>
    <w:p w14:paraId="23A29F5A" w14:textId="77777777" w:rsidR="00DD7D58" w:rsidRDefault="00DD7D58" w:rsidP="00DE35F5">
      <w:pPr>
        <w:pStyle w:val="BookBody"/>
      </w:pPr>
      <w:r>
        <w:t>Norbert Wiener gave the mid-twentieth century a general language for this relation. Cybernetics joined control and communication in animals and machines by concentrating on messages, feedback, prediction, and regulation. In a feedback system, the desired state is not secured by issuing a command once. Performance is sensed and compared with a pattern; as Wiener puts it, “the difference between this pattern and the actually performed motion is used as a new input.” A steering engine turns against load; a the</w:t>
      </w:r>
      <w:r>
        <w:t xml:space="preserve">rmostat responds to temperature; a human hand corrects its movement toward a pencil; a power governor adjusts supply as </w:t>
      </w:r>
      <w:r>
        <w:t>frequency changes. The loop makes control responsive to what actually occurs rather than to what was expected to occur.</w:t>
      </w:r>
      <w:r>
        <w:rPr>
          <w:vertAlign w:val="superscript"/>
        </w:rPr>
        <w:t>15</w:t>
      </w:r>
    </w:p>
    <w:p w14:paraId="30C7F6EB" w14:textId="77777777" w:rsidR="00DD7D58" w:rsidRDefault="00DD7D58" w:rsidP="00DE35F5">
      <w:pPr>
        <w:pStyle w:val="BookBody"/>
      </w:pPr>
      <w:r>
        <w:t>Feedback is often described as though it automatically produced stability. Wiener’s examples show otherwise. Delayed or excessive correction can cause overshoot and oscillation. A steering mechanism hunts; a biological movement becomes tremor; a market intervention amplifies volatility; a grid controller can chase a changing load. The loop has a gain, a lag, a noise environment, and a model of the process it regulates. These properties determine whether information dampens a deviation or magnifies it. Contr</w:t>
      </w:r>
      <w:r>
        <w:t>ol therefore depends on temporal judgment. A signal arrives after the event that generated it, and an action affects a system that may already have changed. Prediction enters because effective response must anticipate at least part of that interval.</w:t>
      </w:r>
    </w:p>
    <w:p w14:paraId="02586A32" w14:textId="77777777" w:rsidR="00DD7D58" w:rsidRDefault="00DD7D58" w:rsidP="00DE35F5">
      <w:pPr>
        <w:pStyle w:val="BookBody"/>
      </w:pPr>
      <w:r>
        <w:t>The control room also reveals that information is physical and selective. A sensor must be coupled to a process. A signal requires energy, transmission, calibration, and a channel. The panel cannot display everything, because undifferentiated totality would be useless. Designers decide which deviations deserve alarms and how operators can act upon them. The threshold creates a practical distinction between acceptable fluctuation and a condition requiring intervention. In this sense, every control room conta</w:t>
      </w:r>
      <w:r>
        <w:t>ins norms. Voltage and frequency bands may be technical requirements; reserve margins may reflect engineering judgment; load-shedding priorities may encode social decisions about which services must remain powered. The room’s apparent neutrality is the visible surface of prior choices.</w:t>
      </w:r>
    </w:p>
    <w:p w14:paraId="14EEA4F5" w14:textId="77777777" w:rsidR="00DD7D58" w:rsidRDefault="00DD7D58" w:rsidP="00DE35F5">
      <w:pPr>
        <w:pStyle w:val="BookBody"/>
      </w:pPr>
      <w:r>
        <w:t xml:space="preserve">Cybernetics crossed the boundary between organism and machine because feedback seemed to name a common relational form. Chapter 22 encountered planetary feedback in Gaia theory: organisms alter environmental conditions, which in turn alter organisms and ecological processes. Cybernetic language can illuminate such reciprocal causality, but it can also produce a dangerous shortcut. A biosphere with feedback is not necessarily a control system with a designer, a set point, or a unified interest. A population </w:t>
      </w:r>
      <w:r>
        <w:t>regulated by administrative policy is not an organism. An organism’s normativity is not reducible to an engineer’s objective function. The similarity lies in circular causation; the difference lies in how norms arise, how boundaries are drawn, and who can revise the goal.</w:t>
      </w:r>
    </w:p>
    <w:p w14:paraId="223B059A" w14:textId="77777777" w:rsidR="00DD7D58" w:rsidRDefault="00DD7D58" w:rsidP="00DE35F5">
      <w:pPr>
        <w:pStyle w:val="BookBody"/>
      </w:pPr>
      <w:r>
        <w:t xml:space="preserve">The operator’s body keeps this difference present. Control rooms are not disembodied brains. Operators learn the sound and tempo of equipment, recognize patterns not yet formalized, coordinate through speech, and sometimes distrust an instrument that technically remains within calibration. Their practical knowledge can compensate for models, but it can also become opaque and exclusionary. </w:t>
      </w:r>
      <w:r>
        <w:t>Automation redistributes rather than eliminates judgment. A system may handle routine fluctuations and leave humans only rare emergencies for which routine has not prepared them. The person then becomes responsible at precisely the moment when the display is least adequate. Operational intelligence lies in designing relations among instruments, models, procedures, and embodied expertise so that each can correct the others.</w:t>
      </w:r>
      <w:r>
        <w:rPr>
          <w:vertAlign w:val="superscript"/>
        </w:rPr>
        <w:t>16</w:t>
      </w:r>
    </w:p>
    <w:p w14:paraId="4D52B112" w14:textId="77777777" w:rsidR="00DD7D58" w:rsidRDefault="00DD7D58" w:rsidP="00DE35F5">
      <w:pPr>
        <w:pStyle w:val="SectionHeading"/>
      </w:pPr>
      <w:r>
        <w:t>Technical Objects Are Not Mere Tools</w:t>
      </w:r>
    </w:p>
    <w:p w14:paraId="785FEE5B" w14:textId="77777777" w:rsidR="00DD7D58" w:rsidRDefault="00DD7D58" w:rsidP="00DE35F5">
      <w:pPr>
        <w:pStyle w:val="BookBody"/>
      </w:pPr>
      <w:r>
        <w:t>If the control room tempts us to picture technology as an obedient instrument in human hands, Gilbert Simondon interrupts the picture. His central claim is not that machines are alive or morally sovereign. It is that a technical object has a mode of existence that cannot be understood by considering only its use. A turbine, engine, transformer, or electronic circuit is a structured reality with an internal history. Its components bear reciprocal relations; heat, friction, insulation, airflow, materials, and</w:t>
      </w:r>
      <w:r>
        <w:t xml:space="preserve"> energy exchange condition one another. A user may treat it as a black box that produces an output, but the object’s technical intelligibility lies in the genesis by which its functions became integrated.</w:t>
      </w:r>
    </w:p>
    <w:p w14:paraId="13480BB4" w14:textId="77777777" w:rsidR="00DD7D58" w:rsidRDefault="00DD7D58" w:rsidP="00DE35F5">
      <w:pPr>
        <w:pStyle w:val="BookBody"/>
      </w:pPr>
      <w:r>
        <w:t>Simondon calls this genesis concretization. An abstract technical object assigns separate structures to separate functions and must add corrective devices to manage their conflicts. A more concrete object organizes several functions synergistically. What was once a harmful side effect may become part of the operation; a structure may cool, support, and conduct at once; the ensemble becomes more coherent with its physical conditions. Concretization is not a mystical self-perfection and does not proceed indep</w:t>
      </w:r>
      <w:r>
        <w:t>endently of inventors, laboratories, industries, materials, or markets. It names a tendency within technical development toward reciprocal compatibility. It allows technical change to be understood as more than the linear execution of a prior human intention. Problems emerge from the object’s functioning, and solutions reorganize what the object is.</w:t>
      </w:r>
      <w:r>
        <w:rPr>
          <w:vertAlign w:val="superscript"/>
        </w:rPr>
        <w:t>17</w:t>
      </w:r>
    </w:p>
    <w:p w14:paraId="4DF5A892" w14:textId="77777777" w:rsidR="00DD7D58" w:rsidRDefault="00DD7D58" w:rsidP="00DE35F5">
      <w:pPr>
        <w:pStyle w:val="BookBody"/>
      </w:pPr>
      <w:r>
        <w:t>The associated milieu extends this insight beyond the object’s casing. Simondon’s example of the Guimbal turbine is instructive. Oil and water surrounding the turbine are not an external environment to which a finished machine is later adapted. Their movements participate in cooling and insulation; the machine conditions the milieu that conditions the machine. The viable technical individual includes this recurrent relation. It can exist only as an ensemble of fabricated structures and natural processes. Th</w:t>
      </w:r>
      <w:r>
        <w:t>e associated milieu is therefore neither pure nature nor pure artifact. It is the field in which technical functioning individuates itself.</w:t>
      </w:r>
    </w:p>
    <w:p w14:paraId="6450BB02" w14:textId="77777777" w:rsidR="00DD7D58" w:rsidRDefault="00DD7D58" w:rsidP="00DE35F5">
      <w:pPr>
        <w:pStyle w:val="BookBody"/>
      </w:pPr>
      <w:r>
        <w:t xml:space="preserve">This idea changes how infrastructure should be perceived. A power transformer includes ambient temperature, cooling medium, load pattern, maintenance access, and grid frequency within the conditions of its functioning. A data center includes air and water flows, electricity supply, network latency, replacement chains, and the labor that maintains them. A satellite includes orbital conditions, ground stations, timing standards, software, and the radio spectrum. None is self-contained. The operational planet </w:t>
      </w:r>
      <w:r>
        <w:t xml:space="preserve">is made from technical individuals nested in associated milieus, and those milieus increasingly overlap with living ones. </w:t>
      </w:r>
    </w:p>
    <w:p w14:paraId="082330FE" w14:textId="77777777" w:rsidR="00DD7D58" w:rsidRDefault="00DD7D58" w:rsidP="00DE35F5">
      <w:pPr>
        <w:pStyle w:val="BookBody"/>
      </w:pPr>
      <w:r>
        <w:t>Cooling water returns to a river; transmission corridors cross habitats; sensor networks reorganize attention; maintenance schedules shape labor. Technical functionality and ecological consequence cannot be separated into different worlds.</w:t>
      </w:r>
    </w:p>
    <w:p w14:paraId="491B3E04" w14:textId="77777777" w:rsidR="00DD7D58" w:rsidRDefault="00DD7D58" w:rsidP="00DE35F5">
      <w:pPr>
        <w:pStyle w:val="BookBody"/>
      </w:pPr>
      <w:r>
        <w:t>Simondon’s philosophical target is the false opposition between human culture and technical reality. “The opposition drawn between culture and technics, between man and machine, is false and has no foundation.” The sentence does not absolve technical systems of political criticism. It directs criticism toward a more demanding object. If machines are treated as alien servants, culture ignores the human knowledge and natural forces crystallized within them, while ownership and use remain the only recognized r</w:t>
      </w:r>
      <w:r>
        <w:t>elations. Technical literacy should instead make their modes of operation part of public culture. People governed by a grid, platform, model, or automated system need more than consumer choice. They need intelligible access to the relations through which the system acts.</w:t>
      </w:r>
      <w:r>
        <w:rPr>
          <w:vertAlign w:val="superscript"/>
        </w:rPr>
        <w:t>18</w:t>
      </w:r>
    </w:p>
    <w:p w14:paraId="3526ECB5" w14:textId="77777777" w:rsidR="00DD7D58" w:rsidRDefault="00DD7D58" w:rsidP="00DE35F5">
      <w:pPr>
        <w:pStyle w:val="BookBody"/>
      </w:pPr>
      <w:r>
        <w:t>This is where Simondon and Canguilhem can be joined without collapsing their differences. Canguilhem insists that the living being establishes norms and possesses a plasticity not captured by the designed machine. Simondon insists that the machine is not inert matter receiving an externally complete form. Technical objects develop through functional integration and depend on associated milieus. Together they block two symmetrical reductions: the organism is not a machine, and the machine is not a mere utens</w:t>
      </w:r>
      <w:r>
        <w:t>il. A technical system can acquire constraints and trajectories that no individual controller intended, yet it does not thereby become a living subject. Its direction remains entangled with institutions, markets, maintenance, standards, and human projects. Responsibility is distributed, but it does not disappear.</w:t>
      </w:r>
    </w:p>
    <w:p w14:paraId="315399A5" w14:textId="77777777" w:rsidR="00DD7D58" w:rsidRDefault="00DD7D58" w:rsidP="00DE35F5">
      <w:pPr>
        <w:pStyle w:val="BookBody"/>
      </w:pPr>
      <w:r>
        <w:t xml:space="preserve">The control room can now be read as a relation among individuating systems. The electrical network has technical requirements produced by the reciprocal behavior of generators, lines, loads, and protections. Operators possess embodied norms of attention and safety. Institutions define reliability, cost, and acceptable interruption. Households and hospitals depend on electricity for forms of life that </w:t>
      </w:r>
      <w:r>
        <w:t>the grid’s equations register only as load. Good operation cannot mean imposing one order upon passive components. It requires negotiating among technical constraints, public purposes, ecological limits, and living needs. The more concretely the technical object is understood, the less credible it becomes to call a political failure merely technical—or to call a technical limitation merely political.</w:t>
      </w:r>
      <w:r>
        <w:rPr>
          <w:vertAlign w:val="superscript"/>
        </w:rPr>
        <w:t>19</w:t>
      </w:r>
    </w:p>
    <w:p w14:paraId="6F3A2A20" w14:textId="77777777" w:rsidR="00DD7D58" w:rsidRDefault="00DD7D58" w:rsidP="00DE35F5">
      <w:pPr>
        <w:pStyle w:val="SectionHeading"/>
      </w:pPr>
      <w:r>
        <w:t>The Grid as a World-Making Network</w:t>
      </w:r>
    </w:p>
    <w:p w14:paraId="256F1001" w14:textId="77777777" w:rsidR="00DD7D58" w:rsidRDefault="00DD7D58" w:rsidP="00DE35F5">
      <w:pPr>
        <w:pStyle w:val="BookBody"/>
      </w:pPr>
      <w:r>
        <w:t xml:space="preserve">An electrical grid is a system in the strong sense: a network in which a change in one component can alter the state of others. Generators must be synchronized; voltage and frequency maintained; supply balanced with demand; faults isolated before they propagate. The grid abolishes distance selectively. A household receives energy produced far away without knowing the mine, dam, reactor, turbine, wind farm, transmission corridor, or dispatch decision that made the current available. The wall outlet presents </w:t>
      </w:r>
      <w:r>
        <w:t>an extraordinary technical and institutional achievement as a simple background condition. Electricity seems to come from nowhere because the network has become infrastructure.</w:t>
      </w:r>
    </w:p>
    <w:p w14:paraId="30C5ABF0" w14:textId="77777777" w:rsidR="00DD7D58" w:rsidRDefault="00DD7D58" w:rsidP="00DE35F5">
      <w:pPr>
        <w:pStyle w:val="FigureCaption"/>
      </w:pPr>
      <w:r>
        <w:t>[FIGURE 23.4 — MATERIAL-WITNESS PLACEHOLDER: ELECTRICAL GRID. Insert a documented historical network map or system diagram showing generation, transmission, substations, and load centers in one of the electrification systems treated by Thomas P. Hughes. Provide utility or planning body, place, date, publication or archive, page or stable identifier, and a caption explaining the operational relationships represented.]</w:t>
      </w:r>
    </w:p>
    <w:p w14:paraId="2A61EB28" w14:textId="77777777" w:rsidR="00DD7D58" w:rsidRDefault="00DD7D58" w:rsidP="00DE35F5">
      <w:pPr>
        <w:pStyle w:val="BookBody"/>
      </w:pPr>
      <w:r>
        <w:t xml:space="preserve">Thomas P. Hughes’s </w:t>
      </w:r>
      <w:r>
        <w:rPr>
          <w:i/>
        </w:rPr>
        <w:t>Networks of Power</w:t>
      </w:r>
      <w:r>
        <w:t xml:space="preserve"> reconstructs how such systems grew through the work of inventors, financiers, managers, regulators, manufacturers, utilities, and users. His unit is not a machine alone but a sociotechnical system whose components include organizations and laws as well as wires and generators. System builders pursue coherence, but growth is uneven. One component lags behind the advancing network and becomes what Hughes calls a reverse salient. It may be a lamp filament, a transmission loss, a generating limit, an incompati</w:t>
      </w:r>
      <w:r>
        <w:t>ble regulation, or an economic constraint. Engineers define the lag as a critical problem and seek a solution that allows the whole system to expand. The system’s needs therefore organize invention.</w:t>
      </w:r>
      <w:r>
        <w:rPr>
          <w:vertAlign w:val="superscript"/>
        </w:rPr>
        <w:t>20</w:t>
      </w:r>
    </w:p>
    <w:p w14:paraId="098736A0" w14:textId="77777777" w:rsidR="00DD7D58" w:rsidRDefault="00DD7D58" w:rsidP="00DE35F5">
      <w:pPr>
        <w:pStyle w:val="BookBody"/>
      </w:pPr>
      <w:r>
        <w:t xml:space="preserve">The language of system goals can obscure whose goals they are. Reliability, load factor, efficiency, territorial expansion, and return on investment are not interchangeable. A utility may increase load factor by recruiting industrial demand; a regulator may seek universal service; a city may prefer local control; a manufacturer may favor standards compatible with its equipment. Hughes’s comparative histories of Berlin, Chicago, London, and regional systems show that </w:t>
      </w:r>
      <w:r>
        <w:t>technical configurations bear political styles. Municipal institutions, private capital, legal authority, engineering traditions, fuel sources, and geography shape the network. There is no purely technical grid beneath society and no purely social order floating above the wires. The network materializes their settlement.</w:t>
      </w:r>
    </w:p>
    <w:p w14:paraId="23474A7B" w14:textId="77777777" w:rsidR="00DD7D58" w:rsidRDefault="00DD7D58" w:rsidP="00DE35F5">
      <w:pPr>
        <w:pStyle w:val="BookBody"/>
      </w:pPr>
      <w:r>
        <w:t>As systems mature they acquire momentum. Investments in plant and transmission, trained professions, regulations, habits, supply chains, and dependent industries make established paths difficult to redirect. Momentum is not autonomous technological destiny. It is the accumulated force of heterogeneous commitments. Because the grid has become a condition of hospitals, water systems, communications, refrigeration, transport, finance, and domestic life, changing it involves more than replacing machinery. The s</w:t>
      </w:r>
      <w:r>
        <w:t>ystem’s success deepens dependence, and dependence increases the cost of transition. A network built around fossil generation can remain resistant even when alternatives are technically viable because mines, jobs, tariffs, contracts, tax bases, and political identities have grown around it.</w:t>
      </w:r>
    </w:p>
    <w:p w14:paraId="01010690" w14:textId="77777777" w:rsidR="00DD7D58" w:rsidRDefault="00DD7D58" w:rsidP="00DE35F5">
      <w:pPr>
        <w:pStyle w:val="BookBody"/>
      </w:pPr>
      <w:r>
        <w:t>The grid’s map is thus both diagram and territory-making act. It shows nodes and lines, capacities and flows; it omits the smoke, displaced settlements, dammed rivers, maintenance injuries, and unequal reliability through which those lines were built. Yet the omissions do not make the diagram useless. Without such abstraction operators could not balance the network, planners could not locate constraints, and communities could not contest where investment is withheld. The ethical demand is to connect the dia</w:t>
      </w:r>
      <w:r>
        <w:t>gram back to its associated milieus. A transmission line is an electrical path, a property corridor, a habitat disturbance, a wildfire risk, a visual presence, and a route of public dependence. No single representation captures all these relations. Responsible planning makes them answer one another.</w:t>
      </w:r>
    </w:p>
    <w:p w14:paraId="1F65666E" w14:textId="77777777" w:rsidR="00DD7D58" w:rsidRDefault="00DD7D58" w:rsidP="00DE35F5">
      <w:pPr>
        <w:pStyle w:val="BookBody"/>
      </w:pPr>
      <w:r>
        <w:t>The material witness of the grid also corrects a familiar story about modern disenchantment. Electrification did not simply drain qualitative worlds into neutral power. It reorganized night, work, domestic labor, urban movement, danger, comfort, spectacle, and expectation. The reliable switch made light seem immediately available; the blackout suddenly reveals the network and the vulnerability hidden in convenience. Technical systems create lived worlds even when their operational categories cannot describe</w:t>
      </w:r>
      <w:r>
        <w:t xml:space="preserve"> those worlds. A voltage standard is abstract, but the incubator it sustains is not. A dispatch decision is numerical, but the refrigerated food, cooled apartment, illuminated street, and powered respirator are qualitative realities. The operational and the lived are not enemies. The danger arises when the former forgets that its legitimacy comes from serving the latter.</w:t>
      </w:r>
    </w:p>
    <w:p w14:paraId="10175292" w14:textId="77777777" w:rsidR="00DD7D58" w:rsidRDefault="00DD7D58" w:rsidP="00DE35F5">
      <w:pPr>
        <w:pStyle w:val="BookBody"/>
      </w:pPr>
      <w:r>
        <w:t xml:space="preserve">Hughes’s history also shows why local technical knowledge matters within large systems. Network growth requires central coordination, yet every region brings </w:t>
      </w:r>
      <w:r>
        <w:t>different resources, institutions, and loads. Uniformity can permit interconnection; excessive uniformity can erase resilience and local competence. A system optimized for average demand may become brittle under extremes. Redundancy that appears inefficient in ordinary operation can preserve life during fire, storm, heat, war, or equipment failure. The statistical and engineering meaning of efficiency must therefore be situated within time. What looks like unused capacity today may be tomorrow’s margin of s</w:t>
      </w:r>
      <w:r>
        <w:t>urvival. The grid is operational reason made material, but operational reason must learn to value the capacity for unpredicted conditions that Canguilhem identifies with health.</w:t>
      </w:r>
      <w:r>
        <w:rPr>
          <w:vertAlign w:val="superscript"/>
        </w:rPr>
        <w:t>21</w:t>
      </w:r>
    </w:p>
    <w:p w14:paraId="69C76A64" w14:textId="77777777" w:rsidR="00DD7D58" w:rsidRDefault="00DD7D58" w:rsidP="00DE35F5">
      <w:pPr>
        <w:pStyle w:val="SectionHeading"/>
      </w:pPr>
      <w:r>
        <w:t>From Operational Knowledge to Statistical Fate</w:t>
      </w:r>
    </w:p>
    <w:p w14:paraId="22495B21" w14:textId="77777777" w:rsidR="00DD7D58" w:rsidRDefault="00DD7D58" w:rsidP="00DE35F5">
      <w:pPr>
        <w:pStyle w:val="BookBody"/>
      </w:pPr>
      <w:r>
        <w:t>The four material witnesses can now be placed in one sequence. The census form establishes cases and categories. The statistical curve discloses a distribution and makes deviation visible. The control room turns selected variables into signals for timely intervention. The electrical grid joins dispersed components into an interdependent system whose condition must be continually maintained. None of the four is merely representational. Each reorganizes action. The form allocates; the curve compares; the room</w:t>
      </w:r>
      <w:r>
        <w:t xml:space="preserve"> regulates; the grid distributes. Together they define the operational world as a world made present through procedures that permit something to be done.</w:t>
      </w:r>
    </w:p>
    <w:p w14:paraId="7339C638" w14:textId="77777777" w:rsidR="00DD7D58" w:rsidRDefault="00DD7D58" w:rsidP="00DE35F5">
      <w:pPr>
        <w:pStyle w:val="BookBody"/>
      </w:pPr>
      <w:r>
        <w:t>This operationalization is among modernity’s most indispensable achievements. It enables public health to detect an epidemic, a grid operator to prevent cascading failure, a city to locate unequal heat exposure, an insurer to pool catastrophe, and a government to document poverty beyond anecdote. It expands the scale of responsibility. A distant death can enter a rate and compel an institution to answer; a dispersed pollutant can become a trend; a failure recurring across thousands of cases can no longer be</w:t>
      </w:r>
      <w:r>
        <w:t xml:space="preserve"> dismissed as private misfortune. Quantification can make power accountable because promises and harms become comparable over time.</w:t>
      </w:r>
    </w:p>
    <w:p w14:paraId="0A764C41" w14:textId="77777777" w:rsidR="00DD7D58" w:rsidRDefault="00DD7D58" w:rsidP="00DE35F5">
      <w:pPr>
        <w:pStyle w:val="BookBody"/>
      </w:pPr>
      <w:r>
        <w:t>But the same chain can convert statistical regularity into statistical fate. The form may offer no category through which a life can speak. The model may treat past discrimination as a reliable predictor. The threshold may naturalize a politically chosen level of harm. The control room may render a place as load, risk, cost, or target while excluding the meanings by which inhabitants know it as home. Operational enclosure occurs when the system’s categories become the only publicly effective reality and whe</w:t>
      </w:r>
      <w:r>
        <w:t>n those affected can neither inspect nor revise the operations. The world remains materially open, but the institution encounters only variables it already knows how to process.</w:t>
      </w:r>
    </w:p>
    <w:p w14:paraId="77582177" w14:textId="77777777" w:rsidR="00DD7D58" w:rsidRDefault="00DD7D58" w:rsidP="00DE35F5">
      <w:pPr>
        <w:pStyle w:val="BookBody"/>
      </w:pPr>
      <w:r>
        <w:t>The answer is not to restore an unmeasured immediacy. There is no return from the census to a community in which everyone is personally known, from the grid to a household untouched by infrastructure, or from epidemiology to unaided clinical sight. Such nostalgia forgets the exclusions sustained by local authority and the suffering that large-scale knowledge has exposed. The task is to keep abstraction relational. Every measure should retain a path back to its conditions of production; every category a proc</w:t>
      </w:r>
      <w:r>
        <w:t>edure for appeal; every model a statement of uncertainty and purpose; every control system a means of receiving feedback from those whose worlds it changes. Numbers become publicly answerable when their chains of reference and intervention are visible.</w:t>
      </w:r>
    </w:p>
    <w:p w14:paraId="0B08D9DB" w14:textId="77777777" w:rsidR="00DD7D58" w:rsidRDefault="00DD7D58" w:rsidP="00DE35F5">
      <w:pPr>
        <w:pStyle w:val="BookBody"/>
      </w:pPr>
      <w:r>
        <w:t>This requires a plural account of norms. Technical norms secure compatibility and safe operation. Statistical norms describe distributions. Administrative norms make decisions repeatable. Legal norms establish obligations and rights. Living norms express the capacities and vulnerabilities through which organisms inhabit milieus. These forms can conflict, but none can simply replace the others. A legal right may correct a statistically common injustice. A technical standard may protect biological life. A liv</w:t>
      </w:r>
      <w:r>
        <w:t>ing need may justify redesigning an efficient system. Political judgment is the practice of arranging these norms without allowing the easiest to calculate to become sovereign.</w:t>
      </w:r>
    </w:p>
    <w:p w14:paraId="6D9A5157" w14:textId="77777777" w:rsidR="00DD7D58" w:rsidRDefault="00DD7D58" w:rsidP="00DE35F5">
      <w:pPr>
        <w:pStyle w:val="BookBody"/>
      </w:pPr>
      <w:r>
        <w:t>The operational planet therefore does not restore the ancient cosmos. Its connections are not a pre-given hierarchy of meanings in which every being has an appointed place. Nor is it the neutral universe alone. It is an Earth rendered actionable by classifications, probabilities, standards, models, and technical networks. These relations are real because they are materially instituted and consequential; they are contingent because they could have been arranged otherwise and can be revised. The planet they d</w:t>
      </w:r>
      <w:r>
        <w:t>isclose is neither an organism with a single good nor a machine with a single operator. It is a contested field in which living and technical systems overlap, where interventions return as altered conditions, and where no center possesses the whole.</w:t>
      </w:r>
    </w:p>
    <w:p w14:paraId="542F6BF1" w14:textId="77777777" w:rsidR="00DD7D58" w:rsidRDefault="00DD7D58" w:rsidP="00DE35F5">
      <w:pPr>
        <w:pStyle w:val="BookBody"/>
      </w:pPr>
      <w:r>
        <w:t>The next movement will follow the extension of this field beyond the census office and control room. Satellites make position and planetary change continuously available; global positioning systems synchronize movement through orbital time; platforms classify conduct at the instant it occurs; artificial intelligence converts historical traces into predictions that act back upon the people predicted. The statistical law that once appeared in printed tables becomes an environment operating in real time. A per</w:t>
      </w:r>
      <w:r>
        <w:t xml:space="preserve">son no longer merely answers a form but leaves data through movement, search, purchase, labor, speech, and association. The ancient </w:t>
      </w:r>
      <w:r>
        <w:t>question of fate returns in technical form: whether a pattern inferred from the past will be allowed to decide the future.</w:t>
      </w:r>
      <w:r>
        <w:rPr>
          <w:vertAlign w:val="superscript"/>
        </w:rPr>
        <w:t>22</w:t>
      </w:r>
    </w:p>
    <w:p w14:paraId="3A4CE7C6" w14:textId="77777777" w:rsidR="00DD7D58" w:rsidRDefault="00DD7D58" w:rsidP="00DE35F5">
      <w:pPr>
        <w:pStyle w:val="NotesHeading"/>
      </w:pPr>
      <w:r>
        <w:t>Notes</w:t>
      </w:r>
    </w:p>
    <w:p w14:paraId="33646DFF" w14:textId="77777777" w:rsidR="00DD7D58" w:rsidRDefault="00DD7D58" w:rsidP="00DE35F5">
      <w:pPr>
        <w:pStyle w:val="NoteEntry"/>
      </w:pPr>
      <w:r>
        <w:t xml:space="preserve">1. Ian Hacking, </w:t>
      </w:r>
      <w:r>
        <w:rPr>
          <w:i/>
        </w:rPr>
        <w:t>The Taming of Chance</w:t>
      </w:r>
      <w:r>
        <w:t xml:space="preserve"> (Cambridge: Cambridge University Press, 1990), 1–7, especially 2–3 on the expansion of the United States census and the institutional conditions of population.</w:t>
      </w:r>
    </w:p>
    <w:p w14:paraId="2EDCAC06" w14:textId="77777777" w:rsidR="00DD7D58" w:rsidRDefault="00DD7D58" w:rsidP="00DE35F5">
      <w:pPr>
        <w:pStyle w:val="NoteEntry"/>
      </w:pPr>
      <w:r>
        <w:t xml:space="preserve">2. Hacking, </w:t>
      </w:r>
      <w:r>
        <w:rPr>
          <w:i/>
        </w:rPr>
        <w:t>The Taming of Chance</w:t>
      </w:r>
      <w:r>
        <w:t>, 1–10, 27–35. Hacking’s “avalanche” names the publication and circulation of official numbers after the Napoleonic era, not simply an increase in private calculation.</w:t>
      </w:r>
    </w:p>
    <w:p w14:paraId="62C03A98" w14:textId="77777777" w:rsidR="00DD7D58" w:rsidRDefault="00DD7D58" w:rsidP="00DE35F5">
      <w:pPr>
        <w:pStyle w:val="NoteEntry"/>
      </w:pPr>
      <w:r>
        <w:t xml:space="preserve">3. Alain Desrosières, </w:t>
      </w:r>
      <w:r>
        <w:rPr>
          <w:i/>
        </w:rPr>
        <w:t>The Politics of Large Numbers: A History of Statistical Reasoning</w:t>
      </w:r>
      <w:r>
        <w:t>, trans. Camille Naish (Cambridge, MA: Harvard University Press, 1998), 1–15, 236–62.</w:t>
      </w:r>
    </w:p>
    <w:p w14:paraId="0394BFF3" w14:textId="77777777" w:rsidR="00DD7D58" w:rsidRDefault="00DD7D58" w:rsidP="00DE35F5">
      <w:pPr>
        <w:pStyle w:val="NoteEntry"/>
      </w:pPr>
      <w:r>
        <w:t xml:space="preserve">4. Hacking, </w:t>
      </w:r>
      <w:r>
        <w:rPr>
          <w:i/>
        </w:rPr>
        <w:t>The Taming of Chance</w:t>
      </w:r>
      <w:r>
        <w:t xml:space="preserve">, 105–14, 160–81; Desrosières, </w:t>
      </w:r>
      <w:r>
        <w:rPr>
          <w:i/>
        </w:rPr>
        <w:t>The Politics of Large Numbers</w:t>
      </w:r>
      <w:r>
        <w:t>, 67–102. Both reconstruct the transfer from the law of error to human distributions and the divergent normative uses of the average.</w:t>
      </w:r>
    </w:p>
    <w:p w14:paraId="7C9481E0" w14:textId="77777777" w:rsidR="00DD7D58" w:rsidRDefault="00DD7D58" w:rsidP="00DE35F5">
      <w:pPr>
        <w:pStyle w:val="NoteEntry"/>
      </w:pPr>
      <w:r>
        <w:t xml:space="preserve">5. Desrosières, </w:t>
      </w:r>
      <w:r>
        <w:rPr>
          <w:i/>
        </w:rPr>
        <w:t>The Politics of Large Numbers</w:t>
      </w:r>
      <w:r>
        <w:t>, 1–15, especially 8–12 on conventions, spaces of equivalence, encoding, and sampling.</w:t>
      </w:r>
    </w:p>
    <w:p w14:paraId="68475BD8" w14:textId="77777777" w:rsidR="00DD7D58" w:rsidRDefault="00DD7D58" w:rsidP="00DE35F5">
      <w:pPr>
        <w:pStyle w:val="NoteEntry"/>
      </w:pPr>
      <w:r>
        <w:t xml:space="preserve">6. Theodore M. Porter, </w:t>
      </w:r>
      <w:r>
        <w:rPr>
          <w:i/>
        </w:rPr>
        <w:t>Trust in Numbers: The Pursuit of Objectivity in Science and Public Life</w:t>
      </w:r>
      <w:r>
        <w:t xml:space="preserve"> (Princeton, NJ: Princeton University Press, 1995), 35–48, 89–113.</w:t>
      </w:r>
    </w:p>
    <w:p w14:paraId="149B55D9" w14:textId="77777777" w:rsidR="00DD7D58" w:rsidRDefault="00DD7D58" w:rsidP="00DE35F5">
      <w:pPr>
        <w:pStyle w:val="NoteEntry"/>
      </w:pPr>
      <w:r>
        <w:t xml:space="preserve">7. Desrosières, </w:t>
      </w:r>
      <w:r>
        <w:rPr>
          <w:i/>
        </w:rPr>
        <w:t>The Politics of Large Numbers</w:t>
      </w:r>
      <w:r>
        <w:t>, 8–15, 236–62. The manuscript’s language of a “factory of comparability” is an interpretive description of the institutional labor Desrosières documents, not his phrase.</w:t>
      </w:r>
    </w:p>
    <w:p w14:paraId="26391A49" w14:textId="77777777" w:rsidR="00DD7D58" w:rsidRDefault="00DD7D58" w:rsidP="00DE35F5">
      <w:pPr>
        <w:pStyle w:val="NoteEntry"/>
      </w:pPr>
      <w:r>
        <w:t xml:space="preserve">8. Porter, </w:t>
      </w:r>
      <w:r>
        <w:rPr>
          <w:i/>
        </w:rPr>
        <w:t>Trust in Numbers</w:t>
      </w:r>
      <w:r>
        <w:t>, ix–xi, 3–12, 73–86, 193–216.</w:t>
      </w:r>
    </w:p>
    <w:p w14:paraId="77B21BB0" w14:textId="77777777" w:rsidR="00DD7D58" w:rsidRDefault="00DD7D58" w:rsidP="00DE35F5">
      <w:pPr>
        <w:pStyle w:val="NoteEntry"/>
      </w:pPr>
      <w:r>
        <w:t xml:space="preserve">9. Georges Canguilhem, </w:t>
      </w:r>
      <w:r>
        <w:rPr>
          <w:i/>
        </w:rPr>
        <w:t>The Normal and the Pathological</w:t>
      </w:r>
      <w:r>
        <w:t>, trans. Carolyn R. Fawcett with Robert S. Cohen (New York: Zone Books, 1991), 125–33, 196–201, 226–29.</w:t>
      </w:r>
    </w:p>
    <w:p w14:paraId="06DD1F7C" w14:textId="77777777" w:rsidR="00DD7D58" w:rsidRDefault="00DD7D58" w:rsidP="00DE35F5">
      <w:pPr>
        <w:pStyle w:val="NoteEntry"/>
      </w:pPr>
      <w:r>
        <w:t xml:space="preserve">10. Georges Canguilhem, “Machine and Organism,” in </w:t>
      </w:r>
      <w:r>
        <w:rPr>
          <w:i/>
        </w:rPr>
        <w:t>Knowledge of Life</w:t>
      </w:r>
      <w:r>
        <w:t>, trans. Stefanos Geroulanos and Daniela Ginsburg (New York: Fordham University Press, 2008), 75–97, especially 89–91.</w:t>
      </w:r>
    </w:p>
    <w:p w14:paraId="6C0D84ED" w14:textId="77777777" w:rsidR="00DD7D58" w:rsidRDefault="00DD7D58" w:rsidP="00DE35F5">
      <w:pPr>
        <w:pStyle w:val="NoteEntry"/>
      </w:pPr>
      <w:r>
        <w:t xml:space="preserve">11. Michel Foucault, </w:t>
      </w:r>
      <w:r>
        <w:rPr>
          <w:i/>
        </w:rPr>
        <w:t>Security, Territory, Population: Lectures at the Collège de France, 1977–1978</w:t>
      </w:r>
      <w:r>
        <w:t>, ed. Michel Senellart, trans. Graham Burchell (New York: Picador, 2009), 4–23, 55–79.</w:t>
      </w:r>
    </w:p>
    <w:p w14:paraId="5DB170BB" w14:textId="77777777" w:rsidR="00DD7D58" w:rsidRDefault="00DD7D58" w:rsidP="00DE35F5">
      <w:pPr>
        <w:pStyle w:val="NoteEntry"/>
      </w:pPr>
      <w:r>
        <w:t xml:space="preserve">12. Foucault, </w:t>
      </w:r>
      <w:r>
        <w:rPr>
          <w:i/>
        </w:rPr>
        <w:t>Security, Territory, Population</w:t>
      </w:r>
      <w:r>
        <w:t>, 20–23, 55–63. The application to contemporary dashboards is the manuscript’s inference from Foucault’s account of case, risk, milieu, and security.</w:t>
      </w:r>
    </w:p>
    <w:p w14:paraId="7B3EA0DA" w14:textId="77777777" w:rsidR="00DD7D58" w:rsidRDefault="00DD7D58" w:rsidP="00DE35F5">
      <w:pPr>
        <w:pStyle w:val="NoteEntry"/>
      </w:pPr>
      <w:r>
        <w:t xml:space="preserve">13. Geoffrey C. Bowker and Susan Leigh Star, </w:t>
      </w:r>
      <w:r>
        <w:rPr>
          <w:i/>
        </w:rPr>
        <w:t>Sorting Things Out: Classification and Its Consequences</w:t>
      </w:r>
      <w:r>
        <w:t xml:space="preserve"> (Cambridge, MA: MIT Press, 1999), 1–32, 51–72.</w:t>
      </w:r>
    </w:p>
    <w:p w14:paraId="2CADD31E" w14:textId="77777777" w:rsidR="00DD7D58" w:rsidRDefault="00DD7D58" w:rsidP="00DE35F5">
      <w:pPr>
        <w:pStyle w:val="NoteEntry"/>
      </w:pPr>
      <w:r>
        <w:t xml:space="preserve">14. Bowker and Star, </w:t>
      </w:r>
      <w:r>
        <w:rPr>
          <w:i/>
        </w:rPr>
        <w:t>Sorting Things Out</w:t>
      </w:r>
      <w:r>
        <w:t>, 135–61, 225–82, 283–317. “Torque” is their term for the strain produced by misaligned categorical systems and biographies.</w:t>
      </w:r>
    </w:p>
    <w:p w14:paraId="2388EC8F" w14:textId="77777777" w:rsidR="00DD7D58" w:rsidRDefault="00DD7D58" w:rsidP="00DE35F5">
      <w:pPr>
        <w:pStyle w:val="NoteEntry"/>
      </w:pPr>
      <w:r>
        <w:t xml:space="preserve">15. Norbert Wiener, </w:t>
      </w:r>
      <w:r>
        <w:rPr>
          <w:i/>
        </w:rPr>
        <w:t>Cybernetics; or, Control and Communication in the Animal and the Machine</w:t>
      </w:r>
      <w:r>
        <w:t>, 2nd ed. (Cambridge, MA: MIT Press, 1961), 1–29, 95–115.</w:t>
      </w:r>
    </w:p>
    <w:p w14:paraId="56E7E870" w14:textId="77777777" w:rsidR="00DD7D58" w:rsidRDefault="00DD7D58" w:rsidP="00DE35F5">
      <w:pPr>
        <w:pStyle w:val="NoteEntry"/>
      </w:pPr>
      <w:r>
        <w:t xml:space="preserve">16. Wiener, </w:t>
      </w:r>
      <w:r>
        <w:rPr>
          <w:i/>
        </w:rPr>
        <w:t>Cybernetics</w:t>
      </w:r>
      <w:r>
        <w:t>, 6–11, 95–115, 155–66. The discussion of operators and automation extends Wiener’s feedback analysis through the control-room witness.</w:t>
      </w:r>
    </w:p>
    <w:p w14:paraId="19CCFD43" w14:textId="77777777" w:rsidR="00DD7D58" w:rsidRDefault="00DD7D58" w:rsidP="00DE35F5">
      <w:pPr>
        <w:pStyle w:val="NoteEntry"/>
      </w:pPr>
      <w:r>
        <w:t xml:space="preserve">17. Gilbert Simondon, </w:t>
      </w:r>
      <w:r>
        <w:rPr>
          <w:i/>
        </w:rPr>
        <w:t>On the Mode of Existence of Technical Objects</w:t>
      </w:r>
      <w:r>
        <w:t>, trans. Cécile Malaspina and John Rogove (Minneapolis: Univocal Publishing, 2017), 25–52.</w:t>
      </w:r>
    </w:p>
    <w:p w14:paraId="681CAE62" w14:textId="77777777" w:rsidR="00DD7D58" w:rsidRDefault="00DD7D58" w:rsidP="00DE35F5">
      <w:pPr>
        <w:pStyle w:val="NoteEntry"/>
      </w:pPr>
      <w:r>
        <w:t xml:space="preserve">18. Simondon, </w:t>
      </w:r>
      <w:r>
        <w:rPr>
          <w:i/>
        </w:rPr>
        <w:t>On the Mode of Existence of Technical Objects</w:t>
      </w:r>
      <w:r>
        <w:t>, 15–22, 129–58.</w:t>
      </w:r>
    </w:p>
    <w:p w14:paraId="2F5AC489" w14:textId="77777777" w:rsidR="00DD7D58" w:rsidRDefault="00DD7D58" w:rsidP="00DE35F5">
      <w:pPr>
        <w:pStyle w:val="NoteEntry"/>
      </w:pPr>
      <w:r>
        <w:t xml:space="preserve">19. Simondon, </w:t>
      </w:r>
      <w:r>
        <w:rPr>
          <w:i/>
        </w:rPr>
        <w:t>On the Mode of Existence of Technical Objects</w:t>
      </w:r>
      <w:r>
        <w:t xml:space="preserve">, 53–83, especially </w:t>
      </w:r>
    </w:p>
    <w:p w14:paraId="48329AEE" w14:textId="77777777" w:rsidR="00DD7D58" w:rsidRDefault="00DD7D58" w:rsidP="00DE35F5">
      <w:pPr>
        <w:pStyle w:val="NoteEntry"/>
      </w:pPr>
      <w:r>
        <w:t>59–62 on the associated milieu; Canguilhem, “Machine and Organism,” 89–97.</w:t>
      </w:r>
    </w:p>
    <w:p w14:paraId="586E6A29" w14:textId="77777777" w:rsidR="00DD7D58" w:rsidRDefault="00DD7D58" w:rsidP="00DE35F5">
      <w:pPr>
        <w:pStyle w:val="NoteEntry"/>
      </w:pPr>
      <w:r>
        <w:t xml:space="preserve">20. Thomas P. Hughes, </w:t>
      </w:r>
      <w:r>
        <w:rPr>
          <w:i/>
        </w:rPr>
        <w:t>Networks of Power: Electrification in Western Society, 1880–1930</w:t>
      </w:r>
      <w:r>
        <w:t xml:space="preserve"> (Baltimore: Johns Hopkins University Press, 1993), 1–17, 79–105.</w:t>
      </w:r>
    </w:p>
    <w:p w14:paraId="1EEB8E99" w14:textId="77777777" w:rsidR="00DD7D58" w:rsidRDefault="00DD7D58" w:rsidP="00DE35F5">
      <w:pPr>
        <w:pStyle w:val="NoteEntry"/>
      </w:pPr>
      <w:r>
        <w:t xml:space="preserve">21. Hughes, </w:t>
      </w:r>
      <w:r>
        <w:rPr>
          <w:i/>
        </w:rPr>
        <w:t>Networks of Power</w:t>
      </w:r>
      <w:r>
        <w:t>, 140–74, 324–62, 404–60. The comparison between infrastructural resilience and biological latitude is the manuscript’s synthesis of Hughes and Canguilhem.</w:t>
      </w:r>
    </w:p>
    <w:p w14:paraId="4DCA460B" w14:textId="77777777" w:rsidR="00DD7D58" w:rsidRDefault="00DD7D58" w:rsidP="00DE35F5">
      <w:pPr>
        <w:pStyle w:val="NoteEntry"/>
      </w:pPr>
      <w:r>
        <w:t xml:space="preserve">22. Hacking, </w:t>
      </w:r>
      <w:r>
        <w:rPr>
          <w:i/>
        </w:rPr>
        <w:t>The Taming of Chance</w:t>
      </w:r>
      <w:r>
        <w:t xml:space="preserve">, 180–215; Porter, </w:t>
      </w:r>
      <w:r>
        <w:rPr>
          <w:i/>
        </w:rPr>
        <w:t>Trust in Numbers</w:t>
      </w:r>
      <w:r>
        <w:t xml:space="preserve">, 193–232; Bowker and Star, </w:t>
      </w:r>
      <w:r>
        <w:rPr>
          <w:i/>
        </w:rPr>
        <w:t>Sorting Things Out</w:t>
      </w:r>
      <w:r>
        <w:t>, 283–326. The extension to satellites, platforms, and artificial intelligence establishes the transition to Chapter 24 and will require its own source apparatus there.</w:t>
      </w:r>
    </w:p>
    <w:p w14:paraId="63EDF241" w14:textId="77777777" w:rsidR="00E87598" w:rsidRPr="00E87598" w:rsidRDefault="00E87598" w:rsidP="00E87598">
      <w:pPr>
        <w:pStyle w:val="ChapterHeading"/>
      </w:pPr>
      <w:bookmarkStart w:id="31" w:name="toc_chapter_24"/>
      <w:r>
        <w:rPr>
          <w:sz w:val="28"/>
        </w:rPr>
        <w:t>Chapter 24</w:t>
      </w:r>
      <w:r>
        <w:rPr>
          <w:sz w:val="28"/>
        </w:rPr>
        <w:br/>
      </w:r>
      <w:r>
        <w:t>Satellite, Algorithm, and Statistical Fate</w:t>
      </w:r>
      <w:bookmarkEnd w:id="31"/>
    </w:p>
    <w:p w14:paraId="3A7394C9" w14:textId="77777777" w:rsidR="00E87598" w:rsidRPr="00E87598" w:rsidRDefault="00E87598" w:rsidP="00E87598">
      <w:pPr>
        <w:pStyle w:val="SectionHeading"/>
      </w:pPr>
      <w:r w:rsidRPr="00E87598">
        <w:t>The Composite Earth</w:t>
      </w:r>
    </w:p>
    <w:p w14:paraId="7F1FAF71" w14:textId="77777777" w:rsidR="00E87598" w:rsidRPr="00E87598" w:rsidRDefault="00E87598" w:rsidP="00E87598">
      <w:pPr>
        <w:pStyle w:val="BookBody"/>
      </w:pPr>
      <w:r w:rsidRPr="00E87598">
        <w:t xml:space="preserve">At first glance the image is indisputable. A blue sphere hangs against blackness; continents occupy their familiar places; oceans shine; vegetation darkens the land; polar ice gathers at the edge. It seems to be the Earth presenting itself all at once, finally freed from the partial perspective of anyone standing upon it. Yet NASA’s </w:t>
      </w:r>
      <w:r w:rsidRPr="00E87598">
        <w:rPr>
          <w:i/>
        </w:rPr>
        <w:t>Blue Marble: Next Generation</w:t>
      </w:r>
      <w:r w:rsidRPr="00E87598">
        <w:t xml:space="preserve"> is not a photograph taken at one instant by a human observer. It is a composite made from many passes of the Moderate Resolution Imaging Spectroradiometer aboard the Terra satellite. Clouds were removed, monthly observations were combined, colors were processed, and data were laid upon a digital globe. The result is faithful to real measurements and impossible as a single act of sight. No eye occupied its viewpoint; no moment contained everything it displays. The image is therefore neither a deception nor an unmediated portrait. It is an operational achievement: the planet made visible through orbital instruments, standardized data, models, processing decisions, and a screen. The historical line traced in the previous chapter has reached its contemporary form. The statistical law once printed in a table has become an environment that locates, classifies, and anticipates in real time. The planet appears not only as a world on which we live but as an object continuously rendered for intervention.</w:t>
      </w:r>
      <w:r w:rsidRPr="00E87598">
        <w:rPr>
          <w:vertAlign w:val="superscript"/>
        </w:rPr>
        <w:t>1</w:t>
      </w:r>
    </w:p>
    <w:p w14:paraId="7D9A8CBD" w14:textId="77777777" w:rsidR="00E87598" w:rsidRPr="00E87598" w:rsidRDefault="00E87598" w:rsidP="00E87598">
      <w:pPr>
        <w:pStyle w:val="FigureCaption"/>
      </w:pPr>
      <w:r w:rsidRPr="00E87598">
        <w:t>[FIGURE 24.1 — MATERIAL-WITNESS PLACEHOLDER: SATELLITE MAP. Insert NASA’s Blue Marble: The Next Generation (2005), a composite of twelve monthly cloud-free MODIS observations from 2004 aboard Terra, at 500 meters per pixel. Preserve full NASA Earth Observatory creator, mission, instrument, processing, date, stable-identifier, and rights metadata. The caption should explain that the apparent photograph is a time-composite data construction, not a single human viewpoint.]</w:t>
      </w:r>
    </w:p>
    <w:p w14:paraId="2D163742" w14:textId="77777777" w:rsidR="00E87598" w:rsidRPr="00E87598" w:rsidRDefault="00E87598" w:rsidP="00E87598">
      <w:pPr>
        <w:pStyle w:val="BookBody"/>
      </w:pPr>
      <w:r w:rsidRPr="00E87598">
        <w:t>The composite Earth brings the book’s governing problem into unusual clarity. The old cosmos situated human beings within a qualitatively articulated whole: seasons, elements, regions of the sky, living kinds, sacred directions, and moral correspondences participated in an order that was at once natural and meaningful. Modern astronomy dissolved much of that order without making the universe unreal. The biosphere and lived world subsequently restored relations that mechanism had obscured, but they did not reinstate a providential totality. The satellite image now offers a different kind of whole. It gathers the planet into one calculable surface and permits observers to move from atmospheric circulation to a field boundary, from forest loss to an individual road. It knows where events occur without knowing what those events mean for those who inhabit them. This is not a defect that better resolution will repair. Meaning is not another spectral band waiting to be sensed from orbit. A flooded house, a migration route, and a military target may occupy exact coordinates while belonging to radically different lived worlds. The operational planet can register the same pixels and still remain indifferent to that difference.</w:t>
      </w:r>
    </w:p>
    <w:p w14:paraId="4852978C" w14:textId="77777777" w:rsidR="00E87598" w:rsidRPr="00E87598" w:rsidRDefault="00E87598" w:rsidP="00E87598">
      <w:pPr>
        <w:pStyle w:val="BookBody"/>
      </w:pPr>
      <w:r w:rsidRPr="00E87598">
        <w:t>Indifference does not imply uselessness. Satellite observations reveal fires hidden by distance, storms forming beyond the horizon, shrinking ice, changing vegetation, and atmospheric motions no local witness could assemble. They permit communities to contest official denial and scientists to test claims on a planetary scale. The achievement is epistemically real. Paul Edwards’s history of climate knowledge shows, however, that global facts are not simply waiting above the clouds to be downloaded. Instruments built for different purposes produce incompatible series; records contain gaps; station locations and techniques change; signals must be calibrated, compared, corrected, modeled, and accompanied by metadata. He calls the resistance encountered in these movements “data friction.” A planetary data set is thus an organized passage through heterogeneous observations, not a transparent copy of a ready-made global object. Models do not merely decorate the data after collection. They help make observations mutually intelligible and enable the state of a system to be estimated where direct measurement is incomplete. The operational Earth is constructed, but constructed in answer to a material world capable of resisting bad constructions.</w:t>
      </w:r>
      <w:r w:rsidRPr="00E87598">
        <w:rPr>
          <w:vertAlign w:val="superscript"/>
        </w:rPr>
        <w:t>2</w:t>
      </w:r>
    </w:p>
    <w:p w14:paraId="238CB505" w14:textId="77777777" w:rsidR="00E87598" w:rsidRPr="00E87598" w:rsidRDefault="00E87598" w:rsidP="00E87598">
      <w:pPr>
        <w:pStyle w:val="BookBody"/>
      </w:pPr>
      <w:r w:rsidRPr="00E87598">
        <w:t>This double character—mediated yet real—must govern everything that follows. It is tempting to describe satellites, platforms, and artificial intelligence as a new omniscience, as if technology had recreated a divine observer. The rhetoric of omniscience flatters the systems it intends to criticize. No platform sees all conduct; no model possesses every relevant variable; no satellite escapes cloud, resolution, orbit, instrument failure, or interpretation. Yet partial systems can exercise enormous power when institutions allow their outputs to organize access, attention, movement, and opportunity. The critical question is therefore not whether a machine literally knows us. It is how particular measurements become authoritative, how models select possible futures, how predictions are converted into present decisions, and how those decisions modify the realities from which later data will be drawn. The issue is less a mechanical eye that sees everything than a recursive order in which partial vision acts upon its own field.</w:t>
      </w:r>
    </w:p>
    <w:p w14:paraId="68094E84" w14:textId="77777777" w:rsidR="00E87598" w:rsidRPr="00E87598" w:rsidRDefault="00E87598" w:rsidP="00E87598">
      <w:pPr>
        <w:pStyle w:val="SectionHeading"/>
      </w:pPr>
      <w:r w:rsidRPr="00E87598">
        <w:t>Seeing from Orbit</w:t>
      </w:r>
    </w:p>
    <w:p w14:paraId="481605A7" w14:textId="77777777" w:rsidR="00E87598" w:rsidRPr="00E87598" w:rsidRDefault="00E87598" w:rsidP="00E87598">
      <w:pPr>
        <w:pStyle w:val="BookBody"/>
      </w:pPr>
      <w:r w:rsidRPr="00E87598">
        <w:t>The satellite does not abolish perspective; it engineers a sequence of perspectives. Its sensor crosses a swath, registering reflected or emitted energy in selected bands. Ground stations receive signals. Processing systems correct for geometry and atmosphere, align observations, classify features, and combine passes taken at different times. The final map appears continuous because the seams have been managed. Laura Kurgan’s analysis of the successive Blue Marble images is valuable precisely because it holds together their evidentiary force and their artificial construction. The 2002 version assembled quarterly observations; the 2005 version used twelve monthly cloud-free layers from 2004; the 2012 image joined multiple swaths from a different satellite and instrument. Each is called an image of Earth, but each Earth is an argument about temporal aggregation, color, absence, and completeness. Clouds, the most visible sign of changing weather, are removed to expose the supposedly stable surface. Night can be joined to day. Any continent can be rotated to the center. What looks like the view from one place is the product of no place.</w:t>
      </w:r>
      <w:r w:rsidRPr="00E87598">
        <w:rPr>
          <w:vertAlign w:val="superscript"/>
        </w:rPr>
        <w:t>3</w:t>
      </w:r>
    </w:p>
    <w:p w14:paraId="0FE3C07F" w14:textId="77777777" w:rsidR="00E87598" w:rsidRPr="00E87598" w:rsidRDefault="00E87598" w:rsidP="00E87598">
      <w:pPr>
        <w:pStyle w:val="BookBody"/>
      </w:pPr>
      <w:r w:rsidRPr="00E87598">
        <w:t>The phrase “view from nowhere” is therefore both apt and misleading. The image suppresses the embodied position of a witness, but it does not arise nowhere. It depends on an orbit authorized and financed by states, a launch system, laboratories, telemetry, software, electricity, storage, scientific labor, and conventions for distinguishing signal from noise. It also depends on a purpose. The same remotely sensed surface may be processed to study drought, estimate crop yields, document deforestation, price insurance, direct weapons, or attract viewers to a weather application. Measurement does not determine use. Nor does a peaceful intention purify the infrastructure from histories of military reconnaissance and strategic navigation. Remote sensing belongs to a field in which scientific, commercial, civic, and military purposes overlap without becoming identical. The instrument’s physical capacity and the institution’s project have to be analyzed together.</w:t>
      </w:r>
    </w:p>
    <w:p w14:paraId="2F5C8009" w14:textId="77777777" w:rsidR="00E87598" w:rsidRPr="00E87598" w:rsidRDefault="00E87598" w:rsidP="00E87598">
      <w:pPr>
        <w:pStyle w:val="BookBody"/>
      </w:pPr>
      <w:r w:rsidRPr="00E87598">
        <w:t>Edwards calls the worldwide ensemble through which atmospheric knowledge is produced a global knowledge infrastructure. The term prevents a familiar mistake: imagining that the computer model replaced observation. Models depend on observations, but observations become globally usable through models, standards, communication networks, and continuing reconciliation. A temperature reading from one station is local; a global temperature field requires millions of readings and a theory of how they relate across uneven space and time. Reanalysis goes further, using a consistent model to process historical observations again so that a long series can be compared despite changing instruments. This is an extraordinary accomplishment of collective memory. It also means that the planet known by the system is never only the sum of its sensors. It is the planet as rendered through a particular infrastructure’s methods of equivalence.</w:t>
      </w:r>
      <w:r w:rsidRPr="00E87598">
        <w:rPr>
          <w:vertAlign w:val="superscript"/>
        </w:rPr>
        <w:t>4</w:t>
      </w:r>
    </w:p>
    <w:p w14:paraId="0AA8A015" w14:textId="77777777" w:rsidR="00E87598" w:rsidRPr="00E87598" w:rsidRDefault="00E87598" w:rsidP="00E87598">
      <w:pPr>
        <w:pStyle w:val="BookBody"/>
      </w:pPr>
      <w:r w:rsidRPr="00E87598">
        <w:t>Operational vision becomes dangerous when the rendering is mistaken for the world in its fullness. A classified forest pixel can be accurate for land-cover analysis and inadequate for a community whose forest is inheritance, livelihood, habitat, burial ground, jurisdiction, and sacred place. A fire perimeter may be exactly mapped while the losses within it remain incomparable. Conversely, appeals to local meaning cannot invalidate a measured rise in temperature or conceal a plume of pollution. The choice is not between objective planetary science and subjective stories. A mature realism asks what relation each mode of access discloses. Remote sensing can establish extension, change, correlation, and pattern across scales; lived testimony can disclose significance, injury, memory, obligation, and the practical differences hidden inside a category. Neither should impersonate the other. The operational planet becomes habitable only when its abstractions remain answerable to material witnesses and to the people whose worlds they reorganize.</w:t>
      </w:r>
    </w:p>
    <w:p w14:paraId="0211EBB2" w14:textId="77777777" w:rsidR="00E87598" w:rsidRPr="00E87598" w:rsidRDefault="00E87598" w:rsidP="00E87598">
      <w:pPr>
        <w:pStyle w:val="BookBody"/>
      </w:pPr>
      <w:r w:rsidRPr="00E87598">
        <w:t>Climate knowledge exemplifies the public importance of this answerability. No citizen can personally inspect the whole atmospheric record, reproduce every model, or observe the planetary system from outside. Trust must travel through institutions: calibrated instruments, preserved archives, comparison among research groups, documented methods, peer criticism, revised assessments, and public explanations of uncertainty. The fact that knowledge is infrastructural does not make every interpretation equally credible. It makes credibility depend on the quality of the relations through which a claim can be checked. Denial exploits mediation by suggesting that any construction is fabrication; technocracy exploits it by treating institutional authority as beyond contest. A scientific public avoids both by defending expert practice while keeping the passage from witness to global claim open to examination.</w:t>
      </w:r>
    </w:p>
    <w:p w14:paraId="048BC9A2" w14:textId="77777777" w:rsidR="00E87598" w:rsidRPr="00E87598" w:rsidRDefault="00E87598" w:rsidP="00E87598">
      <w:pPr>
        <w:pStyle w:val="SectionHeading"/>
      </w:pPr>
      <w:r w:rsidRPr="00E87598">
        <w:t>The Coordinate That Comes to You</w:t>
      </w:r>
    </w:p>
    <w:p w14:paraId="01C307A7" w14:textId="77777777" w:rsidR="00E87598" w:rsidRPr="00E87598" w:rsidRDefault="00E87598" w:rsidP="00E87598">
      <w:pPr>
        <w:pStyle w:val="BookBody"/>
      </w:pPr>
      <w:r w:rsidRPr="00E87598">
        <w:t>A GPS coordinate is less visually grand than the composite Earth, but more intimate. Numbers appear on a receiver or phone, perhaps to five or six decimal places, and announce that the user is here. The notation seems almost weightless. Yet the point depends on atomic clocks in orbit, continually updated orbital information, relativistic corrections, ground-control stations, radio signals traveling at finite speed, a receiver comparing arrival times, and a reference system that allows calculated position to be expressed as latitude, longitude, and elevation. The coordinate is not a label pasted onto a preexisting place. It is the temporary result of a synchronized planetary apparatus. Even when the user sees only a blue dot, the dot carries an orbital history.</w:t>
      </w:r>
    </w:p>
    <w:p w14:paraId="320933D4" w14:textId="77777777" w:rsidR="00E87598" w:rsidRPr="00E87598" w:rsidRDefault="00E87598" w:rsidP="00E87598">
      <w:pPr>
        <w:pStyle w:val="FigureCaption"/>
      </w:pPr>
      <w:r w:rsidRPr="00E87598">
        <w:t>[FIGURE 24.2 — MATERIAL-WITNESS PLACEHOLDER: GPS COORDINATE. Insert a documented receiver or smartphone screen displaying a coordinate. Record exact location, date and time, device, application, map datum, coordinate format, reported accuracy, creator, source, and rights; obtain consent if the location is personal. The caption should explain that the point depends on orbital clocks, ephemerides, ground control, signal travel, and receiver calculation.]</w:t>
      </w:r>
    </w:p>
    <w:p w14:paraId="26161002" w14:textId="77777777" w:rsidR="00E87598" w:rsidRPr="00E87598" w:rsidRDefault="00E87598" w:rsidP="00E87598">
      <w:pPr>
        <w:pStyle w:val="BookBody"/>
      </w:pPr>
      <w:r w:rsidRPr="00E87598">
        <w:t>William Rankin distinguishes this regime from the traditional map. A map reduces territory to a portable representation that can be inspected from outside. Electronic navigation instead lays a coordinate grid across the full scale of terrain and supplies a position from within it. The user need not compare landmarks with a paper image or learn the route as a relation among streets, slopes, buildings, and remembered turns. “With technologies like GPS, the goal is instead to visit a place without having to know much about it.” The statement should not be read as nostalgia for getting lost. GPS can guide ambulances, coordinate disaster response, assist travelers, make hidden roads accessible, and rescue people from dangerous uncertainty. Rankin’s point is that a mode of territorial knowledge changes. Position becomes a service delivered on demand, and navigation can proceed through instructions whose accuracy does not require acquaintance with the place traversed.</w:t>
      </w:r>
      <w:r w:rsidRPr="00E87598">
        <w:rPr>
          <w:vertAlign w:val="superscript"/>
        </w:rPr>
        <w:t>5</w:t>
      </w:r>
    </w:p>
    <w:p w14:paraId="3770E4F5" w14:textId="77777777" w:rsidR="00E87598" w:rsidRPr="00E87598" w:rsidRDefault="00E87598" w:rsidP="00E87598">
      <w:pPr>
        <w:pStyle w:val="BookBody"/>
      </w:pPr>
      <w:r w:rsidRPr="00E87598">
        <w:t>The resulting freedom carries a subtle dependence. A traveler can move more confidently through unfamiliar territory while becoming less able to continue when signal, battery, database, or interface fails. Routes are no longer only chosen by the traveler. They are computed according to criteria that may include time, tolls, road classification, predicted traffic, commercial agreements, energy consumption, or institutional restriction. A shortest path is not a neutral fact until “shortest,” the available network, and the permitted modes of movement have been specified. When many users receive similar advice, prediction changes traffic itself. A road expected to be fast becomes congested; the system observes the congestion and redirects later users. The coordinate thus enters a feedback loop in which representation and movement continually modify one another.</w:t>
      </w:r>
    </w:p>
    <w:p w14:paraId="010C68BE" w14:textId="77777777" w:rsidR="00E87598" w:rsidRPr="00E87598" w:rsidRDefault="00E87598" w:rsidP="00E87598">
      <w:pPr>
        <w:pStyle w:val="BookBody"/>
      </w:pPr>
      <w:r w:rsidRPr="00E87598">
        <w:t>Location services extend the point beyond navigation. A phone can associate searches, photographs, purchases, contacts, exercise, work, and waiting with place and time. The user experiences convenience: nearby restaurants, a remembered photograph, an arriving vehicle, a weather warning. The platform experiences an addressable event. Neither description is false, and they operate at different scales. User experience concerns the practical world disclosed through the interface. Corporate power concerns the collection, combination, retention, sale, and operational use of traces across users and contexts. Statistical inference concerns what may be estimated from those traces. Metaphysical analogy concerns the resemblance between being continuously situated by an anticipatory system and being placed within a cosmic order. These layers must remain separate if critique is to be exact. A phone does not know the meaning of the journey because it can reconstruct the route; a company need not understand a person in order to influence the field of options presented to that person.</w:t>
      </w:r>
    </w:p>
    <w:p w14:paraId="541AFD6A" w14:textId="77777777" w:rsidR="00E87598" w:rsidRPr="00E87598" w:rsidRDefault="00E87598" w:rsidP="00E87598">
      <w:pPr>
        <w:pStyle w:val="BookBody"/>
      </w:pPr>
      <w:r w:rsidRPr="00E87598">
        <w:t xml:space="preserve">Location also changes when it becomes searchable after the fact. A path once known only to the walker and those encountered can be retained as a history, joined to purchases and messages, and queried by an employer, police agency, advertiser, abusive partner, insurer, or the user’s future self under different rules. The same trace may support memory, safety, discipline, or coercion. Its meaning cannot be inferred from precision alone. Governance therefore has to distinguish the immediate service from secondary use: how long a trace persists, who may combine it, what legal process opens it, whether it can be deleted, and whether consent to navigation becomes consent to an indefinite behavioral archive. A coordinate becomes politically consequential when the apparatus that produces </w:t>
      </w:r>
      <w:r w:rsidRPr="00E87598">
        <w:rPr>
          <w:i/>
        </w:rPr>
        <w:t>here</w:t>
      </w:r>
      <w:r w:rsidRPr="00E87598">
        <w:t xml:space="preserve"> also preserves </w:t>
      </w:r>
      <w:r w:rsidRPr="00E87598">
        <w:rPr>
          <w:i/>
        </w:rPr>
        <w:t>where you were</w:t>
      </w:r>
      <w:r w:rsidRPr="00E87598">
        <w:t>.</w:t>
      </w:r>
    </w:p>
    <w:p w14:paraId="2A78B4C9" w14:textId="77777777" w:rsidR="00E87598" w:rsidRPr="00E87598" w:rsidRDefault="00E87598" w:rsidP="00E87598">
      <w:pPr>
        <w:pStyle w:val="SectionHeading"/>
      </w:pPr>
      <w:r w:rsidRPr="00E87598">
        <w:t>From Map to Stack</w:t>
      </w:r>
    </w:p>
    <w:p w14:paraId="73BC49D3" w14:textId="77777777" w:rsidR="00E87598" w:rsidRPr="00E87598" w:rsidRDefault="00E87598" w:rsidP="00E87598">
      <w:pPr>
        <w:pStyle w:val="BookBody"/>
      </w:pPr>
      <w:r w:rsidRPr="00E87598">
        <w:t xml:space="preserve">The blue dot opens onto an architecture larger than the device. Benjamin Bratton names planetary-scale computation </w:t>
      </w:r>
      <w:r w:rsidRPr="00E87598">
        <w:rPr>
          <w:i/>
        </w:rPr>
        <w:t>The Stack</w:t>
      </w:r>
      <w:r w:rsidRPr="00E87598">
        <w:t>: an arrangement of Earth, Cloud, City, Address, Interface, and User layers that behaves like a vast machine without having been designed as one coherent machine. Its components include mineral extraction, energy grids, fiber-optic cables, data centers, satellites, logistical zones, legal jurisdictions, platforms, protocols, sensors, screens, and accounts. Bratton calls it “an accidental megastructure, one that we are building both deliberately and unwittingly and is in turn building us in its own image.” The phrase avoids two errors at once. The Stack is not a secret instrument controlled from a single room, but neither is it an innocent accumulation of gadgets. It possesses emergent forms of coordination and sovereignty because its layers make entities addressable and actions executable across distance.</w:t>
      </w:r>
      <w:r w:rsidRPr="00E87598">
        <w:rPr>
          <w:vertAlign w:val="superscript"/>
        </w:rPr>
        <w:t>6</w:t>
      </w:r>
    </w:p>
    <w:p w14:paraId="19691672" w14:textId="77777777" w:rsidR="00E87598" w:rsidRPr="00E87598" w:rsidRDefault="00E87598" w:rsidP="00E87598">
      <w:pPr>
        <w:pStyle w:val="BookBody"/>
      </w:pPr>
      <w:r w:rsidRPr="00E87598">
        <w:t>An address is decisive. A sensor reading, shipping container, payment card, parcel, server process, phone, and person become operational when the system can distinguish and reach them. Addressability turns the world into possible recipients of commands and sources of data. It also produces new borders. A platform may cross state territory while enforcing its own conditions of admission, identity, visibility, and exclusion. Cloud regions, content rules, payment rails, application stores, and account suspensions distribute authority through technical operations that do not correspond neatly to a map of nations. This does not make states obsolete. States build, license, police, purchase, tax, and compel the infrastructures; platforms in turn furnish states with capacities. Sovereignty is recomposed through their relation.</w:t>
      </w:r>
    </w:p>
    <w:p w14:paraId="6F8ED161" w14:textId="77777777" w:rsidR="00E87598" w:rsidRPr="00E87598" w:rsidRDefault="00E87598" w:rsidP="00E87598">
      <w:pPr>
        <w:pStyle w:val="BookBody"/>
      </w:pPr>
      <w:r w:rsidRPr="00E87598">
        <w:t xml:space="preserve">The database is the quiet form of this sovereignty. It does not need to resemble a map because its rows and relations permit records to be joined through identifiers. </w:t>
      </w:r>
    </w:p>
    <w:p w14:paraId="55035865" w14:textId="77777777" w:rsidR="00E87598" w:rsidRPr="00E87598" w:rsidRDefault="00E87598" w:rsidP="00E87598">
      <w:pPr>
        <w:pStyle w:val="BookBody"/>
      </w:pPr>
      <w:r w:rsidRPr="00E87598">
        <w:t>A name, address, account, device, case number, cookie, face template, or other key can connect events gathered for different purposes. The gain can be substantial: duplicate records are reconciled, services coordinated, fraud detected, and a person spared from repeating information. The danger lies in context collapse. A fact disclosed to obtain care may acquire a different meaning in policing; an old address may be treated as current; a probabilistic match may be mistaken for identity; a correction made in one table may not propagate to another. Database power is not simply possession of many facts. It is the authority to define which records refer to the same entity and which institutional contexts may be crossed.</w:t>
      </w:r>
    </w:p>
    <w:p w14:paraId="7C62F2BB" w14:textId="77777777" w:rsidR="00E87598" w:rsidRPr="00E87598" w:rsidRDefault="00E87598" w:rsidP="00E87598">
      <w:pPr>
        <w:pStyle w:val="BookBody"/>
      </w:pPr>
      <w:r w:rsidRPr="00E87598">
        <w:t>Gilbert Simondon helps explain why no component can be understood by itself. A mature technical object does not merely sit in an external environment; it develops with an associated milieu that supplies energy, cooling, signals, regulation, and compatible operations. The data center requires electricity, water or air for heat removal, network connections, security, replacement parts, land, and trained labor. The phone requires radio spectrum, towers, standards, chargers, software stores, identity services, and extraction sites it will never display. Technical individuation creates internal coherence by reorganizing relations with a milieu. The apparent autonomy of a device is therefore achieved through a deeper dependence on environments made compatible with it.</w:t>
      </w:r>
      <w:r w:rsidRPr="00E87598">
        <w:rPr>
          <w:vertAlign w:val="superscript"/>
        </w:rPr>
        <w:t>7</w:t>
      </w:r>
    </w:p>
    <w:p w14:paraId="7B06DA2E" w14:textId="77777777" w:rsidR="00E87598" w:rsidRPr="00E87598" w:rsidRDefault="00E87598" w:rsidP="00E87598">
      <w:pPr>
        <w:pStyle w:val="BookBody"/>
      </w:pPr>
      <w:r w:rsidRPr="00E87598">
        <w:t>That insight extends the organism–world argument of Chapter 21 without identifying machines with living beings. An organism helps establish norms of viability through its activity; its milieu is meaningful in relation to nourishment, danger, shelter, and possible action. A technical system has conditions of functioning designed and maintained through human institutions. It can regulate variables and adapt its outputs, but its operational norm is not thereby a lived good. A platform may optimize engagement, a grid may balance load, and a model may minimize error without possessing concern for what those achievements mean. The distinction matters because technical language repeatedly borrows the vocabulary of life—learning, memory, perception, attention, ecosystem—then returns the metaphor as if the system’s function carried its own value. Simondon’s generosity toward technical beings is not permission to confuse functioning with flourishing. It asks culture to understand technical reality well enough to assume responsibility for the milieus and purposes through which it is made.</w:t>
      </w:r>
    </w:p>
    <w:p w14:paraId="50ED066E" w14:textId="77777777" w:rsidR="00E87598" w:rsidRPr="00E87598" w:rsidRDefault="00E87598" w:rsidP="00E87598">
      <w:pPr>
        <w:pStyle w:val="BookBody"/>
      </w:pPr>
      <w:r w:rsidRPr="00E87598">
        <w:t>The Stack therefore resembles a cosmos in form while lacking the old cosmos’s qualitative depth. It assigns positions, establishes permitted transitions, connects visible events to hidden layers, and encloses users within an order larger than any one person comprehends. But its order is neither eternal nor given. It is revised through software updates, contracts, capital investment, court orders, engineering constraints, market rivalry, labor, and political struggle. The apparent sky of the cloud has mines beneath it and cables across the ocean floor. Its providence is service availability; its omens are notifications; its sacred distinctions appear as permissions and rankings. The resemblance is illuminating only if the difference remains explicit. Planetary computation is a historical construction whose categories can be contested, not the natural destiny of intelligence.</w:t>
      </w:r>
    </w:p>
    <w:p w14:paraId="301C7D35" w14:textId="77777777" w:rsidR="00E87598" w:rsidRPr="00E87598" w:rsidRDefault="00E87598" w:rsidP="00E87598">
      <w:pPr>
        <w:pStyle w:val="SectionHeading"/>
      </w:pPr>
      <w:r w:rsidRPr="00E87598">
        <w:t>The Feed in the Hand</w:t>
      </w:r>
    </w:p>
    <w:p w14:paraId="4FFC2C86" w14:textId="77777777" w:rsidR="00E87598" w:rsidRPr="00E87598" w:rsidRDefault="00E87598" w:rsidP="00E87598">
      <w:pPr>
        <w:pStyle w:val="BookBody"/>
      </w:pPr>
      <w:r w:rsidRPr="00E87598">
        <w:t>The smartphone feed is the operational planet reduced to the width of a palm. Its surface appears personal: friends, headlines, songs, advertisements, messages, weather, images, and recommendations arranged for this user at this moment. Yet the singularity of the feed is produced through comparison. Each click, pause, replay, dismissal, search, location, and association can become a feature interpreted through patterns drawn from many other users. The interface addresses one person by means of populations. What nineteenth-century statistics accomplished after collecting forms, platforms attempt continuously as conduct occurs.</w:t>
      </w:r>
    </w:p>
    <w:p w14:paraId="1844FB75" w14:textId="77777777" w:rsidR="00E87598" w:rsidRPr="00E87598" w:rsidRDefault="00E87598" w:rsidP="00E87598">
      <w:pPr>
        <w:pStyle w:val="FigureCaption"/>
      </w:pPr>
      <w:r w:rsidRPr="00E87598">
        <w:t>[FIGURE 24.3 — MATERIAL-WITNESS PLACEHOLDER: SMARTPHONE FEED. Insert a documented, rights-cleared screenshot or staged reconstruction of a recommender feed with all personal data removed. Identify platform, device, operating-system and application versions, date, account conditions, capture method, creator, source, and rights. The caption should distinguish visible interface from the unseen ranking, advertising, moderation, and data infrastructures that selected the sequence.]</w:t>
      </w:r>
    </w:p>
    <w:p w14:paraId="296F64C3" w14:textId="77777777" w:rsidR="00E87598" w:rsidRPr="00E87598" w:rsidRDefault="00E87598" w:rsidP="00E87598">
      <w:pPr>
        <w:pStyle w:val="BookBody"/>
      </w:pPr>
      <w:r w:rsidRPr="00E87598">
        <w:t>Nick Seaver’s ethnography of music recommendation shows why it is misleading to oppose human taste to mechanical decision as if either existed alone. Recommendation systems are built and maintained by people who hold theories—sometimes explicit, sometimes embodied in practice—about what listeners want, how taste changes, which signals indicate preference, and how much surprise is desirable. Training data are not simply music itself; they are records selected and formatted to make certain relations computable. Product goals decide whether a system should deepen a familiar genre, sustain listening, introduce novelty, reduce abandonment, promote catalog holdings, or satisfy commercial obligations. The question “What’s next?” is therefore answered at once by statistical similarity, institutional purpose, and an image of the listener.</w:t>
      </w:r>
      <w:r w:rsidRPr="00E87598">
        <w:rPr>
          <w:vertAlign w:val="superscript"/>
        </w:rPr>
        <w:t>8</w:t>
      </w:r>
    </w:p>
    <w:p w14:paraId="31795B97" w14:textId="77777777" w:rsidR="00E87598" w:rsidRPr="00E87598" w:rsidRDefault="00E87598" w:rsidP="00E87598">
      <w:pPr>
        <w:pStyle w:val="BookBody"/>
      </w:pPr>
      <w:r w:rsidRPr="00E87598">
        <w:t>Personalization can be genuinely useful. It can help someone encounter a musician beyond familiar channels, locate a rare recording, filter an otherwise unmanageable abundance, or continue an activity without constant searching. The critical problem begins when a prediction of likely interest quietly becomes the horizon of available interest. A model trained on prior behavior treats the past as evidence for the next presentation. Exploration is valuable only insofar as it can be represented as a parameter; surprise is administered within an acceptable range. The system does not need to imprison the user in a perfect bubble. Small repeated adjustments to visibility can be consequential because attention is finite. What remains unseen cannot be chosen, disputed, or loved.</w:t>
      </w:r>
    </w:p>
    <w:p w14:paraId="17BB8607" w14:textId="77777777" w:rsidR="00E87598" w:rsidRPr="00E87598" w:rsidRDefault="00E87598" w:rsidP="00E87598">
      <w:pPr>
        <w:pStyle w:val="BookBody"/>
      </w:pPr>
      <w:r w:rsidRPr="00E87598">
        <w:t>The feed’s temporality is especially important. It is not a library shelf awaiting inspection but a sequence continually refreshed. Items compete for a position that soon disappears. The user’s present is populated by predictions about what will sustain the next action, and that action becomes evidence for later predictions. The arrangement resembles fate because the person encounters a path already prepared from traces of conduct. But statistical fate has no oracle who knows the whole life. It consists of conditional estimates attached to objectives: given these signals and this target, rank this item above another. Its power lies not in certainty but in repetition, scale, opacity, and the ability to make the predicted future easier to realize than its alternatives.</w:t>
      </w:r>
    </w:p>
    <w:p w14:paraId="101169AD" w14:textId="77777777" w:rsidR="00E87598" w:rsidRPr="00E87598" w:rsidRDefault="00E87598" w:rsidP="00E87598">
      <w:pPr>
        <w:pStyle w:val="BookBody"/>
      </w:pPr>
      <w:r w:rsidRPr="00E87598">
        <w:t>An operational account must distinguish at least four things. A recommendation is an estimate about response. A ranking is an ordered presentation. A platform objective is the institutional value toward which estimates and rankings are tuned. A user’s lived encounter is what the resulting sequence becomes in practice. These can diverge. The user may listen ironically, share critically, pause because interrupted, or click in anger; the trace compresses these meanings into an event available to a model. At the same time, users appropriate systems in unexpected ways, creating communities and discoveries no objective function fully planned. Neither domination nor freedom is total. The serious question is which side can inspect, revise, and refuse the terms of the relation.</w:t>
      </w:r>
    </w:p>
    <w:p w14:paraId="070FCEFE" w14:textId="77777777" w:rsidR="00E87598" w:rsidRPr="00E87598" w:rsidRDefault="00E87598" w:rsidP="00E87598">
      <w:pPr>
        <w:pStyle w:val="BookBody"/>
      </w:pPr>
      <w:r w:rsidRPr="00E87598">
        <w:t>The business model enters here without reducing every design choice to profit. A recommender may be evaluated for retention, subscription, satisfaction, discovery, safety, or some weighted combination, and different teams may disagree about those ends. But the capacity to run experiments across millions of users gives the platform an asymmetric knowledge of response. Interface changes can be compared while users rarely know which experiment includes them or what alternative sequence was withheld. The arrangement turns everyday attention into a field of continuous trial. Public accountability requires more than disclosing that personalization occurs. It requires limits on manipulative experimentation, intelligible controls, independent access for research, and recognition that time and attention are not merely raw inputs because they are portions of finite lives.</w:t>
      </w:r>
    </w:p>
    <w:p w14:paraId="0484A225" w14:textId="77777777" w:rsidR="00E87598" w:rsidRPr="00E87598" w:rsidRDefault="00E87598" w:rsidP="00E87598">
      <w:pPr>
        <w:pStyle w:val="SectionHeading"/>
      </w:pPr>
      <w:r w:rsidRPr="00E87598">
        <w:t>Search and the Public World</w:t>
      </w:r>
    </w:p>
    <w:p w14:paraId="6F4D1DEF" w14:textId="77777777" w:rsidR="00E87598" w:rsidRPr="00E87598" w:rsidRDefault="00E87598" w:rsidP="00E87598">
      <w:pPr>
        <w:pStyle w:val="BookBody"/>
      </w:pPr>
      <w:r w:rsidRPr="00E87598">
        <w:t>A search box seems more active than a feed because the user begins with a question. Yet the result page is also a ranked world. The query must be interpreted; pages must be indexed; relevance must be estimated; spam, location, language, freshness, authority, popularity, safety, and commercial placement must be balanced. Even before any answer is generated, search makes an epistemic decision about what appears first and what is effectively buried. At planetary scale, this ordering helps constitute public reality.</w:t>
      </w:r>
    </w:p>
    <w:p w14:paraId="7C825860" w14:textId="77777777" w:rsidR="00E87598" w:rsidRPr="00E87598" w:rsidRDefault="00E87598" w:rsidP="00E87598">
      <w:pPr>
        <w:pStyle w:val="BookBody"/>
      </w:pPr>
      <w:r w:rsidRPr="00E87598">
        <w:t xml:space="preserve">Safiya Umoja Noble’s </w:t>
      </w:r>
      <w:r w:rsidRPr="00E87598">
        <w:rPr>
          <w:i/>
        </w:rPr>
        <w:t>Algorithms of Oppression</w:t>
      </w:r>
      <w:r w:rsidRPr="00E87598">
        <w:t xml:space="preserve"> demonstrates why the language of neutral retrieval is inadequate. Her analysis of searches associated with Black girls and women showed that degrading, sexualized, and commercially exploitative results were not merely random noise surrounding an otherwise impartial machine. They arose within a commercial information system drawing on unequal representations, advertising markets, linking practices, classification, and design choices. The algorithm did not invent racism from nothing, nor did it simply mirror society. It selected and amplified material from a structured field while the authority of ranked output made the result look like the most relevant answer.</w:t>
      </w:r>
      <w:r w:rsidRPr="00E87598">
        <w:rPr>
          <w:vertAlign w:val="superscript"/>
        </w:rPr>
        <w:t>9</w:t>
      </w:r>
    </w:p>
    <w:p w14:paraId="2F855323" w14:textId="77777777" w:rsidR="00E87598" w:rsidRPr="00E87598" w:rsidRDefault="00E87598" w:rsidP="00E87598">
      <w:pPr>
        <w:pStyle w:val="BookBody"/>
      </w:pPr>
      <w:r w:rsidRPr="00E87598">
        <w:t>The distinction between reflection and intervention is crucial. If a system merely reflects prejudice, responsibility can be displaced onto users or society at large. If it is imagined to autonomously create prejudice, the institutions and people who design, deploy, purchase, regulate, and profit from it disappear. In practice a search engine participates in a circuit. Historical stereotypes shape available data; data and commercial goals shape ranking; ranking distributes visibility; visibility influences attention, language, and later data. The circuit is recursive but not closed. Policy, counter-speech, alternative institutions, documentation, litigation, design changes, and user practices can intervene. Technical inevitability is often the public language of arrangements that remain politically negotiable.</w:t>
      </w:r>
    </w:p>
    <w:p w14:paraId="28D32DB9" w14:textId="77777777" w:rsidR="00E87598" w:rsidRPr="00E87598" w:rsidRDefault="00E87598" w:rsidP="00E87598">
      <w:pPr>
        <w:pStyle w:val="BookBody"/>
      </w:pPr>
      <w:r w:rsidRPr="00E87598">
        <w:t>Search also exposes the inadequacy of treating information as detached content. The same sentence acquires different force when it is the first result, a paid placement, a low-ranked page, a summary generated without context, or a source accompanied by provenance and disagreement. Epistemic authority is architectural. It concerns position, repetition, citation, interface, and the ease with which a claim can travel. The old cosmos stabilized authority by locating beings within a meaningful order; the ranked public world stabilizes authority by locating statements within a calculated order of visibility. One claims necessity through the structure of reality, the other through relevance. Both can make a contingent arrangement appear self-evident.</w:t>
      </w:r>
    </w:p>
    <w:p w14:paraId="488DDB0A" w14:textId="77777777" w:rsidR="00E87598" w:rsidRPr="00E87598" w:rsidRDefault="00E87598" w:rsidP="00E87598">
      <w:pPr>
        <w:pStyle w:val="BookBody"/>
      </w:pPr>
      <w:r w:rsidRPr="00E87598">
        <w:t>Yet the remedy cannot be an impossible unranking. Any finite presentation selects. Libraries classify; editors choose; teachers sequence; communities establish canons; witnesses attend to some details rather than others. The ethical issue is not selection as such but the accountability of selection. What objectives govern it? Which sources and persons bear the costs of error? Can the categories be inspected? Can affected communities contest a damaging association? Are commercial placements distinguishable? Does the system preserve access to disagreement, history, and minority knowledge? A public information order becomes trustworthy when its unavoidable mediation is organized for answerability rather than concealed as automatic relevance.</w:t>
      </w:r>
      <w:r w:rsidRPr="00E87598">
        <w:rPr>
          <w:vertAlign w:val="superscript"/>
        </w:rPr>
        <w:t>10</w:t>
      </w:r>
    </w:p>
    <w:p w14:paraId="0518D764" w14:textId="77777777" w:rsidR="00E87598" w:rsidRPr="00E87598" w:rsidRDefault="00E87598" w:rsidP="00E87598">
      <w:pPr>
        <w:pStyle w:val="SectionHeading"/>
      </w:pPr>
      <w:r w:rsidRPr="00E87598">
        <w:t>When Probability Becomes a Decision</w:t>
      </w:r>
    </w:p>
    <w:p w14:paraId="250BD91E" w14:textId="77777777" w:rsidR="00E87598" w:rsidRPr="00E87598" w:rsidRDefault="00E87598" w:rsidP="00E87598">
      <w:pPr>
        <w:pStyle w:val="BookBody"/>
      </w:pPr>
      <w:r w:rsidRPr="00E87598">
        <w:t>A predictive score is thinner than a search page. It may be a number, a color, or a category beside a name: low, medium, high. The compression is its purpose. An institution facing more cases than staff can examine hopes to order attention, allocate resources, detect fraud, approve credit, prioritize inspections, identify patients, or estimate risk. The score can expose inconsistency in unaided judgment and make a decision process auditable. It can also convert a disputed policy into an apparently technical threshold.</w:t>
      </w:r>
    </w:p>
    <w:p w14:paraId="529519CE" w14:textId="77777777" w:rsidR="00E87598" w:rsidRPr="00E87598" w:rsidRDefault="00E87598" w:rsidP="00E87598">
      <w:pPr>
        <w:pStyle w:val="FigureCaption"/>
      </w:pPr>
      <w:r w:rsidRPr="00E87598">
        <w:t>[FIGURE 24.4 — MATERIAL-WITNESS PLACEHOLDER: PREDICTIVE SCORE. Insert a documented public or fully anonymized scoring interface, assessment sheet, or official model card. Identify institution, purpose, variables, scale, threshold, version, date, decision consequence, validation source, known limitations, and avenue for appeal or review. Exclude personal data. The caption should distinguish the probability estimate from the institutional act performed because of it.]</w:t>
      </w:r>
    </w:p>
    <w:p w14:paraId="3D0BDFBC" w14:textId="77777777" w:rsidR="00E87598" w:rsidRPr="00E87598" w:rsidRDefault="00E87598" w:rsidP="00E87598">
      <w:pPr>
        <w:pStyle w:val="BookBody"/>
      </w:pPr>
      <w:r w:rsidRPr="00E87598">
        <w:t xml:space="preserve">Virginia Eubanks’s </w:t>
      </w:r>
      <w:r w:rsidRPr="00E87598">
        <w:rPr>
          <w:i/>
        </w:rPr>
        <w:t>Automating Inequality</w:t>
      </w:r>
      <w:r w:rsidRPr="00E87598">
        <w:t xml:space="preserve"> follows automated systems through public assistance in Indiana, homelessness services in Los Angeles, and a child-welfare risk model in Allegheny County. The cases differ in technology and institutional setting, but together they reveal the “digital poorhouse”: an administrative order in which people seeking care or subsistence become exceptionally visible to systems of surveillance, eligibility, and suspicion. Automation did not create austerity, punitive welfare policy, homelessness, or racial inequality. It furnished those histories with new mechanisms of scale, speed, and distance. A missing field, documentation failure, address mismatch, or inferred association could trigger consequences while responsibility dispersed among contractor, agency, worker, model, and policy.</w:t>
      </w:r>
      <w:r w:rsidRPr="00E87598">
        <w:rPr>
          <w:vertAlign w:val="superscript"/>
        </w:rPr>
        <w:t>11</w:t>
      </w:r>
    </w:p>
    <w:p w14:paraId="0B92F85B" w14:textId="77777777" w:rsidR="00E87598" w:rsidRPr="00E87598" w:rsidRDefault="00E87598" w:rsidP="00E87598">
      <w:pPr>
        <w:pStyle w:val="BookBody"/>
      </w:pPr>
      <w:r w:rsidRPr="00E87598">
        <w:t>It matters that a prediction is not yet a decision. A model may estimate the probability that a household will miss a payment or that a future report will occur. An institution decides what data to collect, what outcome to predict, how to set a threshold, what action follows, whether staff can depart from the score, how scarce resources are distributed, and whether a person may challenge the record. Calling the whole chain “the algorithm” obscures these choices. It also encourages magical thinking on both sides: vendors can imply that the machine discovers risk objectively, while critics can imply that a formula independently governs. The formula’s real power comes from its insertion into rules, screens, workloads, budgets, and legal authorities.</w:t>
      </w:r>
    </w:p>
    <w:p w14:paraId="204E725C" w14:textId="77777777" w:rsidR="00E87598" w:rsidRPr="00E87598" w:rsidRDefault="00E87598" w:rsidP="00E87598">
      <w:pPr>
        <w:pStyle w:val="BookBody"/>
      </w:pPr>
      <w:r w:rsidRPr="00E87598">
        <w:t>The material difference between aggregate accuracy and individual justice is decisive. A model can improve average performance and still impose severe, patterned harms. False positives and false negatives fall on actual people; their costs may be unequal even when their rates are numerically similar. A family subjected to investigation cannot be consoled that the model is well calibrated across a population. Nor does every error prove the model worthless. The relevant questions include what alternative process exists, which harms are reversible, whether uncertainty is displayed, whether staff understand the model, whether outcomes feed back into training data, and whether those affected possess meaningful recourse. Accuracy is one property of an institutional relation, not its complete moral measure.</w:t>
      </w:r>
    </w:p>
    <w:p w14:paraId="7C85E8D8" w14:textId="77777777" w:rsidR="00E87598" w:rsidRPr="00E87598" w:rsidRDefault="00E87598" w:rsidP="00E87598">
      <w:pPr>
        <w:pStyle w:val="BookBody"/>
      </w:pPr>
      <w:r w:rsidRPr="00E87598">
        <w:t>Feedback can make a risk system appear to verify itself. If enforcement is concentrated where a model predicts more violations, more violations will be recorded there; the new records can then support the original distribution of attention. If a benefits system treats complex cases as suspicious, intensive scrutiny produces more documentation problems among precisely those cases. If a predictive model is trained on reports rather than underlying harm, differences in reporting and surveillance become part of what the model learns. The danger is not that probability becomes certain. It is that institutional action changes the evidentiary field and then mistakes the altered field for independent confirmation.</w:t>
      </w:r>
      <w:r w:rsidRPr="00E87598">
        <w:rPr>
          <w:vertAlign w:val="superscript"/>
        </w:rPr>
        <w:t>12</w:t>
      </w:r>
    </w:p>
    <w:p w14:paraId="384293DD" w14:textId="77777777" w:rsidR="00E87598" w:rsidRPr="00E87598" w:rsidRDefault="00E87598" w:rsidP="00E87598">
      <w:pPr>
        <w:pStyle w:val="BookBody"/>
      </w:pPr>
      <w:r w:rsidRPr="00E87598">
        <w:t>The responsible alternative is not necessarily to restore unstructured discretion. Human judgment can be prejudiced, hurried, inconsistent, and shielded by professional status. Automation may reveal patterns, support triage, or detect inequities invisible one case at a time. But a legitimate system has to preserve the difference between assistance and sentence. It should document purpose and limits, make uncertainty relevant to action, audit disparate consequences, maintain accessible correction and appeal, and permit refusal where the cost of an unreviewable error is too high. Above all, it must ensure that the person remains more than the administrative future inferred from a past record.</w:t>
      </w:r>
    </w:p>
    <w:p w14:paraId="6D2F669D" w14:textId="77777777" w:rsidR="00E87598" w:rsidRPr="00E87598" w:rsidRDefault="00E87598" w:rsidP="00E87598">
      <w:pPr>
        <w:pStyle w:val="BookBody"/>
      </w:pPr>
      <w:r w:rsidRPr="00E87598">
        <w:t>Appeal is the material test of that promise. A nominal right to review means little if the person cannot discover that a score was used, obtain the underlying record, understand the reason for an adverse action, reach an authorized decision maker, or survive the delay. The design of correction belongs inside the system, not at its moral margin. Records require provenance and version history; notices require language a recipient can use; deadlines require accommodation for those without stable devices or addresses; reviewers require power to depart from a score and responsibility to record why. These procedures may appear inefficient because they reintroduce singular cases into a machinery built for scale. Their friction is precisely what keeps administration from converting a population estimate into an unquestionable identity.</w:t>
      </w:r>
    </w:p>
    <w:p w14:paraId="4E80935D" w14:textId="77777777" w:rsidR="00E87598" w:rsidRPr="00E87598" w:rsidRDefault="00E87598" w:rsidP="00E87598">
      <w:pPr>
        <w:pStyle w:val="SectionHeading"/>
      </w:pPr>
      <w:r w:rsidRPr="00E87598">
        <w:t>The Doubtful Algorithm</w:t>
      </w:r>
    </w:p>
    <w:p w14:paraId="35A23A37" w14:textId="77777777" w:rsidR="00E87598" w:rsidRPr="00E87598" w:rsidRDefault="00E87598" w:rsidP="00E87598">
      <w:pPr>
        <w:pStyle w:val="BookBody"/>
      </w:pPr>
      <w:r w:rsidRPr="00E87598">
        <w:t>The demand that an algorithm explain itself is indispensable and insufficient. A person affected by an automated judgment needs to know what system was used, what data entered, what outcome was sought, what reason supported the decision, and how to challenge error. Yet even a completely disclosed model would not settle whether its target should govern the institution. A transparent formula for rationing a needlessly scarce benefit remains a rationing formula; an interpretable risk score can embody an unjust category; an accurate classifier can serve an illegitimate purpose. Transparency can reveal a chain of judgment, but it cannot supply the judgment by which the chain is evaluated.</w:t>
      </w:r>
    </w:p>
    <w:p w14:paraId="2BA02B3F" w14:textId="77777777" w:rsidR="00E87598" w:rsidRPr="00E87598" w:rsidRDefault="00E87598" w:rsidP="00E87598">
      <w:pPr>
        <w:pStyle w:val="BookBody"/>
      </w:pPr>
      <w:r w:rsidRPr="00E87598">
        <w:t xml:space="preserve">Louise Amoore begins </w:t>
      </w:r>
      <w:r w:rsidRPr="00E87598">
        <w:rPr>
          <w:i/>
        </w:rPr>
        <w:t>Cloud Ethics</w:t>
      </w:r>
      <w:r w:rsidRPr="00E87598">
        <w:t xml:space="preserve"> with an image-recognition system trained to identify protest. Photographs are decomposed into attributes; uncertain features acquire weights; associations are condensed; and a scored output becomes actionable. The system does not recognize a protest as a participant, historian, journalist, organizer, or passerby might. It establishes a correlation among features within a training and decision architecture. Multiple possible accounts are narrowed to the one demanded by the output: perhaps protest or not protest, threat or not threat. The ethical difficulty lies not only in bias entering the calculation. It lies in the condensation itself—the movement by which ambiguous worlds and partial attributes become a single decision surface.</w:t>
      </w:r>
      <w:r w:rsidRPr="00E87598">
        <w:rPr>
          <w:vertAlign w:val="superscript"/>
        </w:rPr>
        <w:t>13</w:t>
      </w:r>
    </w:p>
    <w:p w14:paraId="3AA7CC81" w14:textId="77777777" w:rsidR="00E87598" w:rsidRPr="00E87598" w:rsidRDefault="00E87598" w:rsidP="00E87598">
      <w:pPr>
        <w:pStyle w:val="BookBody"/>
      </w:pPr>
      <w:r w:rsidRPr="00E87598">
        <w:t>Amoore calls for a “doubtful algorithm,” not because computation should be paralyzed by skepticism but because uncertainty and partiality should remain active within judgment. Machine-learning systems often depend on ground truth: labels or outcomes treated as the reality against which performance is assessed. But labels have authors, circumstances, and histories. An image marked dangerous, an account marked fraudulent, or a case marked high risk may record a previous institution’s decision rather than an independent condition. The ground is already an account. Preserving doubt means keeping open the provenance of categories, the alternative descriptions that were excluded, and the possibility that an apparently aberrant case reveals a defect in the model’s world rather than noise to be removed.</w:t>
      </w:r>
    </w:p>
    <w:p w14:paraId="525D48AE" w14:textId="77777777" w:rsidR="00E87598" w:rsidRPr="00E87598" w:rsidRDefault="00E87598" w:rsidP="00E87598">
      <w:pPr>
        <w:pStyle w:val="BookBody"/>
      </w:pPr>
      <w:r w:rsidRPr="00E87598">
        <w:t>This position differs from both technological solutionism and generalized suspicion. It does not say that no claim can be trusted because every data set is partial. Partial knowledge can be precise, consequential, and publicly warranted. Nor does it say that uncertainty should always delay action; storms, epidemics, and imminent harms often require decisions before complete knowledge is possible. Doubt becomes ethical when it is built into the relation between output and consequence. A model should be able to indicate uncertainty; institutions should adjust the burden of proof to the reversibility of harm; affected people should be able to introduce evidence that the feature space omitted; and the system’s categories should remain revisable. The purpose is not to make machines humble in a psychological sense. Machines possess no humility. It is to organize institutions so that finite knowledge does not masquerade as final judgment.</w:t>
      </w:r>
      <w:r w:rsidRPr="00E87598">
        <w:rPr>
          <w:vertAlign w:val="superscript"/>
        </w:rPr>
        <w:t>14</w:t>
      </w:r>
    </w:p>
    <w:p w14:paraId="5FBA108D" w14:textId="77777777" w:rsidR="00E87598" w:rsidRPr="00E87598" w:rsidRDefault="00E87598" w:rsidP="00E87598">
      <w:pPr>
        <w:pStyle w:val="BookBody"/>
      </w:pPr>
      <w:r w:rsidRPr="00E87598">
        <w:t>The operational planet tends to treat ambiguity as a temporary engineering problem. More data, finer sensors, and larger models promise to resolve the residual. But some ambiguity arises from the kind of reality at issue. A gesture can be threatening or protective according to a relation not visible in its outline. A journey can be escape, pilgrimage, commute, deportation, tourism, or return while tracing the same route. A sentence can be quotation, satire, instruction, confession, or experiment. Context is not an indefinitely long list of additional variables surrounding an otherwise self-contained event. It is the event’s place within a lived and institutional world. No system can act without compression, but an ethical system remembers that what it compressed may return as a claim.</w:t>
      </w:r>
    </w:p>
    <w:p w14:paraId="0019ED29" w14:textId="77777777" w:rsidR="00E87598" w:rsidRPr="00E87598" w:rsidRDefault="00E87598" w:rsidP="00E87598">
      <w:pPr>
        <w:pStyle w:val="SectionHeading"/>
      </w:pPr>
      <w:r w:rsidRPr="00E87598">
        <w:t>The Counterfeit Interlocutor</w:t>
      </w:r>
    </w:p>
    <w:p w14:paraId="7DABDBA3" w14:textId="77777777" w:rsidR="00E87598" w:rsidRPr="00E87598" w:rsidRDefault="00E87598" w:rsidP="00E87598">
      <w:pPr>
        <w:pStyle w:val="BookBody"/>
      </w:pPr>
      <w:r w:rsidRPr="00E87598">
        <w:t>Generative artificial intelligence alters the scene because the operational system no longer presents only a coordinate, score, or ranked item. It answers in sentences, generates images, writes code, summarizes records, and adopts the grammatical position of an interlocutor. A user can ask why, request a revision, express uncertainty, or continue a conversation. The interface therefore invites a category mistake more powerful than any statistical table: because the output takes the form of meaningful speech, the system can appear to possess a world from which it speaks.</w:t>
      </w:r>
    </w:p>
    <w:p w14:paraId="451600B1" w14:textId="77777777" w:rsidR="00E87598" w:rsidRPr="00E87598" w:rsidRDefault="00E87598" w:rsidP="00E87598">
      <w:pPr>
        <w:pStyle w:val="BookBody"/>
      </w:pPr>
      <w:r w:rsidRPr="00E87598">
        <w:t>The National Institute of Standards and Technology’s 2024 profile defines generative AI in operational terms as models that emulate structures and characteristics of input data in order to generate synthetic content. That definition is intentionally sober. It directs attention away from metaphysical claims about machine consciousness and toward systems whose outputs can be assessed in relation to training, deployment, and risk. NIST’s catalog includes confabulation, harmful bias and homogenization, privacy, information integrity, security, intellectual property, environmental effects, human–AI configuration, and risks distributed through a value chain. These are heterogeneous dangers. A false medical statement, a stereotyped image, leaked personal data, manipulative synthetic media, and resource-intensive computation do not share one cause merely because all involve generative AI.</w:t>
      </w:r>
      <w:r w:rsidRPr="00E87598">
        <w:rPr>
          <w:vertAlign w:val="superscript"/>
        </w:rPr>
        <w:t>15</w:t>
      </w:r>
    </w:p>
    <w:p w14:paraId="78254CF4" w14:textId="77777777" w:rsidR="00E87598" w:rsidRPr="00E87598" w:rsidRDefault="00E87598" w:rsidP="00E87598">
      <w:pPr>
        <w:pStyle w:val="BookBody"/>
      </w:pPr>
      <w:r w:rsidRPr="00E87598">
        <w:t xml:space="preserve">The term </w:t>
      </w:r>
      <w:r w:rsidRPr="00E87598">
        <w:rPr>
          <w:i/>
        </w:rPr>
        <w:t>confabulation</w:t>
      </w:r>
      <w:r w:rsidRPr="00E87598">
        <w:t xml:space="preserve"> is more useful here than the popular image of hallucination. A hallucination belongs to a perceiving subject for whom something unreal appears. A language model produces a continuation that may be syntactically fluent and factually unsupported because its operation is not a direct commitment to truth. The human reader supplies the expectation that an assertive sentence was uttered by someone answerable for it. This does not make generated language meaningless. Meaning can arise in the user’s activity: a draft prompts recognition, a summary assists comparison, a translation opens a text, a pattern suggests an experiment. But the system’s usefulness depends on surrounding practices of verification, provenance, expertise, and correction. Fluency is an interface property, not a warrant.</w:t>
      </w:r>
    </w:p>
    <w:p w14:paraId="4A0637DB" w14:textId="77777777" w:rsidR="00E87598" w:rsidRPr="00E87598" w:rsidRDefault="00E87598" w:rsidP="00E87598">
      <w:pPr>
        <w:pStyle w:val="BookBody"/>
      </w:pPr>
      <w:r w:rsidRPr="00E87598">
        <w:t>Generative AI must also be distinguished from automated decision systems. A model may draft a letter without deciding eligibility; a classifier may deny access without generating prose; a conversational interface may conceal a conventional database lookup; an institution may place a generative summary before a human decision maker whose workload makes deference likely. The risks depend on the arrangement. When generated content enters medicine, law, education, hiring, or public administration, its authority is amplified by institutional context. A merely advisory output can become practically decisive if time, training, or incentives discourage review. “Human in the loop” names a position in a workflow, not proof of meaningful judgment. NIST accordingly emphasizes documented roles, testing under conditions of use, incident processes, provenance, feedback, and disaggregated measurement rather than reliance on a generic promise of oversight.</w:t>
      </w:r>
      <w:r w:rsidRPr="00E87598">
        <w:rPr>
          <w:vertAlign w:val="superscript"/>
        </w:rPr>
        <w:t>16</w:t>
      </w:r>
    </w:p>
    <w:p w14:paraId="6B99B947" w14:textId="77777777" w:rsidR="00E87598" w:rsidRPr="00E87598" w:rsidRDefault="00E87598" w:rsidP="00E87598">
      <w:pPr>
        <w:pStyle w:val="BookBody"/>
      </w:pPr>
      <w:r w:rsidRPr="00E87598">
        <w:t>The conversational surface also counterfeits the social relation of recognition. It responds immediately, never tires, and can adjust tone. For a lonely or overburdened user, this responsiveness may provide real comfort or practical assistance. It would be cruel to dismiss the experience because the mechanism differs from a human partner. Yet the relation is asymmetrical in a decisive way. The system has no vulnerable life exposed in the exchange, no biography it risks, no need to be heard, and no capacity to take responsibility for the consequence of its words. Its apparent patience is a service produced by data, computation, design, labor, and policy. To call it a counterfeit is not to call every output false. It is to mark the difference between simulated address and mutual presence.</w:t>
      </w:r>
    </w:p>
    <w:p w14:paraId="0365C824" w14:textId="77777777" w:rsidR="00E87598" w:rsidRPr="00E87598" w:rsidRDefault="00E87598" w:rsidP="00E87598">
      <w:pPr>
        <w:pStyle w:val="BookBody"/>
      </w:pPr>
      <w:r w:rsidRPr="00E87598">
        <w:t>Because the system can generate an answer for almost any prompt, it risks completing the operational planet’s enclosure. The satellite supplies an image; the coordinate supplies a position; the feed supplies a next item; the score supplies a probable class; the generative system supplies an interpretation. The user can pass from asking where to asking what without visibly leaving the same technical environment. But the capacity to produce interpretations from accumulated traces is not identical with participation in the world interpreted. A generated account can be evaluated only through relations the account does not contain: evidence, material consequence, historical judgment, affected persons, and the possibility of being corrected by reality. The interlocutor becomes trustworthy to the extent that the surrounding institution prevents its linguistic completeness from concealing these dependencies.</w:t>
      </w:r>
    </w:p>
    <w:p w14:paraId="72BBBD8E" w14:textId="77777777" w:rsidR="00E87598" w:rsidRPr="00E87598" w:rsidRDefault="00E87598" w:rsidP="00E87598">
      <w:pPr>
        <w:pStyle w:val="BookBody"/>
      </w:pPr>
      <w:r w:rsidRPr="00E87598">
        <w:t>The training corpus makes this dependence social. Books, articles, images, code, recordings, conversations, labels, and corrections were made within practices that assigned authorship, permission, labor, and context. Once converted into training data, their differences can be flattened into tokens or features available for statistical adjustment. The resulting model can reproduce forms without preserving the relations through which those forms acquired authority. Disputes about consent, copyright, attribution, and compensation are therefore not external legal obstacles to a purely technical intelligence. They concern the kind of collective memory a model is allowed to become and whether the people whose work sustains that memory remain participants or are treated merely as deposits.</w:t>
      </w:r>
    </w:p>
    <w:p w14:paraId="2763DE6F" w14:textId="77777777" w:rsidR="00E87598" w:rsidRPr="00E87598" w:rsidRDefault="00E87598" w:rsidP="00E87598">
      <w:pPr>
        <w:pStyle w:val="SectionHeading"/>
      </w:pPr>
      <w:r w:rsidRPr="00E87598">
        <w:t>The Material Cloud</w:t>
      </w:r>
    </w:p>
    <w:p w14:paraId="3D5906E4" w14:textId="77777777" w:rsidR="00E87598" w:rsidRPr="00E87598" w:rsidRDefault="00E87598" w:rsidP="00E87598">
      <w:pPr>
        <w:pStyle w:val="BookBody"/>
      </w:pPr>
      <w:r w:rsidRPr="00E87598">
        <w:t>The cloud appears on a phone as absence of place. A file is not here, yet it is available; a model is not on the device, yet it answers; computation seems to arrive from a neutral elsewhere. The metaphor is effective because the user need not know which machine, building, power market, cooling system, or jurisdiction performs the operation. Abstraction is the service. But every apparently immaterial response is a physical event. Electricity changes state in processors and memory; heat is produced and removed; signals travel through cable and radio; hardware wears; technicians maintain equipment; new components displace old ones into waste streams.</w:t>
      </w:r>
    </w:p>
    <w:p w14:paraId="1B6A2602" w14:textId="77777777" w:rsidR="00E87598" w:rsidRPr="00E87598" w:rsidRDefault="00E87598" w:rsidP="00E87598">
      <w:pPr>
        <w:pStyle w:val="FigureCaption"/>
      </w:pPr>
      <w:r w:rsidRPr="00E87598">
        <w:t>[FIGURE 24.5 — MATERIAL-WITNESS PLACEHOLDER: DATA CENTER. Insert a documented exterior, server-hall, or utility image from a specifically identified facility. Record operator, site, location, date, photographer, source, rights, and—only where reliably published—power capacity or utility, cooling and water arrangements, server-hall function, and backup systems. The caption should trace the cloud to land, energy, water, minerals, logistics, labor, and jurisdiction without implying that one facility represents all data centers.]</w:t>
      </w:r>
    </w:p>
    <w:p w14:paraId="5240D1A6" w14:textId="77777777" w:rsidR="00E87598" w:rsidRPr="00E87598" w:rsidRDefault="00E87598" w:rsidP="00E87598">
      <w:pPr>
        <w:pStyle w:val="BookBody"/>
      </w:pPr>
      <w:r w:rsidRPr="00E87598">
        <w:t xml:space="preserve">Kate Crawford begins </w:t>
      </w:r>
      <w:r w:rsidRPr="00E87598">
        <w:rPr>
          <w:i/>
        </w:rPr>
        <w:t>The Atlas of AI</w:t>
      </w:r>
      <w:r w:rsidRPr="00E87598">
        <w:t xml:space="preserve"> by rejecting the appearance that artificial intelligence is either artificial or intelligent in the human sense. The systems are material and extractive, dependent upon energy, minerals, logistical chains, low-paid and often hidden labor, data appropriation, classification, and institutional power. The claim corrects the narrow picture in which AI is an algorithm floating above the world. A model is also the mines that supplied its chips, the grids that power training and inference, the data centers that manage heat, the workers who label or moderate content, the records assembled into training sets, and the organizations that decide which costs remain external.</w:t>
      </w:r>
      <w:r w:rsidRPr="00E87598">
        <w:rPr>
          <w:vertAlign w:val="superscript"/>
        </w:rPr>
        <w:t>17</w:t>
      </w:r>
    </w:p>
    <w:p w14:paraId="1BB7AC9E" w14:textId="77777777" w:rsidR="00E87598" w:rsidRPr="00E87598" w:rsidRDefault="00E87598" w:rsidP="00E87598">
      <w:pPr>
        <w:pStyle w:val="BookBody"/>
      </w:pPr>
      <w:r w:rsidRPr="00E87598">
        <w:t>Materialization should not become a new totalizing accusation. Computation has environmental costs, but their scale and kind vary with hardware, energy source, cooling design, location, model, workload, and patterns of use. A data center can burden a water-stressed region or help stabilize demand under different arrangements; a large model can be wastefully retrained or support work that would otherwise consume resources elsewhere. The point is not that every computation is uniquely destructive. It is that claims about intelligence, efficiency, and dematerialization are incomplete unless the material account is visible. What appears efficient at the interface may be costly at the Earth layer because the system boundary was drawn around the user’s device.</w:t>
      </w:r>
    </w:p>
    <w:p w14:paraId="7065DEAB" w14:textId="77777777" w:rsidR="00E87598" w:rsidRPr="00E87598" w:rsidRDefault="00E87598" w:rsidP="00E87598">
      <w:pPr>
        <w:pStyle w:val="BookBody"/>
      </w:pPr>
      <w:r w:rsidRPr="00E87598">
        <w:t>The data center makes Simondon’s associated milieu architectural. Racks of servers cannot function as isolated objects. They require precisely conditioned air or liquid, electrical transformation, network redundancy, fire suppression, monitoring, physical security, maintenance schedules, replacement supply chains, and a legal environment. The facility reorganizes its surroundings, sometimes through dedicated substations, water agreements, tax incentives, and new transmission. It is simultaneously a building and a node in the Stack. The cloud’s apparent placelessness depends on a multiplication of highly specific places.</w:t>
      </w:r>
      <w:r w:rsidRPr="00E87598">
        <w:rPr>
          <w:vertAlign w:val="superscript"/>
        </w:rPr>
        <w:t>18</w:t>
      </w:r>
    </w:p>
    <w:p w14:paraId="0F1C4BF2" w14:textId="77777777" w:rsidR="00E87598" w:rsidRPr="00E87598" w:rsidRDefault="00E87598" w:rsidP="00E87598">
      <w:pPr>
        <w:pStyle w:val="BookBody"/>
      </w:pPr>
      <w:r w:rsidRPr="00E87598">
        <w:t>Those places reveal a political asymmetry between users and operators. The user is asked to disclose location, behavior, contacts, preferences, and sometimes biometrics. The infrastructure that receives these traces may be protected by trade secrecy, security restrictions, contractual opacity, or dispersed corporate structure. Visibility flows upward while intelligibility flows unevenly downward. A person can be rendered increasingly addressable to systems whose material and decisional locations remain obscure. Accountability therefore requires more than a privacy setting. It requires public knowledge of energy and water use, labor conditions, procurement, data governance, model purpose, incident response, jurisdiction, and the terms under which an account or service can be withdrawn.</w:t>
      </w:r>
    </w:p>
    <w:p w14:paraId="4B9A4646" w14:textId="77777777" w:rsidR="00E87598" w:rsidRPr="00E87598" w:rsidRDefault="00E87598" w:rsidP="00E87598">
      <w:pPr>
        <w:pStyle w:val="BookBody"/>
      </w:pPr>
      <w:r w:rsidRPr="00E87598">
        <w:t>To bring the cloud back to Earth is not to demand that every user understand semiconductor fabrication before sending a message. Infrastructures necessarily allow action without complete knowledge of their internal operations. The aim is political legibility: the ability of affected publics, workers, regulators, researchers, and communities to ask what a facility or system requires, whom it benefits, what risks it distributes, and who can change it. The material witness prevents the language of inevitability. A data center occupies land; a contract has parties; a model has a version; an objective was selected; energy came from somewhere. What has been assembled can be governed and, where necessary, assembled otherwise.</w:t>
      </w:r>
    </w:p>
    <w:p w14:paraId="7886D094" w14:textId="77777777" w:rsidR="00E87598" w:rsidRPr="00E87598" w:rsidRDefault="00E87598" w:rsidP="00E87598">
      <w:pPr>
        <w:pStyle w:val="BookBody"/>
      </w:pPr>
      <w:r w:rsidRPr="00E87598">
        <w:t>Planetary scale also conceals geopolitical concentration. Advanced computation depends on specialized fabrication, intellectual property, cloud capacity, undersea cables, critical minerals, and trade routes distributed unevenly across states and firms. Restrictions at one layer can alter access at every other layer. A nation may possess users and data while lacking fabrication; a community may host extraction or generation while receiving little control over the services produced; a platform may appear globally uniform while adapting to incompatible legal regimes. The operational planet is therefore not one smooth surface. It is a stratified geography whose apparent universality rests on chokepoints, dependencies, and negotiated exceptions.</w:t>
      </w:r>
    </w:p>
    <w:p w14:paraId="66FCC635" w14:textId="77777777" w:rsidR="00E87598" w:rsidRPr="00E87598" w:rsidRDefault="00E87598" w:rsidP="00E87598">
      <w:pPr>
        <w:pStyle w:val="SectionHeading"/>
      </w:pPr>
      <w:r w:rsidRPr="00E87598">
        <w:t>Promethean Shame</w:t>
      </w:r>
    </w:p>
    <w:p w14:paraId="0A4CD69E" w14:textId="77777777" w:rsidR="00E87598" w:rsidRPr="00E87598" w:rsidRDefault="00E87598" w:rsidP="00E87598">
      <w:pPr>
        <w:pStyle w:val="BookBody"/>
      </w:pPr>
      <w:r w:rsidRPr="00E87598">
        <w:t>The power of the operational planet is felt not only as domination but as embarrassment. The device remembers more addresses, searches a larger corpus, calculates faster, navigates without hesitation, and produces polished sentences on demand. The person confronting it can seem slow, forgetful, embodied, distractible, and badly designed. Günther Anders named a related experience Promethean shame: shame before the superior finish, reproducibility, and performance of manufactured things. Modern humanity, having celebrated itself as maker, begins to judge the unmade body by the standards of its products.</w:t>
      </w:r>
    </w:p>
    <w:p w14:paraId="40D22C70" w14:textId="77777777" w:rsidR="00E87598" w:rsidRPr="00E87598" w:rsidRDefault="00E87598" w:rsidP="00E87598">
      <w:pPr>
        <w:pStyle w:val="BookBody"/>
      </w:pPr>
      <w:r w:rsidRPr="00E87598">
        <w:t>Anders’s language is deliberately severe. The human being who measures himself against the machine risks “playing the jester at the court of his own machines.” The humiliation is not simply that a tool performs one task better. A crane lifts more, a calculator computes faster, and no metaphysical crisis need follow. Shame becomes Promethean when the operational virtues of the artifact—speed, replaceability, precision, availability, consistency—are taken as the scale of human worth. Birth appears as a defective manufacture; mortality as obsolescence; memory as insufficient storage; hesitation as latency; rest as downtime.</w:t>
      </w:r>
      <w:r w:rsidRPr="00E87598">
        <w:rPr>
          <w:vertAlign w:val="superscript"/>
        </w:rPr>
        <w:t>19</w:t>
      </w:r>
    </w:p>
    <w:p w14:paraId="59FF91A3" w14:textId="77777777" w:rsidR="00E87598" w:rsidRPr="00E87598" w:rsidRDefault="00E87598" w:rsidP="00E87598">
      <w:pPr>
        <w:pStyle w:val="BookBody"/>
      </w:pPr>
      <w:r w:rsidRPr="00E87598">
        <w:t>The contemporary system intensifies this reversal because it can evaluate the person using traces produced through ordinary life. Workers are compared with productivity metrics; students with performance dashboards; creators with engagement; drivers with ratings; applicants with ranked features; patients with adherence scores. The person is not merely slower than a machine. He or she is invited to become machine-readable and then to improve according to the reading. Self-knowledge is displaced by performance visibility. One learns to see oneself as the dashboard does.</w:t>
      </w:r>
    </w:p>
    <w:p w14:paraId="3C8308F6" w14:textId="77777777" w:rsidR="00E87598" w:rsidRPr="00E87598" w:rsidRDefault="00E87598" w:rsidP="00E87598">
      <w:pPr>
        <w:pStyle w:val="BookBody"/>
      </w:pPr>
      <w:r w:rsidRPr="00E87598">
        <w:t>Yet Anders’s diagnosis must not harden into contempt for technology or for people who rely on it. Prostheses, communication devices, navigation aids, automated translation, and computational tools can expand agency and reduce exhausting labor. The body is not honored by preserving every limitation. Nor is dependence inherently degrading; living beings are dependent from the beginning. The question is which norm governs augmentation. A tool can answer to a humanly articulated good, or the good can be redefined as whatever the tool most readily measures and optimizes. Promethean shame begins when the second movement becomes invisible.</w:t>
      </w:r>
    </w:p>
    <w:p w14:paraId="09FB8AAE" w14:textId="77777777" w:rsidR="00E87598" w:rsidRPr="00E87598" w:rsidRDefault="00E87598" w:rsidP="00E87598">
      <w:pPr>
        <w:pStyle w:val="BookBody"/>
      </w:pPr>
      <w:r w:rsidRPr="00E87598">
        <w:t>Generative systems add a new version of the comparison. A writer may feel inferior to instantaneous prose, an artist to infinite images, a student to immediate summaries, a counselor to tireless availability. But speed and abundance are not equivalent to judgment, commitment, style, discovery, or care. Human work acquires meaning within a life: it costs time, exposes the maker to failure, addresses others, carries memory, and can change the one who performs it. The system’s output may participate in that meaning when appropriated within such a life, but it does not originate from the same vulnerability. The answer to Promethean shame is not to deny machine competence. It is to refuse a metric that counts competence while erasing the form of existence for which competence matters.</w:t>
      </w:r>
    </w:p>
    <w:p w14:paraId="1203E95D" w14:textId="77777777" w:rsidR="00E87598" w:rsidRPr="00E87598" w:rsidRDefault="00E87598" w:rsidP="00E87598">
      <w:pPr>
        <w:pStyle w:val="SectionHeading"/>
      </w:pPr>
      <w:r w:rsidRPr="00E87598">
        <w:t>Cosmotechnics after Neutrality</w:t>
      </w:r>
    </w:p>
    <w:p w14:paraId="3B1C5872" w14:textId="77777777" w:rsidR="00E87598" w:rsidRPr="00E87598" w:rsidRDefault="00E87598" w:rsidP="00E87598">
      <w:pPr>
        <w:pStyle w:val="BookBody"/>
      </w:pPr>
      <w:r w:rsidRPr="00E87598">
        <w:t>The question of technical neutrality now returns at planetary scale. A common defense says that satellites, platforms, scores, and models are merely tools; values enter only through use. There is truth in the claim. The same positioning system can guide an ambulance or a missile; the same model can support accessibility or fraud; the same network can circulate scholarship or harassment. Artifacts do not mechanically dictate one outcome. But neutrality fails when it implies that a technical system can be designed, built, and maintained without arranging relations among human beings, institutions, materials, time, and the more-than-human world. Technical activity always makes some actions easy, others difficult, and still others unthinkable. It distributes visibility, responsibility, and dependence before any individual use begins.</w:t>
      </w:r>
    </w:p>
    <w:p w14:paraId="4979E814" w14:textId="77777777" w:rsidR="00E87598" w:rsidRPr="00E87598" w:rsidRDefault="00E87598" w:rsidP="00E87598">
      <w:pPr>
        <w:pStyle w:val="BookBody"/>
      </w:pPr>
      <w:r w:rsidRPr="00E87598">
        <w:t>Yuk Hui’s concept of cosmotechnics names this deeper arrangement. Cosmotechnics, he writes, “means the unification between the cosmic order and the moral order through technical activities.” The definition does not claim that every device expresses an explicit theology or that ancient cosmologies should be restored unchanged. It identifies a question suppressed by the modern claim that technology is a universal, neutral application of science. What image of nature, humanity, obligation, and collective life is enacted when a technical order is built? Who or what may be treated as resource? Which limits are recognized? What counts as improvement? How is technical power situated within a whole?</w:t>
      </w:r>
      <w:r w:rsidRPr="00E87598">
        <w:rPr>
          <w:vertAlign w:val="superscript"/>
        </w:rPr>
        <w:t>20</w:t>
      </w:r>
    </w:p>
    <w:p w14:paraId="64C918DC" w14:textId="77777777" w:rsidR="00E87598" w:rsidRPr="00E87598" w:rsidRDefault="00E87598" w:rsidP="00E87598">
      <w:pPr>
        <w:pStyle w:val="BookBody"/>
      </w:pPr>
      <w:r w:rsidRPr="00E87598">
        <w:t>Modern planetary computation often answers these questions while denying that it has asked them. Its cosmos is a field of measurable and addressable entities; its moral order privileges prediction, optimization, availability, growth, security, and frictionless exchange. Nature appears as resource and risk; the person as user, profile, worker, consumer, or target; the future as an outcome distribution to be managed. These are not the only values present—scientific cooperation, accessibility, care, ecological monitoring, and public service also inhabit the infrastructure—but the dominant architecture makes certain purposes structurally easier to scale. The apparent absence of cosmology is itself a cosmological stance: the world is what can be rendered operational.</w:t>
      </w:r>
    </w:p>
    <w:p w14:paraId="11CBA8B6" w14:textId="77777777" w:rsidR="00E87598" w:rsidRPr="00E87598" w:rsidRDefault="00E87598" w:rsidP="00E87598">
      <w:pPr>
        <w:pStyle w:val="BookBody"/>
      </w:pPr>
      <w:r w:rsidRPr="00E87598">
        <w:t xml:space="preserve">Hui’s historical argument is plural rather than restorative. By reconstructing Chinese technical thought through relations among </w:t>
      </w:r>
      <w:r w:rsidRPr="00E87598">
        <w:rPr>
          <w:i/>
        </w:rPr>
        <w:t>dao</w:t>
      </w:r>
      <w:r w:rsidRPr="00E87598">
        <w:t xml:space="preserve">, </w:t>
      </w:r>
      <w:r w:rsidRPr="00E87598">
        <w:rPr>
          <w:i/>
        </w:rPr>
        <w:t>qi</w:t>
      </w:r>
      <w:r w:rsidRPr="00E87598">
        <w:t>, cosmic order, and moral cultivation, he contests the assumption that one technological trajectory exhausts the possible meaning of technics. The point is not that cultures possess sealed essences or that a pure tradition can be recovered outside modernity. It is that technical development can be guided by different accounts of relation and limit. Technodiversity becomes philosophically important because a single global infrastructure can erase the languages in which alternatives would be conceived. If every problem arrives already formatted for optimization by the same platforms, plurality survives only as content inside a universal technical form.</w:t>
      </w:r>
    </w:p>
    <w:p w14:paraId="4D13FA1A" w14:textId="77777777" w:rsidR="00E87598" w:rsidRPr="00E87598" w:rsidRDefault="00E87598" w:rsidP="00E87598">
      <w:pPr>
        <w:pStyle w:val="BookBody"/>
      </w:pPr>
      <w:r w:rsidRPr="00E87598">
        <w:t>This is why Hui’s argument should not be reduced to a cultural decoration of engineering. Adding local imagery to an unchanged platform does not create another cosmotechnics. The question concerns standards, ownership, energy, temporal rhythm, education, maintenance, decision authority, and the relation between technical systems and collective life. A community-controlled sensor network organized to protect a watershed embodies a different relation from a surveillance system that extracts environmental data while excluding inhabitants from decisions, even if both use similar instruments. Difference lies not in the intrinsic morality of the sensor but in the order of relations that gives sensing a purpose.</w:t>
      </w:r>
    </w:p>
    <w:p w14:paraId="126E82D4" w14:textId="77777777" w:rsidR="00E87598" w:rsidRPr="00E87598" w:rsidRDefault="00E87598" w:rsidP="00E87598">
      <w:pPr>
        <w:pStyle w:val="BookBody"/>
      </w:pPr>
      <w:r w:rsidRPr="00E87598">
        <w:t>The same test can be applied to artificial intelligence. A cosmotechnical assessment asks more than whether a model is accurate. It asks which world its categories presuppose, which human capacities it cultivates or displaces, how its energy and labor are situated, who may refuse its judgments, what forms of knowledge remain outside its data, and whether its operation strengthens the ability of a community to deliberate about its ends. These questions do not yield one universal design checklist, because a diagnostic aid, ecological model, classroom tutor, and weapons system inhabit different moral fields. They do insist that performance never exhaust evaluation. A model is good only within an account of the relations its performance serves.</w:t>
      </w:r>
    </w:p>
    <w:p w14:paraId="349DA827" w14:textId="77777777" w:rsidR="00E87598" w:rsidRPr="00E87598" w:rsidRDefault="00E87598" w:rsidP="00E87598">
      <w:pPr>
        <w:pStyle w:val="BookBody"/>
      </w:pPr>
      <w:r w:rsidRPr="00E87598">
        <w:t xml:space="preserve">In </w:t>
      </w:r>
      <w:r w:rsidRPr="00E87598">
        <w:rPr>
          <w:i/>
        </w:rPr>
        <w:t>Art and Cosmotechnics</w:t>
      </w:r>
      <w:r w:rsidRPr="00E87598">
        <w:t>, Hui turns to art, sensibility, and recursive machines because technical reason cannot be redirected by rules alone. Art can disclose modes of relation hidden by an established world; it can reorganize figure and ground, render infrastructure perceptible, and make the incalculable felt without pretending to escape technique. Recursive machines, meanwhile, act upon outputs that reenter as inputs. Their contemporary importance is obvious in feeds, prediction, and generative models. Yet recursion does not determine what should be preserved through the loop. A system can recursively intensify engagement, correct an environmental model, cultivate attention, or amplify prejudice. The moral question enters through the selection of what the loop notices, values, and permits to transform.</w:t>
      </w:r>
      <w:r w:rsidRPr="00E87598">
        <w:rPr>
          <w:vertAlign w:val="superscript"/>
        </w:rPr>
        <w:t>21</w:t>
      </w:r>
    </w:p>
    <w:p w14:paraId="1F48AF4B" w14:textId="77777777" w:rsidR="00E87598" w:rsidRPr="00E87598" w:rsidRDefault="00E87598" w:rsidP="00E87598">
      <w:pPr>
        <w:pStyle w:val="BookBody"/>
      </w:pPr>
      <w:r w:rsidRPr="00E87598">
        <w:t>Cosmotechnics therefore supplies a stronger alternative to both technological fatalism and romantic withdrawal. Fatalism treats planetary computation as the inevitable expression of intelligence; withdrawal imagines that meaning can be saved only outside technical mediation. Hui opens a third path: technical orders can be understood as contingent articulations of cosmos and morality and therefore made available to plural, situated transformation. The operational planet need not be destroyed to recover a living world. Its extraordinary capacities for coordination, sensing, memory, and modeling can be reoriented toward relations in which their measures remain answerable to ecological limits, public reason, and lived significance.</w:t>
      </w:r>
    </w:p>
    <w:p w14:paraId="4279A2E4" w14:textId="77777777" w:rsidR="00E87598" w:rsidRPr="00E87598" w:rsidRDefault="00E87598" w:rsidP="00E87598">
      <w:pPr>
        <w:pStyle w:val="SectionHeading"/>
      </w:pPr>
      <w:r w:rsidRPr="00E87598">
        <w:t>Resonance against Optimization</w:t>
      </w:r>
    </w:p>
    <w:p w14:paraId="4F6AEC14" w14:textId="77777777" w:rsidR="00E87598" w:rsidRPr="00E87598" w:rsidRDefault="00E87598" w:rsidP="00E87598">
      <w:pPr>
        <w:pStyle w:val="BookBody"/>
      </w:pPr>
      <w:r w:rsidRPr="00E87598">
        <w:t>Hartmut Rosa gives a name to what optimization cannot produce. Resonance is a relation in which subject and world affect and transform one another. It is not emotional warmth added to an otherwise complete mechanism, and it is not agreement. “Resonance is not an echo, but a responsive relationship, requiring that both sides speak with their own voice.” The qualification is decisive. An echo returns only what was sent. A responsive other can surprise, resist, refuse, and change the terms of the encounter.</w:t>
      </w:r>
      <w:r w:rsidRPr="00E87598">
        <w:rPr>
          <w:vertAlign w:val="superscript"/>
        </w:rPr>
        <w:t>22</w:t>
      </w:r>
    </w:p>
    <w:p w14:paraId="53EFA0A5" w14:textId="77777777" w:rsidR="00E87598" w:rsidRPr="00E87598" w:rsidRDefault="00E87598" w:rsidP="00E87598">
      <w:pPr>
        <w:pStyle w:val="BookBody"/>
      </w:pPr>
      <w:r w:rsidRPr="00E87598">
        <w:t>The distinction separates resonance from personalization. A feed that perfectly mirrors prior preference may feel familiar while becoming less capable of answering with another voice. A conversational system trained to accommodate tone may simulate responsiveness by removing friction. A route planner predicts what the traveler wants and presents the most efficient path. None of these operations is inherently alienating. They become alienating when the world appears only as a surface optimized to the subject’s profile and the subject appears only as a bundle of preferences available to the system. Personalization can produce an exquisitely responsive environment that never truly responds.</w:t>
      </w:r>
    </w:p>
    <w:p w14:paraId="2AF2AA91" w14:textId="77777777" w:rsidR="00E87598" w:rsidRPr="00E87598" w:rsidRDefault="00E87598" w:rsidP="00E87598">
      <w:pPr>
        <w:pStyle w:val="BookBody"/>
      </w:pPr>
      <w:r w:rsidRPr="00E87598">
        <w:t>Rosa insists that resonance includes constitutive inaccessibility. It cannot be commanded, stored, or guaranteed. One can create conditions favorable to conversation, art, work, worship, politics, or encounter with nature, but the answering relation remains partly beyond control. This limit is not a defect to be eliminated. It is what distinguishes relation from possession. The friend whose reply is known in advance, the landscape reduced to a content backdrop, or the artwork engineered only to confirm a preference has lost the otherness through which transformation occurs. Optimization seeks reliable availability; resonance depends on something that can answer without becoming available at will.</w:t>
      </w:r>
    </w:p>
    <w:p w14:paraId="3A86413C" w14:textId="77777777" w:rsidR="00E87598" w:rsidRPr="00E87598" w:rsidRDefault="00E87598" w:rsidP="00E87598">
      <w:pPr>
        <w:pStyle w:val="BookBody"/>
      </w:pPr>
      <w:r w:rsidRPr="00E87598">
        <w:t>This does not make resonance a mystical revival of cosmic sympathy. The old correspondence between microcosm and macrocosm promised that parts echoed an already meaningful whole. Rosa’s relation contains no guarantee that the universe addresses us or that suffering belongs to a harmony. The resonant world is one in which particular relations can become responsive through embodied, historical, social practice. They can also fail. Alienation names not mere distance but a relation of indifference or hostility in which subject and world cease to answer. The possibility of failure protects resonance from becoming another total order.</w:t>
      </w:r>
    </w:p>
    <w:p w14:paraId="4B817C5A" w14:textId="77777777" w:rsidR="00E87598" w:rsidRPr="00E87598" w:rsidRDefault="00E87598" w:rsidP="00E87598">
      <w:pPr>
        <w:pStyle w:val="BookBody"/>
      </w:pPr>
      <w:r w:rsidRPr="00E87598">
        <w:t>Technology can mediate resonance as well as suppress it. A recording carries a voice across generations; a telescope enlarges the sensible universe; a sensor enables a community to hear changes in a river; a communication network sustains friendship across distance; a model can reveal an ecological relation that calls forth action. The criterion is not whether mediation occurs but whether the mediation permits the world and others to retain their own voice. Systems designed only to maximize capture transform answer into signal and surprise into deviation. Systems placed within institutions of attention, care, correction, and shared authority can enlarge the domain of what is able to address us.</w:t>
      </w:r>
    </w:p>
    <w:p w14:paraId="418C7591" w14:textId="77777777" w:rsidR="00E87598" w:rsidRPr="00E87598" w:rsidRDefault="00E87598" w:rsidP="00E87598">
      <w:pPr>
        <w:pStyle w:val="BookBody"/>
      </w:pPr>
      <w:r w:rsidRPr="00E87598">
        <w:t>The political form of resonance is not unanimous feeling but reciprocal efficacy. Citizens must be able to experience institutions as capable of hearing them, while institutions must be able to require reasons and respond to realities that exceed any individual demand. A platform optimized for reaction may generate abundant expression without this relation: voices circulate, metrics rise, and little becomes answerable. Democratic resonance requires slower infrastructures of record, deliberation, representation, and revision through which speech can alter a shared decision and decisions can return as reasons. The contrast is not between lively networks and dead bureaucracy. It is between circulation that converts response into engagement and institutions in which answering creates obligation.</w:t>
      </w:r>
    </w:p>
    <w:p w14:paraId="44871298" w14:textId="77777777" w:rsidR="00E87598" w:rsidRPr="00E87598" w:rsidRDefault="00E87598" w:rsidP="00E87598">
      <w:pPr>
        <w:pStyle w:val="BookBody"/>
      </w:pPr>
      <w:r w:rsidRPr="00E87598">
        <w:t>Rosa’s formulation consequently returns the material witness to the center. The composite satellite image becomes resonant not when the viewer imagines possessing the whole Earth but when the constructed image opens attention to a planet whose processes exceed the image and whose inhabitants can answer its abstractions. The GPS coordinate becomes resonant when it supports arrival without replacing acquaintance. The feed becomes resonant when it enables discovery without enclosing the listener in predicted taste. The score becomes responsible when the person can confront and revise the classification. The data center enters a shared world when its demands on land, water, energy, and labor become publicly answerable. Resonance is not an ornament placed after technical design. It is a demand that the relation remain two-sided.</w:t>
      </w:r>
    </w:p>
    <w:p w14:paraId="0CE11FAC" w14:textId="77777777" w:rsidR="00E87598" w:rsidRPr="00E87598" w:rsidRDefault="00E87598" w:rsidP="00E87598">
      <w:pPr>
        <w:pStyle w:val="SectionHeading"/>
      </w:pPr>
      <w:r w:rsidRPr="00E87598">
        <w:t>Statistical Fate</w:t>
      </w:r>
    </w:p>
    <w:p w14:paraId="3388C3C8" w14:textId="77777777" w:rsidR="00E87598" w:rsidRPr="00E87598" w:rsidRDefault="00E87598" w:rsidP="00E87598">
      <w:pPr>
        <w:pStyle w:val="BookBody"/>
      </w:pPr>
      <w:r w:rsidRPr="00E87598">
        <w:t>The old fate declared what must occur within a meaningful order. Statistical fate is weaker in knowledge and stronger in operation. It does not know that this person will default, reoffend, become ill, leave a job, click an item, or need assistance. It estimates a conditional likelihood from selected traces and a reference population. But when the estimate is attached to a gate—a loan, sentence, inspection, benefit, interview, feed, or price—the probable future acts in the present. Opportunity is redistributed before the event. A person may be made to inhabit a prediction that was never certain.</w:t>
      </w:r>
    </w:p>
    <w:p w14:paraId="20CB8F46" w14:textId="77777777" w:rsidR="00E87598" w:rsidRPr="00E87598" w:rsidRDefault="00E87598" w:rsidP="00E87598">
      <w:pPr>
        <w:pStyle w:val="BookBody"/>
      </w:pPr>
      <w:r w:rsidRPr="00E87598">
        <w:t xml:space="preserve">This is why the word </w:t>
      </w:r>
      <w:r w:rsidRPr="00E87598">
        <w:rPr>
          <w:i/>
        </w:rPr>
        <w:t>fate</w:t>
      </w:r>
      <w:r w:rsidRPr="00E87598">
        <w:t xml:space="preserve"> is an analogy, not a literal description. Algorithms do not read a destiny written in the stars, and models do not possess prophetic consciousness. Their outputs are contingent upon data, labels, objective functions, institutional thresholds, and changing environments. Statistical inference can be tested in ways an oracle cannot: performance can be measured, calibration examined, errors disaggregated, assumptions challenged, versions compared. Yet the user may encounter only the result, without access to the conditions that made it. From below, a revisable calculation can feel as final as decree.</w:t>
      </w:r>
    </w:p>
    <w:p w14:paraId="3C442C13" w14:textId="77777777" w:rsidR="00E87598" w:rsidRPr="00E87598" w:rsidRDefault="00E87598" w:rsidP="00E87598">
      <w:pPr>
        <w:pStyle w:val="BookBody"/>
      </w:pPr>
      <w:r w:rsidRPr="00E87598">
        <w:t>The analogy also reveals what has been lost. Cosmic fate placed the individual within a story whose moral meaning might be terrible but was publicly interpretable through shared symbols. Statistical fate places the individual within a population whose relevance is often proprietary, technically obscure, or administratively fixed. It says not who one is but what cases with similar features have tended to do. Its temporality is anticipatory without being narrative. The past survives as correlation; the future appears as a target; the present becomes the moment of intervention. Meaning is unnecessary so long as behavior can be sufficiently predicted.</w:t>
      </w:r>
    </w:p>
    <w:p w14:paraId="1E5B9EDC" w14:textId="77777777" w:rsidR="00E87598" w:rsidRPr="00E87598" w:rsidRDefault="00E87598" w:rsidP="00E87598">
      <w:pPr>
        <w:pStyle w:val="BookBody"/>
      </w:pPr>
      <w:r w:rsidRPr="00E87598">
        <w:t>The counterfeit cosmos therefore consists not in a machine imagining itself divine but in an infrastructure that situates each address within an anticipatory order. The satellite locates the field, GPS the traveler, the database the record, the feed the preference, the score the risk, and the model the likely continuation. Each operation is partial, and together they create the experience of a world already prepared. The system’s power is distributed: corporate objectives, state authority, technical standards, labor, capital, and user conduct converge without a single sovereign mind. Its contingency can be difficult to see precisely because it is encountered through ordinary convenience.</w:t>
      </w:r>
    </w:p>
    <w:p w14:paraId="3BEA1C1D" w14:textId="77777777" w:rsidR="00E87598" w:rsidRPr="00E87598" w:rsidRDefault="00E87598" w:rsidP="00E87598">
      <w:pPr>
        <w:pStyle w:val="BookBody"/>
      </w:pPr>
      <w:r w:rsidRPr="00E87598">
        <w:t>The right response is not to deny probability. Climate projections, epidemiological models, reliability estimates, and risk analyses are indispensable ways of caring for futures no one can observe directly. The distinction is between using probability to enlarge responsible action and using it to close the person or world in advance. Responsible prediction preserves the conditions under which it is valid, displays uncertainty appropriate to consequence, distinguishes population regularity from individual essence, permits contest and correction, and monitors how intervention changes the data-generating field. It treats the forecast as a claim within a relation, not as the voice of fate.</w:t>
      </w:r>
    </w:p>
    <w:p w14:paraId="1F45553C" w14:textId="77777777" w:rsidR="00E87598" w:rsidRPr="00E87598" w:rsidRDefault="00E87598" w:rsidP="00E87598">
      <w:pPr>
        <w:pStyle w:val="BookBody"/>
      </w:pPr>
      <w:r w:rsidRPr="00E87598">
        <w:t>Nor should meaning be assigned to the machine as compensation for the losses of cosmos. A system may participate in meaningful activity without meaning belonging to it in the same way it belongs to embodied lives and shared worlds. The satellite image can orient ecological responsibility; the platform can sustain a community; the model can disclose a danger; generated prose can become material for thought. In each case significance arises through relations among artifacts, institutions, bodies, histories, and the world that resists them. The refusal of machine mysticism is not a defense of human isolation. It is an insistence on locating meaning where answerability can occur.</w:t>
      </w:r>
    </w:p>
    <w:p w14:paraId="41E3AA53" w14:textId="77777777" w:rsidR="00E87598" w:rsidRPr="00E87598" w:rsidRDefault="00E87598" w:rsidP="00E87598">
      <w:pPr>
        <w:pStyle w:val="BookBody"/>
      </w:pPr>
      <w:r w:rsidRPr="00E87598">
        <w:t>The material witnesses now form a single circuit. The satellite composite shows a planet made visible by removing the singular moment. The coordinate shows a position made available by orbital synchronization. The feed shows a present arranged through population comparison. The predictive score shows a future compressed for decision. The data center shows the land, energy, water, labor, and jurisdiction hidden by the cloud. Each is real; none is self-sufficient. Together they answer the chapter’s governing question. The operational world can know where we are and estimate what we will probably do without knowing what our lives mean because location and prediction require patterned traces, while meaning requires a relation in which what is encountered can matter, resist, and answer.</w:t>
      </w:r>
      <w:r w:rsidRPr="00E87598">
        <w:rPr>
          <w:vertAlign w:val="superscript"/>
        </w:rPr>
        <w:t>23</w:t>
      </w:r>
    </w:p>
    <w:p w14:paraId="560A0F96" w14:textId="77777777" w:rsidR="00E87598" w:rsidRPr="00E87598" w:rsidRDefault="00E87598" w:rsidP="00E87598">
      <w:pPr>
        <w:pStyle w:val="SectionHeading"/>
      </w:pPr>
      <w:r w:rsidRPr="00E87598">
        <w:t>The Return of the Qualitative Heavens</w:t>
      </w:r>
    </w:p>
    <w:p w14:paraId="5B04DABC" w14:textId="77777777" w:rsidR="00E87598" w:rsidRPr="00E87598" w:rsidRDefault="00E87598" w:rsidP="00E87598">
      <w:pPr>
        <w:pStyle w:val="BookBody"/>
      </w:pPr>
      <w:r w:rsidRPr="00E87598">
        <w:t>The genealogy has now reached an apparent paradox. The ancient cosmos was displaced because qualitative determinations could not meet the demands of public, mathematical, and experimental accountability. The modern operational planet achieved unprecedented precision by refusing to infer meaning from position. Yet the more completely it situates persons through coordinates, profiles, and probabilities, the more forcefully the question of qualitative determination returns. People continue to ask not only where they are but what their placement means, not only what is likely but what should be done, not only which pattern describes them but whether the pattern speaks to their life.</w:t>
      </w:r>
    </w:p>
    <w:p w14:paraId="6448580E" w14:textId="77777777" w:rsidR="00E87598" w:rsidRPr="00E87598" w:rsidRDefault="00E87598" w:rsidP="00E87598">
      <w:pPr>
        <w:pStyle w:val="BookBody"/>
      </w:pPr>
      <w:r w:rsidRPr="00E87598">
        <w:t>Astrology therefore returns in the next chapter as a final test rather than as an easy survival of superstition. It offers qualitative placement, temporal pattern, and a language in which singular life appears related to a larger order. For that reason it addresses needs the statistical fate of the operational planet leaves unsatisfied. But if its claims concern a shared world, they cannot be protected merely as private symbolism; if they concern only subjective meaning, they cannot recover a cosmos. The problem will be to ask whether qualitative determination can become publicly answerable after both cosmological certainty and relativist retreat—whether a practice can preserve symbolic depth, material witness, and the possibility of being wrong without allowing statistical prediction to become the only legitimate form of fate.</w:t>
      </w:r>
    </w:p>
    <w:p w14:paraId="4666F14B" w14:textId="77777777" w:rsidR="00E87598" w:rsidRPr="00E87598" w:rsidRDefault="00E87598" w:rsidP="00E87598">
      <w:pPr>
        <w:pStyle w:val="NotesHeading"/>
      </w:pPr>
      <w:r w:rsidRPr="00E87598">
        <w:t>Notes</w:t>
      </w:r>
    </w:p>
    <w:p w14:paraId="7643ACC6" w14:textId="77777777" w:rsidR="00E87598" w:rsidRPr="00E87598" w:rsidRDefault="00E87598" w:rsidP="00E87598">
      <w:pPr>
        <w:pStyle w:val="NoteEntry"/>
      </w:pPr>
      <w:r w:rsidRPr="00E87598">
        <w:t xml:space="preserve">1. Laura Kurgan, </w:t>
      </w:r>
      <w:r w:rsidRPr="00E87598">
        <w:rPr>
          <w:i/>
        </w:rPr>
        <w:t>Close Up at a Distance: Mapping, Technology, and Politics</w:t>
      </w:r>
      <w:r w:rsidRPr="00E87598">
        <w:t xml:space="preserve"> (Brooklyn, NY: Zone Books, 2013), 11–18; Paul N. Edwards, </w:t>
      </w:r>
      <w:r w:rsidRPr="00E87598">
        <w:rPr>
          <w:i/>
        </w:rPr>
        <w:t>A Vast Machine: Computer Models, Climate Data, and the Politics of Global Warming</w:t>
      </w:r>
      <w:r w:rsidRPr="00E87598">
        <w:t xml:space="preserve"> (Cambridge, MA: MIT Press, 2010), xiii–xxv. Kurgan identifies the observation periods, instruments, and compositing operations behind the successive NASA Blue Marble images.</w:t>
      </w:r>
    </w:p>
    <w:p w14:paraId="1D4822AA" w14:textId="77777777" w:rsidR="00E87598" w:rsidRPr="00E87598" w:rsidRDefault="00E87598" w:rsidP="00E87598">
      <w:pPr>
        <w:pStyle w:val="NoteEntry"/>
      </w:pPr>
      <w:r w:rsidRPr="00E87598">
        <w:t xml:space="preserve">2. Edwards, </w:t>
      </w:r>
      <w:r w:rsidRPr="00E87598">
        <w:rPr>
          <w:i/>
        </w:rPr>
        <w:t>A Vast Machine</w:t>
      </w:r>
      <w:r w:rsidRPr="00E87598">
        <w:t>, 83–110, 187–228, 251–86, 323–56. “Data friction” names the costs and resistance involved in moving data across media, formats, institutions, and interpretive contexts.</w:t>
      </w:r>
    </w:p>
    <w:p w14:paraId="73669B9C" w14:textId="77777777" w:rsidR="00E87598" w:rsidRPr="00E87598" w:rsidRDefault="00E87598" w:rsidP="00E87598">
      <w:pPr>
        <w:pStyle w:val="NoteEntry"/>
      </w:pPr>
      <w:r w:rsidRPr="00E87598">
        <w:t xml:space="preserve">3. Kurgan, </w:t>
      </w:r>
      <w:r w:rsidRPr="00E87598">
        <w:rPr>
          <w:i/>
        </w:rPr>
        <w:t>Close Up at a Distance</w:t>
      </w:r>
      <w:r w:rsidRPr="00E87598">
        <w:t>, 11–35. The manuscript’s contrast between evidentiary force and the illusion of an unmediated whole is an inference from Kurgan’s documented reconstruction of the images.</w:t>
      </w:r>
    </w:p>
    <w:p w14:paraId="426CB74B" w14:textId="77777777" w:rsidR="00E87598" w:rsidRPr="00E87598" w:rsidRDefault="00E87598" w:rsidP="00E87598">
      <w:pPr>
        <w:pStyle w:val="NoteEntry"/>
      </w:pPr>
      <w:r w:rsidRPr="00E87598">
        <w:t xml:space="preserve">4. Edwards, </w:t>
      </w:r>
      <w:r w:rsidRPr="00E87598">
        <w:rPr>
          <w:i/>
        </w:rPr>
        <w:t>A Vast Machine</w:t>
      </w:r>
      <w:r w:rsidRPr="00E87598">
        <w:t>, 187–331, 337–96. On infrastructural globalism and the mutual dependence of models and observations, see especially the introduction and chapters 8–13.</w:t>
      </w:r>
    </w:p>
    <w:p w14:paraId="5FC08964" w14:textId="77777777" w:rsidR="00E87598" w:rsidRPr="00E87598" w:rsidRDefault="00E87598" w:rsidP="00E87598">
      <w:pPr>
        <w:pStyle w:val="NoteEntry"/>
      </w:pPr>
      <w:r w:rsidRPr="00E87598">
        <w:t xml:space="preserve">5. William Rankin, </w:t>
      </w:r>
      <w:r w:rsidRPr="00E87598">
        <w:rPr>
          <w:i/>
        </w:rPr>
        <w:t>After the Map: Cartography, Navigation, and the Transformation of Territory in the Twentieth Century</w:t>
      </w:r>
      <w:r w:rsidRPr="00E87598">
        <w:t xml:space="preserve"> (Chicago: University of Chicago Press, 2016), 1–20, 205–300, quotation at 3. Rankin distinguishes map representation from full-scale coordinate systems and traces the military, scientific, and civilian politics of global coverage.</w:t>
      </w:r>
    </w:p>
    <w:p w14:paraId="7863B6AA" w14:textId="77777777" w:rsidR="00E87598" w:rsidRPr="00E87598" w:rsidRDefault="00E87598" w:rsidP="00E87598">
      <w:pPr>
        <w:pStyle w:val="NoteEntry"/>
      </w:pPr>
      <w:r w:rsidRPr="00E87598">
        <w:t xml:space="preserve">6. Benjamin H. Bratton, </w:t>
      </w:r>
      <w:r w:rsidRPr="00E87598">
        <w:rPr>
          <w:i/>
        </w:rPr>
        <w:t>The Stack: On Software and Sovereignty</w:t>
      </w:r>
      <w:r w:rsidRPr="00E87598">
        <w:t xml:space="preserve"> (Cambridge, MA: MIT Press, 2015), xvii–xxv, 3–16, 41–74, quotation at 5. For the six layers and their political architecture, see 66–74 and 75–292.</w:t>
      </w:r>
    </w:p>
    <w:p w14:paraId="246382D5" w14:textId="77777777" w:rsidR="00E87598" w:rsidRPr="00E87598" w:rsidRDefault="00E87598" w:rsidP="00E87598">
      <w:pPr>
        <w:pStyle w:val="NoteEntry"/>
      </w:pPr>
      <w:r w:rsidRPr="00E87598">
        <w:t xml:space="preserve">7. Gilbert Simondon, </w:t>
      </w:r>
      <w:r w:rsidRPr="00E87598">
        <w:rPr>
          <w:i/>
        </w:rPr>
        <w:t>On the Mode of Existence of Technical Objects</w:t>
      </w:r>
      <w:r w:rsidRPr="00E87598">
        <w:t xml:space="preserve">, trans. Cécile Malaspina and John Rogove (Minneapolis: Univocal, 2017), 25–83, esp. 53–83; Bratton, </w:t>
      </w:r>
      <w:r w:rsidRPr="00E87598">
        <w:rPr>
          <w:i/>
        </w:rPr>
        <w:t>The Stack</w:t>
      </w:r>
      <w:r w:rsidRPr="00E87598">
        <w:t>, 75–144. Simondon’s associated milieu is used here to analyze infrastructural dependence without identifying technical regulation with biological normativity.</w:t>
      </w:r>
    </w:p>
    <w:p w14:paraId="189EEE96" w14:textId="77777777" w:rsidR="00E87598" w:rsidRPr="00E87598" w:rsidRDefault="00E87598" w:rsidP="00E87598">
      <w:pPr>
        <w:pStyle w:val="NoteEntry"/>
      </w:pPr>
      <w:r w:rsidRPr="00E87598">
        <w:t xml:space="preserve">8. Nick Seaver, </w:t>
      </w:r>
      <w:r w:rsidRPr="00E87598">
        <w:rPr>
          <w:i/>
        </w:rPr>
        <w:t>Computing Taste: Algorithms and the Makers of Music Recommendation</w:t>
      </w:r>
      <w:r w:rsidRPr="00E87598">
        <w:t xml:space="preserve"> (Chicago: University of Chicago Press, 2022), 1–21, 49–91. Seaver’s ethnography shows that recommendation systems incorporate the working theories, product goals, and cultural practices of their makers.</w:t>
      </w:r>
    </w:p>
    <w:p w14:paraId="2433B5BA" w14:textId="77777777" w:rsidR="00E87598" w:rsidRPr="00E87598" w:rsidRDefault="00E87598" w:rsidP="00E87598">
      <w:pPr>
        <w:pStyle w:val="NoteEntry"/>
      </w:pPr>
      <w:r w:rsidRPr="00E87598">
        <w:t xml:space="preserve">9. Safiya Umoja Noble, </w:t>
      </w:r>
      <w:r w:rsidRPr="00E87598">
        <w:rPr>
          <w:i/>
        </w:rPr>
        <w:t>Algorithms of Oppression: How Search Engines Reinforce Racism</w:t>
      </w:r>
      <w:r w:rsidRPr="00E87598">
        <w:t xml:space="preserve"> (New York: New York University Press, 2018), 1–14, 15–63. Noble’s case concerns a particular commercial and representational history; the chapter does not infer that every algorithm shares one politics.</w:t>
      </w:r>
    </w:p>
    <w:p w14:paraId="6ECF741D" w14:textId="77777777" w:rsidR="00E87598" w:rsidRPr="00E87598" w:rsidRDefault="00E87598" w:rsidP="00E87598">
      <w:pPr>
        <w:pStyle w:val="NoteEntry"/>
      </w:pPr>
      <w:r w:rsidRPr="00E87598">
        <w:t xml:space="preserve">10. Noble, </w:t>
      </w:r>
      <w:r w:rsidRPr="00E87598">
        <w:rPr>
          <w:i/>
        </w:rPr>
        <w:t>Algorithms of Oppression</w:t>
      </w:r>
      <w:r w:rsidRPr="00E87598">
        <w:t>, 64–109, 171–82. The language of epistemic architecture is the manuscript’s synthesis of Noble’s analysis of search visibility, commercial ordering, and public knowledge.</w:t>
      </w:r>
    </w:p>
    <w:p w14:paraId="27A66AAE" w14:textId="77777777" w:rsidR="00E87598" w:rsidRPr="00E87598" w:rsidRDefault="00E87598" w:rsidP="00E87598">
      <w:pPr>
        <w:pStyle w:val="NoteEntry"/>
      </w:pPr>
      <w:r w:rsidRPr="00E87598">
        <w:t xml:space="preserve">11. Virginia Eubanks, </w:t>
      </w:r>
      <w:r w:rsidRPr="00E87598">
        <w:rPr>
          <w:i/>
        </w:rPr>
        <w:t>Automating Inequality: How High-Tech Tools Profile, Police, and Punish the Poor</w:t>
      </w:r>
      <w:r w:rsidRPr="00E87598">
        <w:t xml:space="preserve"> (New York: St. Martin’s Press, 2018), 1–15, 39–84, 85–124, 125–73.</w:t>
      </w:r>
    </w:p>
    <w:p w14:paraId="36576FA6" w14:textId="77777777" w:rsidR="00E87598" w:rsidRPr="00E87598" w:rsidRDefault="00E87598" w:rsidP="00E87598">
      <w:pPr>
        <w:pStyle w:val="NoteEntry"/>
      </w:pPr>
      <w:r w:rsidRPr="00E87598">
        <w:t xml:space="preserve">12. Eubanks, </w:t>
      </w:r>
      <w:r w:rsidRPr="00E87598">
        <w:rPr>
          <w:i/>
        </w:rPr>
        <w:t>Automating Inequality</w:t>
      </w:r>
      <w:r w:rsidRPr="00E87598">
        <w:t xml:space="preserve">, 174–204. On feedback, institutional deployment, and the distinction between prediction and decision, see also Louise Amoore, </w:t>
      </w:r>
      <w:r w:rsidRPr="00E87598">
        <w:rPr>
          <w:i/>
        </w:rPr>
        <w:t>Cloud Ethics: Algorithms and the Attributes of Ourselves and Others</w:t>
      </w:r>
      <w:r w:rsidRPr="00E87598">
        <w:t xml:space="preserve"> (Durham, NC: Duke University Press, 2020), 1–22.</w:t>
      </w:r>
    </w:p>
    <w:p w14:paraId="5363165C" w14:textId="77777777" w:rsidR="00E87598" w:rsidRPr="00E87598" w:rsidRDefault="00E87598" w:rsidP="00E87598">
      <w:pPr>
        <w:pStyle w:val="NoteEntry"/>
      </w:pPr>
      <w:r w:rsidRPr="00E87598">
        <w:t xml:space="preserve">13. Amoore, </w:t>
      </w:r>
      <w:r w:rsidRPr="00E87598">
        <w:rPr>
          <w:i/>
        </w:rPr>
        <w:t>Cloud Ethics</w:t>
      </w:r>
      <w:r w:rsidRPr="00E87598">
        <w:t>, 1–22, 29–84. Amoore’s protest-recognition example demonstrates the condensation of heterogeneous attributes into an actionable output.</w:t>
      </w:r>
    </w:p>
    <w:p w14:paraId="1B5DA635" w14:textId="77777777" w:rsidR="00E87598" w:rsidRPr="00E87598" w:rsidRDefault="00E87598" w:rsidP="00E87598">
      <w:pPr>
        <w:pStyle w:val="NoteEntry"/>
      </w:pPr>
      <w:r w:rsidRPr="00E87598">
        <w:t xml:space="preserve">14. Amoore, </w:t>
      </w:r>
      <w:r w:rsidRPr="00E87598">
        <w:rPr>
          <w:i/>
        </w:rPr>
        <w:t>Cloud Ethics</w:t>
      </w:r>
      <w:r w:rsidRPr="00E87598">
        <w:t>, 133–72. Her “doubtful algorithm” preserves partiality and the possibility of alternative accounts rather than treating uncertainty solely as an error to eliminate.</w:t>
      </w:r>
    </w:p>
    <w:p w14:paraId="72BE1079" w14:textId="77777777" w:rsidR="00E87598" w:rsidRPr="00E87598" w:rsidRDefault="00E87598" w:rsidP="00E87598">
      <w:pPr>
        <w:pStyle w:val="NoteEntry"/>
      </w:pPr>
      <w:r w:rsidRPr="00E87598">
        <w:t xml:space="preserve">15. National Institute of Standards and Technology, </w:t>
      </w:r>
      <w:r w:rsidRPr="00E87598">
        <w:rPr>
          <w:i/>
        </w:rPr>
        <w:t>Artificial Intelligence Risk Management Framework: Generative Artificial Intelligence Profile</w:t>
      </w:r>
      <w:r w:rsidRPr="00E87598">
        <w:t xml:space="preserve">, NIST AI 600-1 (Gaithersburg, MD: National Institute of Standards and Technology, July 2024), 1–11, </w:t>
      </w:r>
      <w:hyperlink r:id="rId33" w:history="1">
        <w:r w:rsidRPr="00E87598">
          <w:rPr>
            <w:color w:val="0000FF" w:themeColor="hyperlink"/>
            <w:u w:val="single"/>
          </w:rPr>
          <w:t>https://doi.org/10.6028/NIST.AI.600-1</w:t>
        </w:r>
      </w:hyperlink>
      <w:r w:rsidRPr="00E87598">
        <w:t>.</w:t>
      </w:r>
    </w:p>
    <w:p w14:paraId="008AEE44" w14:textId="77777777" w:rsidR="00E87598" w:rsidRPr="00E87598" w:rsidRDefault="00E87598" w:rsidP="00E87598">
      <w:pPr>
        <w:pStyle w:val="NoteEntry"/>
      </w:pPr>
      <w:r w:rsidRPr="00E87598">
        <w:t xml:space="preserve">16. National Institute of Standards and Technology, </w:t>
      </w:r>
      <w:r w:rsidRPr="00E87598">
        <w:rPr>
          <w:i/>
        </w:rPr>
        <w:t>Generative Artificial Intelligence Profile</w:t>
      </w:r>
      <w:r w:rsidRPr="00E87598">
        <w:t>, 12–53. The profile treats human–AI configuration, provenance, incident response, public feedback, and disaggregated measurement as features of risk management; the document is cited as a dated 2024 framework, not as a timeless or exhaustive standard.</w:t>
      </w:r>
    </w:p>
    <w:p w14:paraId="6CE3675D" w14:textId="77777777" w:rsidR="00E87598" w:rsidRPr="00E87598" w:rsidRDefault="00E87598" w:rsidP="00E87598">
      <w:pPr>
        <w:pStyle w:val="NoteEntry"/>
      </w:pPr>
      <w:r w:rsidRPr="00E87598">
        <w:t xml:space="preserve">17. Kate Crawford, </w:t>
      </w:r>
      <w:r w:rsidRPr="00E87598">
        <w:rPr>
          <w:i/>
        </w:rPr>
        <w:t>Atlas of AI: Power, Politics, and the Planetary Costs of Artificial Intelligence</w:t>
      </w:r>
      <w:r w:rsidRPr="00E87598">
        <w:t xml:space="preserve"> (New Haven, CT: Yale University Press, 2021), 1–22, 23–52, 53–88, 89–122.</w:t>
      </w:r>
    </w:p>
    <w:p w14:paraId="6B01519F" w14:textId="77777777" w:rsidR="00E87598" w:rsidRPr="00E87598" w:rsidRDefault="00E87598" w:rsidP="00E87598">
      <w:pPr>
        <w:pStyle w:val="NoteEntry"/>
      </w:pPr>
      <w:r w:rsidRPr="00E87598">
        <w:t xml:space="preserve">18. Crawford, </w:t>
      </w:r>
      <w:r w:rsidRPr="00E87598">
        <w:rPr>
          <w:i/>
        </w:rPr>
        <w:t>Atlas of AI</w:t>
      </w:r>
      <w:r w:rsidRPr="00E87598">
        <w:t xml:space="preserve">, 23–88; Bratton, </w:t>
      </w:r>
      <w:r w:rsidRPr="00E87598">
        <w:rPr>
          <w:i/>
        </w:rPr>
        <w:t>The Stack</w:t>
      </w:r>
      <w:r w:rsidRPr="00E87598">
        <w:t xml:space="preserve">, 75–144; Simondon, </w:t>
      </w:r>
      <w:r w:rsidRPr="00E87598">
        <w:rPr>
          <w:i/>
        </w:rPr>
        <w:t>On the Mode of Existence of Technical Objects</w:t>
      </w:r>
      <w:r w:rsidRPr="00E87598">
        <w:t>, 53–83. The account of the data center as an associated milieu and node in the Stack is the manuscript’s synthesis.</w:t>
      </w:r>
    </w:p>
    <w:p w14:paraId="2CA5294A" w14:textId="77777777" w:rsidR="00E87598" w:rsidRPr="00E87598" w:rsidRDefault="00E87598" w:rsidP="00E87598">
      <w:pPr>
        <w:pStyle w:val="NoteEntry"/>
      </w:pPr>
      <w:r w:rsidRPr="00E87598">
        <w:t xml:space="preserve">19. Günther Anders, “On Promethean Shame,” in Christopher John Müller, </w:t>
      </w:r>
      <w:r w:rsidRPr="00E87598">
        <w:rPr>
          <w:i/>
        </w:rPr>
        <w:t>Prometheanism: Technology, Digital Culture and Human Obsolescence</w:t>
      </w:r>
      <w:r w:rsidRPr="00E87598">
        <w:t xml:space="preserve"> (Lanham, MD: Rowman &amp; Littlefield International, 2016), 29–96, quotation at 31–33. The essay was originally published as “Über prometheische Scham” in the first volume of Anders’s </w:t>
      </w:r>
      <w:r w:rsidRPr="00E87598">
        <w:rPr>
          <w:i/>
        </w:rPr>
        <w:t>Die Antiquiertheit des Menschen</w:t>
      </w:r>
      <w:r w:rsidRPr="00E87598">
        <w:t>.</w:t>
      </w:r>
    </w:p>
    <w:p w14:paraId="572DBE58" w14:textId="77777777" w:rsidR="00E87598" w:rsidRPr="00E87598" w:rsidRDefault="00E87598" w:rsidP="00E87598">
      <w:pPr>
        <w:pStyle w:val="NoteEntry"/>
      </w:pPr>
      <w:r w:rsidRPr="00E87598">
        <w:t xml:space="preserve">20. Yuk Hui, </w:t>
      </w:r>
      <w:r w:rsidRPr="00E87598">
        <w:rPr>
          <w:i/>
        </w:rPr>
        <w:t>The Question Concerning Technology in China: An Essay in Cosmotechnics</w:t>
      </w:r>
      <w:r w:rsidRPr="00E87598">
        <w:t xml:space="preserve"> (Falmouth, UK: Urbanomic, 2016), 18–25, quotation at 19. See also 39–58 on modernity, technological rupture, and method.</w:t>
      </w:r>
    </w:p>
    <w:p w14:paraId="10EC143B" w14:textId="77777777" w:rsidR="00E87598" w:rsidRPr="00E87598" w:rsidRDefault="00E87598" w:rsidP="00E87598">
      <w:pPr>
        <w:pStyle w:val="NoteEntry"/>
      </w:pPr>
      <w:r w:rsidRPr="00E87598">
        <w:t xml:space="preserve">21. Yuk Hui, </w:t>
      </w:r>
      <w:r w:rsidRPr="00E87598">
        <w:rPr>
          <w:i/>
        </w:rPr>
        <w:t>Art and Cosmotechnics</w:t>
      </w:r>
      <w:r w:rsidRPr="00E87598">
        <w:t xml:space="preserve"> (Minneapolis: University of Minnesota Press, 2021), 38–67, 184–210, 211–87. Hui’s discussions of recursive machines, the cosmic and moral, sensing, automation, and the incalculable inform the manuscript’s account of technodiversity.</w:t>
      </w:r>
    </w:p>
    <w:p w14:paraId="4BD0E23E" w14:textId="77777777" w:rsidR="00E87598" w:rsidRPr="00E87598" w:rsidRDefault="00E87598" w:rsidP="00E87598">
      <w:pPr>
        <w:pStyle w:val="NoteEntry"/>
      </w:pPr>
      <w:r w:rsidRPr="00E87598">
        <w:t xml:space="preserve">22. Hartmut Rosa, </w:t>
      </w:r>
      <w:r w:rsidRPr="00E87598">
        <w:rPr>
          <w:i/>
        </w:rPr>
        <w:t>Resonance: A Sociology of Our Relationship to the World</w:t>
      </w:r>
      <w:r w:rsidRPr="00E87598">
        <w:t>, trans. James C. Wagner (Cambridge: Polity, 2019), part 1, chap. 5, secs. 3–5. Rosa distinguishes resonance from echo, harmony, and controllable availability and defines alienation as a relation of indifference or hostility.</w:t>
      </w:r>
    </w:p>
    <w:p w14:paraId="278430F4" w14:textId="77777777" w:rsidR="00E87598" w:rsidRPr="00E87598" w:rsidRDefault="00E87598" w:rsidP="00E87598">
      <w:pPr>
        <w:pStyle w:val="NoteEntry"/>
      </w:pPr>
      <w:r w:rsidRPr="00E87598">
        <w:t>23. The distinction among statistical inference, user experience, institutional power, and metaphysical analogy synthesizes the sources above with the argument of Chapter 23. Statistical fate is the manuscript’s name for a probability made operational through an institution; it is not a claim that algorithms possess prophetic knowledge.</w:t>
      </w:r>
    </w:p>
    <w:p w14:paraId="1556BE9C" w14:textId="77777777" w:rsidR="00F93551" w:rsidRDefault="00DD7D58">
      <w:pPr>
        <w:pStyle w:val="ChapterHeading"/>
      </w:pPr>
      <w:bookmarkStart w:id="32" w:name="toc_chapter_25"/>
      <w:r>
        <w:rPr>
          <w:sz w:val="28"/>
        </w:rPr>
        <w:t>Chapter 25</w:t>
      </w:r>
      <w:r>
        <w:rPr>
          <w:sz w:val="28"/>
        </w:rPr>
        <w:br/>
      </w:r>
      <w:r>
        <w:t>Astrology After Cosmos</w:t>
      </w:r>
      <w:bookmarkEnd w:id="32"/>
    </w:p>
    <w:p w14:paraId="3BDB2277" w14:textId="77777777" w:rsidR="00F93551" w:rsidRDefault="00DD7D58">
      <w:pPr>
        <w:pStyle w:val="SectionHeading"/>
      </w:pPr>
      <w:r>
        <w:t>Two Charts, One Birth</w:t>
      </w:r>
    </w:p>
    <w:p w14:paraId="60C6071F" w14:textId="77777777" w:rsidR="00F93551" w:rsidRDefault="00DD7D58">
      <w:pPr>
        <w:pStyle w:val="BookBody"/>
      </w:pPr>
      <w:r>
        <w:t xml:space="preserve">Return to the person beneath the night sky. The body still has a place: feet on uneven ground, a horizon dividing earth from air, a planet holding its steadier light while the constellations turn. Nothing in that scene requires the heavens to address the observer. Astronomy explains the turning as the rotation of Earth, locates the planet by orbital calculation, and replaces the apparent dome with depths no eye can survey. Yet orientation has not vanished. The observer is still here rather than nowhere, at </w:t>
      </w:r>
      <w:r>
        <w:t>this hour rather than every hour, under a sky whose visible order depends upon latitude, season, weather, and the capacities of a living body. The opening witness of this book was therefore never a choice between an ancient illusion and a modern truth. It was the coexistence of two disclosures: a lived sky that gathers a situated observer and a physical universe that corrects the sky’s appearance while immeasurably enlarging what can be known. The difficulty arose because the first disclosure retained quali</w:t>
      </w:r>
      <w:r>
        <w:t>tative presence after the second had withdrawn from the heavens any publicly binding account of what celestial differences mean.</w:t>
      </w:r>
    </w:p>
    <w:p w14:paraId="280C0C93" w14:textId="77777777" w:rsidR="00F93551" w:rsidRDefault="00DD7D58">
      <w:pPr>
        <w:pStyle w:val="BookBody"/>
      </w:pPr>
      <w:r>
        <w:t>Place two charts on a table beneath that sky. They have been calculated for the same birth, from the same date, clock time, and geographical coordinates. The first is a traditional nativity. A circle is divided by horizon and meridian, then into twelve places; zodiacal signs occupy the rim; planets are entered by degree; lines or tabular lists register aspects; marginal notes identify rulers, dignities, receptions, conditions, and lots. Its appearance carries the labor of ephemeris, table, diagram, and judg</w:t>
      </w:r>
      <w:r>
        <w:t>ment even when software has assisted the calculation. The second chart appears on a phone. It may preserve much of the same geometry, but the wheel is smooth, color-coded, and instantly regenerated when the user changes house system, zodiac, orb, or birth time. A swipe opens a prose interpretation. A notification announces a transit. A profile invites the user to add friends, compare compatibility, or purchase a longer report. The two objects share astronomical inputs while differing in material form, pace,</w:t>
      </w:r>
      <w:r>
        <w:t xml:space="preserve"> implied reader, and social world. One addresses a trained judge within a tradition; the other addresses a user whose personal data become an interface, a stream of content, and perhaps a market segment.</w:t>
      </w:r>
    </w:p>
    <w:p w14:paraId="714B34D9" w14:textId="77777777" w:rsidR="00F93551" w:rsidRDefault="00DD7D58">
      <w:pPr>
        <w:pStyle w:val="FigureCaption"/>
      </w:pPr>
      <w:r>
        <w:t>[FIGURE 25.1 — TRADITIONAL NATIVITY PLACEHOLDER. Insert a photographed or scanned, rights-cleared traditional nativity for a consented subject or securely public historical birth record. Supply the exact date, recorded clock time, place, latitude and longitude, time-zone and daylight-saving conversion, calendar, tropical or sidereal zodiac, house system, ephemeris or software used for calculation, astrologer or maker, date of production, archive or owner, and rights/consent statement. The birth data must be</w:t>
      </w:r>
      <w:r>
        <w:t xml:space="preserve"> identical to Figure 25.2. Preserve annotations, rulership tables, aspect markings, and signs of manual production where present.]</w:t>
      </w:r>
    </w:p>
    <w:p w14:paraId="6D3753AD" w14:textId="77777777" w:rsidR="00F93551" w:rsidRDefault="00DD7D58">
      <w:pPr>
        <w:pStyle w:val="FigureCaption"/>
      </w:pPr>
      <w:r>
        <w:t>[FIGURE 25.2 — APP-GENERATED CHART PLACEHOLDER. Insert a rights-cleared screenshot or export produced from the identical birth data used in Figure 25.1. Identify app and version, platform, access date, coordinate and time-zone handling, daylight-saving setting, tropical or sidereal zodiac, house system, aspect set and orbs, calculation engine if disclosed, and whether personalized text, recommendations, social features, or paid prompts are visible. Redact account identifiers while recording all interpretive</w:t>
      </w:r>
      <w:r>
        <w:t>ly relevant settings.]</w:t>
      </w:r>
    </w:p>
    <w:p w14:paraId="7E9214F2" w14:textId="77777777" w:rsidR="00F93551" w:rsidRDefault="00DD7D58">
      <w:pPr>
        <w:pStyle w:val="BookBody"/>
      </w:pPr>
      <w:r>
        <w:t xml:space="preserve">The comparison begins with a restraint. Neither image is the birth itself. The nativity is a technical object generated by rules that select a reference frame, project a three-dimensional sky onto a surface, partition continuous motions, and assign conventional glyphs. The app does not make this mediation disappear; it conceals more of it behind defaults. Even the phrase “the same chart” is unstable. A tropical and a sidereal zodiac will place many planets under different sign names. House systems can move </w:t>
      </w:r>
      <w:r>
        <w:t>a planet from one house to another. Uncertain birth times can shift the ascendant and house cusps, sometimes decisively. Different schools admit different points, aspects, orbs, rulerships, and techniques. What remains common is not an uninterpreted celestial picture but a reproducible astronomical event rendered through an explicit or hidden grammar. The material witness is valuable precisely because it prevents “astrology” from floating free of instruments. A chart is made, and the manner of its making he</w:t>
      </w:r>
      <w:r>
        <w:t>lps determine what it can appear to say.</w:t>
      </w:r>
    </w:p>
    <w:p w14:paraId="453A86EB" w14:textId="77777777" w:rsidR="00F93551" w:rsidRDefault="00DD7D58">
      <w:pPr>
        <w:pStyle w:val="BookBody"/>
      </w:pPr>
      <w:r>
        <w:t xml:space="preserve">The two charts also disclose the problem inherited from the operational planet. The app knows where and when a person was born with a precision unavailable to most ancient astrologers. It may convert civil time to universal time, query an ephemeris, calculate the angles, and display a wheel in less than a second. It can situate without understanding. Its prose can sound intimate because large libraries of interpretations have been recombined around a user’s data, not because the system has encountered that </w:t>
      </w:r>
      <w:r>
        <w:t>life. The traditional chart, by contrast, may offer no fluent self-description at all until someone judges it. But the judge’s presence does not guarantee truth; it introduces skill, tact, projection, commercial interest, doctrinal loyalty, and error. The machine can standardize a grammar while the interpreter can make it answer a singular situation. Between them appears the governing question of this chapter: can a birth participate in real qualitative relations that are neither reducible to conventional p</w:t>
      </w:r>
      <w:r>
        <w:t>hysical causes nor manufactured by a sovereign subject?</w:t>
      </w:r>
    </w:p>
    <w:p w14:paraId="7156BAB6" w14:textId="77777777" w:rsidR="00F93551" w:rsidRDefault="00DD7D58">
      <w:pPr>
        <w:pStyle w:val="BookBody"/>
      </w:pPr>
      <w:r>
        <w:t xml:space="preserve">That question cannot be answered by pointing to the chart’s complexity, the client’s recognition, or astrology’s antiquity. Complexity can conceal arbitrary rules. Recognition can be produced by suggestion, selection, and the broad applicability of flattering or ambivalent descriptions. Antiquity can preserve insight and error together. Nor can the question be dismissed because a horoscope is a representation. Scientific instruments also mediate; a satellite image, clinical graph, and statistical score are </w:t>
      </w:r>
      <w:r>
        <w:t>not the things they disclose. The difference lies in how mediation becomes answerable. A physical model specifies variables, error bounds, and conditions of failure. A diagnostic judgment remains contestable through symptoms, histories, tests, outcomes, and other clinicians. An astrological judgment, if it concerns a shared world rather than private play, must likewise expose what was calculated, what was interpreted, what kind of claim was made, and what would count against it. Its public standing cannot r</w:t>
      </w:r>
      <w:r>
        <w:t>est on the aura of the wheel.</w:t>
      </w:r>
    </w:p>
    <w:p w14:paraId="2745D40D" w14:textId="77777777" w:rsidR="00F93551" w:rsidRDefault="00DD7D58">
      <w:pPr>
        <w:pStyle w:val="SectionHeading"/>
      </w:pPr>
      <w:r>
        <w:t>Astrology after the Cosmos</w:t>
      </w:r>
    </w:p>
    <w:p w14:paraId="3CE4BAFC" w14:textId="77777777" w:rsidR="00F93551" w:rsidRDefault="00DD7D58">
      <w:pPr>
        <w:pStyle w:val="BookBody"/>
      </w:pPr>
      <w:r>
        <w:t>Astrology once belonged to worlds in which the distinction between physical event and qualitative sign did not have its modern shape. The omen series of Mesopotamian scholars did not begin with neutral nature and then add symbolism. Greek and Hellenistic astrology joined planetary periods, zodiacal divisions, elemental qualities, bodily temperaments, political events, and individual destinies within competing philosophical accounts of causation, providence, and fate. Ptolemy defended celestial influence thr</w:t>
      </w:r>
      <w:r>
        <w:t>ough an Aristotelian physics of qualities while warning that terrestrial matter, place, custom, heredity, and the astrologer’s limits qualified judgment. Vettius Valens assembled techniques within a more urgent language of allotment and necessity. Neither author offers a system that can simply be resumed. Their heavens presuppose a cosmology, medicine, anthropology, and social order that historical consciousness cannot restore by deciding to believe again. Yet their differences already prevent the modern ca</w:t>
      </w:r>
      <w:r>
        <w:t>ricature in which astrology has always meant one simple proposition: distant planets mechanically cause personality traits.</w:t>
      </w:r>
    </w:p>
    <w:p w14:paraId="2DE61B3B" w14:textId="77777777" w:rsidR="00F93551" w:rsidRDefault="00DD7D58">
      <w:pPr>
        <w:pStyle w:val="BookBody"/>
      </w:pPr>
      <w:r>
        <w:t>The later history is not the survival of an unchanged doctrine. Christian, Islamic, Jewish, and Renaissance thinkers repeatedly redrew the border between licit celestial causation, forbidden divination, providence, demonic deception, natural magic, and human freedom. Reformation, print, almanacs, state regulation, new astronomy, mechanism, probability, and the rise of psychology altered both the practice and its audience. By the eighteenth century astrology had largely lost standing within learned natural p</w:t>
      </w:r>
      <w:r>
        <w:t>hilosophy in western Europe, but it persisted among almanac makers, medical practitioners, occultists, reformers, and popular readers. Its nineteenth- and twentieth-century revivals were acts of reconstruction. They inherited old symbols through Theosophy, spiritualism, depth psychology, popular publishing, and new religious movements, then presented the result as ancient wisdom, modern science, therapeutic language, or some mixture of the three. Nicholas Campion’s histories are decisive here because they r</w:t>
      </w:r>
      <w:r>
        <w:t>eplace the singular noun with a field of practices. Astrology, he observes, may be presented as “magic, divination, a psychological tool, a religion, an art or a science.”</w:t>
      </w:r>
      <w:r>
        <w:rPr>
          <w:vertAlign w:val="superscript"/>
        </w:rPr>
        <w:t>1</w:t>
      </w:r>
      <w:r>
        <w:t xml:space="preserve"> The list is not a pluralist escape from judgment. It is a demand that the claim under examination be named before it is tested.</w:t>
      </w:r>
    </w:p>
    <w:p w14:paraId="6FAF7D6C" w14:textId="77777777" w:rsidR="00F93551" w:rsidRDefault="00DD7D58">
      <w:pPr>
        <w:pStyle w:val="BookBody"/>
      </w:pPr>
      <w:r>
        <w:t>Modern astrology is thus astrology after cosmos in two senses. It comes historically after the loss of the public cosmologies that once made celestial quality intelligible, and it conducts its work beneath that loss even when it denies it. A practitioner may use Hellenistic techniques, but the consultation occurs in a society organized by civil birth certificates, time zones, psychological identity, consumer choice, astronomical software, and religious plurality. A client may speak of Saturn as though its m</w:t>
      </w:r>
      <w:r>
        <w:t>eaning were perennial, yet the very expectation that a chart should reveal an interior personality is substantially modern. Traditional practice often asked about length of life, marriage, rank, illness, children, travel, enemies, property, and the outcome of undertakings. The modern client more often asks who I am, why I repeat a pattern, how I might grow, whether a relationship is authentic, or what vocation expresses my potential. The sky has not merely been reinterpreted. Its address has moved inward.</w:t>
      </w:r>
    </w:p>
    <w:p w14:paraId="3A6B9404" w14:textId="77777777" w:rsidR="00F93551" w:rsidRDefault="00DD7D58">
      <w:pPr>
        <w:pStyle w:val="BookBody"/>
      </w:pPr>
      <w:r>
        <w:t>That inward movement can preserve significance while surrendering reality. If a planet becomes only a name for psychic content, the chart may organize reflection without saying anything about the world beyond the person’s projection. Astrology then survives by accepting the modern settlement: physics owns the outer universe; psyche generates the meaning. This can be therapeutically modest, but it cannot recover a cosmos. The opposite reaction is to insist that ancient doctrine remains literally true, treati</w:t>
      </w:r>
      <w:r>
        <w:t>ng historical distance as corruption and modern criticism as hostility. That posture gains ontological confidence at the cost of answerability. Between them lies a narrower possibility. Celestial configurations may not be efficient causes or containers of meaning; they may participate in relations whose significance emerges through embodied lives, historical languages, and events. Such a possibility is neither proven by experience nor ruled out by the absence of a familiar mechanism. It requires distinction</w:t>
      </w:r>
      <w:r>
        <w:t>s that astrology’s public image usually collapses.</w:t>
      </w:r>
    </w:p>
    <w:p w14:paraId="4C1A39FD" w14:textId="77777777" w:rsidR="00F93551" w:rsidRDefault="00DD7D58">
      <w:pPr>
        <w:pStyle w:val="SectionHeading"/>
      </w:pPr>
      <w:r>
        <w:t>Six Astrologies</w:t>
      </w:r>
    </w:p>
    <w:p w14:paraId="252F8544" w14:textId="77777777" w:rsidR="00F93551" w:rsidRDefault="00DD7D58">
      <w:pPr>
        <w:pStyle w:val="BookBody"/>
      </w:pPr>
      <w:r>
        <w:t>Traditional astrology begins from inherited rules of judgment. Its contemporary revivals recover sect, dignity, profection, lots, annual revolutions, primary directions, interrogations, elections, and other techniques thinned or abandoned by twentieth-century psychological practice. At its best, the revival restores historical literacy and exposes the fiction that modern sun-sign characterology is timeless. It also returns the chart to questions about events, circumstances, and consequences rather than trea</w:t>
      </w:r>
      <w:r>
        <w:t>ting every configuration as a synonym for inner potential. But “traditional” names several traditions, not a single uncontested code. Texts disagree; techniques migrated across languages and religions; manuscripts were copied, abbreviated, and recombined; modern practitioners decide which authorities to privilege. A rule becomes traditional only through a present act of selection. Historical recovery therefore disciplines practice without granting it immunity. Ptolemy and Valens can be read again; their cos</w:t>
      </w:r>
      <w:r>
        <w:t>mologies cannot be smuggled into the present as unexamined facts.</w:t>
      </w:r>
    </w:p>
    <w:p w14:paraId="2B1839D3" w14:textId="77777777" w:rsidR="00F93551" w:rsidRDefault="00DD7D58">
      <w:pPr>
        <w:pStyle w:val="BookBody"/>
      </w:pPr>
      <w:r>
        <w:t xml:space="preserve">Psychological astrology relocates the chart within character, development, complexes, and individuation. Its genealogy runs through Alan Leo, Theosophy, Dane Rudhyar, humanistic astrology, and the selective adoption of Jungian language. The change was not merely a kinder vocabulary. Prediction and concrete judgment were often minimized while the Sun, planets, signs, and houses became dimensions of a developing self. Campion shows how Alan Leo’s reform helped establish the Sun sign as a privileged marker of </w:t>
      </w:r>
      <w:r>
        <w:t>modern personality and how the horoscope column converted a complex nativity into twelve mass-readable identities. The familiar newspaper and web horoscope is not a debased remnant of antiquity but a modern technical and commercial achievement: standardized calendar cohorts, short repeatable prose, and an imagined community of Aries, Taurus, and the rest.</w:t>
      </w:r>
      <w:r>
        <w:rPr>
          <w:vertAlign w:val="superscript"/>
        </w:rPr>
        <w:t>2</w:t>
      </w:r>
      <w:r>
        <w:t xml:space="preserve"> Serious psychological astrologers rightly distinguish their full charts from these columns. Yet they often retain the column’s deepest premise—that astrology’s primary object is the person’s interior character.</w:t>
      </w:r>
    </w:p>
    <w:p w14:paraId="5B6F2F5D" w14:textId="77777777" w:rsidR="00F93551" w:rsidRDefault="00DD7D58">
      <w:pPr>
        <w:pStyle w:val="BookBody"/>
      </w:pPr>
      <w:r>
        <w:t xml:space="preserve">Evolutionary astrology intensifies that interiorization by naming the object as soul. In Jeffrey Wolf Green’s </w:t>
      </w:r>
      <w:r>
        <w:rPr>
          <w:i/>
        </w:rPr>
        <w:t>Pluto: The Evolutionary Journey of the Soul</w:t>
      </w:r>
      <w:r>
        <w:t>, Pluto, its polarity point, and the lunar nodes are treated as indicators of a soul’s prior patterns, karmic history, and present evolutionary intention. The work begins from metaphysical claims about reincarnation and an enduring individuality. “Pluto correlates to the Soul and evolution,” Green writes, before assigning Saturn to subjective consciousness, Uranus to an individualized unconscious, Neptune to a collective unconscious, and Pluto to the soul itself.</w:t>
      </w:r>
      <w:r>
        <w:rPr>
          <w:vertAlign w:val="superscript"/>
        </w:rPr>
        <w:t>3</w:t>
      </w:r>
      <w:r>
        <w:t xml:space="preserve"> The system can give suffering a narrative, place conflict within a temporal arc, and invite responsibility rather than passive fatalism. But its consoling and ethical force does not establish its ontology. A chart may prompt someone to articulate what feels inherited, compulsive, or unfinished; it does not thereby measure a transmigrating subject. The chart is not the soul, and no responsible interpreter should convert a symbolic scheme into privileged access to another person’s past lives, spiritual rank,</w:t>
      </w:r>
      <w:r>
        <w:t xml:space="preserve"> or cosmic purpose.</w:t>
      </w:r>
    </w:p>
    <w:p w14:paraId="5378E936" w14:textId="77777777" w:rsidR="00F93551" w:rsidRDefault="00DD7D58">
      <w:pPr>
        <w:pStyle w:val="BookBody"/>
      </w:pPr>
      <w:r>
        <w:t>Archetypal astrology shifts attention from fixed traits and literal events to multivalent patterns. Richard Tarnas treats planetary combinations as correlates of archetypal dynamics manifested across biographies, psychotherapy, cultural works, and historical epochs. A Saturn-Pluto alignment, in this view, does not dictate a single outcome. It may appear through contraction, mortality, structural pressure, irrevocable endings, disciplined endurance, oppressive power, or works that give form to extremity. The</w:t>
      </w:r>
      <w:r>
        <w:t xml:space="preserve"> claimed constancy lies at the level of pattern, while actual expression depends upon circumstances and participation. This answers an evident difficulty in concrete prediction: people born near one another do not live identical lives. It also raises a methodological danger. The more multivalent the archetype, the more readily contrary events can be gathered beneath it. Interpretive range may be fidelity to qualitative life, but without constraints it can become an instrument that cannot lose.</w:t>
      </w:r>
    </w:p>
    <w:p w14:paraId="6097A212" w14:textId="77777777" w:rsidR="00F93551" w:rsidRDefault="00DD7D58">
      <w:pPr>
        <w:pStyle w:val="BookBody"/>
      </w:pPr>
      <w:r>
        <w:t>Statistical astrology submits defined celestial variables and human classifications to aggregate comparison. Michel and Françoise Gauquelin rejected much of conventional horoscopy while reporting anomalies in the diurnal positions of certain planets at the births of eminent professionals, most famously Mars among champion athletes. Their project differed fundamentally from reading individual charts. It required birth records, occupational criteria, control frequencies, corrections for astronomical and demog</w:t>
      </w:r>
      <w:r>
        <w:t>raphic distributions, and replicable calculations. Whatever the final assessment of the disputed effects, the form of the question matters. A statistical excess cannot tell a person what a life means; an individual consultation cannot establish a population-level excess. Cornelius’s phrase for the divide—“the unique case is not a member of a population”—states a real methodological limit, though not an exemption from criticism.</w:t>
      </w:r>
      <w:r>
        <w:rPr>
          <w:vertAlign w:val="superscript"/>
        </w:rPr>
        <w:t>4</w:t>
      </w:r>
    </w:p>
    <w:p w14:paraId="34316422" w14:textId="77777777" w:rsidR="00F93551" w:rsidRDefault="00DD7D58">
      <w:pPr>
        <w:pStyle w:val="BookBody"/>
      </w:pPr>
      <w:r>
        <w:t>Commercial astrology is not merely one doctrine beside the other five. It is an infrastructure capable of absorbing all of them. Newspapers made the Sun sign a recurring commodity; books sold personality types; telephone lines and websites sold timed consultation; apps now combine ephemerides, automated prose, social comparison, push notifications, subscriptions, and harvested data. The app may speak the language of trauma, attachment, soul, archetype, tradition, or self-care according to the audience it se</w:t>
      </w:r>
      <w:r>
        <w:t>eks. Its claims are shaped by retention as well as doctrine: the interpretation must be frequent enough to reopen, personal enough to share, and unresolved enough to continue. Commercial mediation does not make every claim false. Astrologers have always worked within patronage, markets, and institutions. But the interface changes the object. A configuration becomes content; a transit becomes an alert; uncertainty becomes engagement; a chart becomes a profile. The operational planet does not abolish astrolog</w:t>
      </w:r>
      <w:r>
        <w:t>y. It teaches astrology how to scale.</w:t>
      </w:r>
    </w:p>
    <w:p w14:paraId="65DB2CCA" w14:textId="77777777" w:rsidR="00F93551" w:rsidRDefault="00DD7D58">
      <w:pPr>
        <w:pStyle w:val="BookBody"/>
      </w:pPr>
      <w:r>
        <w:t>These six astrologies overlap inside actual practice. A traditional astrologer may use psychological language with clients. An evolutionary astrologer may cite Jung and Tarnas. A statistical researcher may remain personally uninterested in consultation. A commercial app may market “ancient” techniques calculated by modern software and written in therapeutic idiom. The taxonomy therefore does not sort people into pure camps. It sorts claims. When an astrologer says that Saturn “means” something, the statemen</w:t>
      </w:r>
      <w:r>
        <w:t>t may refer to a textual inheritance, a psychological metaphor, a soul’s task, an archetypal correspondence, a population-level correlation, or a branded interpretation delivered by an app. Each has different evidence, risks, and conditions of failure. Public qualitative truth begins by refusing to let success in one register migrate silently into another.</w:t>
      </w:r>
    </w:p>
    <w:p w14:paraId="24522351" w14:textId="77777777" w:rsidR="00F93551" w:rsidRDefault="00DD7D58">
      <w:pPr>
        <w:pStyle w:val="SectionHeading"/>
      </w:pPr>
      <w:r>
        <w:t>Chart, Character, Soul, Consciousness</w:t>
      </w:r>
    </w:p>
    <w:p w14:paraId="7E219D69" w14:textId="77777777" w:rsidR="00F93551" w:rsidRDefault="00DD7D58">
      <w:pPr>
        <w:pStyle w:val="BookBody"/>
      </w:pPr>
      <w:r>
        <w:t>The chart is the first term to separate from the person. It is a calculated arrangement, not a miniature human being. This seems obvious until ordinary astrological speech erases it: “You are a Scorpio,” “your Mars is angry,” “your seventh house is damaged,” “Pluto wants transformation.” Grammar converts a relation into an identity and a symbol into an agent. The compression can be useful within a practiced language, as a clinician may say that a scan “shows” disease while knowing that image, body, and diag</w:t>
      </w:r>
      <w:r>
        <w:t>nosis are not identical. But astrological compression is especially hazardous because its terms are already personified. Mars arrives with anger, iron, cutting, courage, warfare, desire, and initiative sedimented through myth, medicine, craft, and centuries of judgment. To locate Mars in a diagram is not yet to determine which of these differences belongs to this life, in what degree, through what circumstances, or according to whose reading.</w:t>
      </w:r>
    </w:p>
    <w:p w14:paraId="6AA0ADD1" w14:textId="77777777" w:rsidR="00F93551" w:rsidRDefault="00DD7D58">
      <w:pPr>
        <w:pStyle w:val="BookBody"/>
      </w:pPr>
      <w:r>
        <w:t>Character is a second term. It names relatively durable dispositions recognizable across situations, but even these are neither simple interiors nor timeless essences. A person becomes patient in one milieu and impatient in another; courage can be trained, exhausted, rewarded, or punished; sociability depends upon language, safety, class, gender, disability, and available institutions. Personality inventories turn selected traits into scales because comparison requires stable questions and operational defin</w:t>
      </w:r>
      <w:r>
        <w:t>itions. An astrological reading often works with richer but less controlled descriptions: disciplined yet inhibited, intense yet private, restless yet visionary. Such phrases can disclose a tension a scale misses, but they can also absorb almost any response. The chart cannot be tested against “character” until the relevant traits, situations, timescales, and observers have been specified. Otherwise agreement means only that an interpretation found some recognizable feature in a complicated person.</w:t>
      </w:r>
    </w:p>
    <w:p w14:paraId="313921B0" w14:textId="77777777" w:rsidR="00F93551" w:rsidRDefault="00DD7D58">
      <w:pPr>
        <w:pStyle w:val="BookBody"/>
      </w:pPr>
      <w:r>
        <w:t>Soul is not a deeper synonym for character. It is a metaphysical, religious, and ethical term whose meanings include life-principle, immortal individuality, capacity for relation to God, depth of personhood, and the subject of reincarnation. Evolutionary astrology often treats these meanings as though they converged in one object readable from Pluto and the nodes. Yet the claim that a configuration symbolically evokes compulsion differs from the claim that it records choices made before birth. The first can</w:t>
      </w:r>
      <w:r>
        <w:t xml:space="preserve"> be explored within experience; the second entails a theory of identity across lives and demands reasons beyond the chart’s interpretive coherence. The temptation is understandable. A birth chart seems uniquely fitted to make existence feel addressed rather than accidental. But precisely because birth is involuntary, an account of karmic intention can turn contingency, inherited inequality, illness, or violence into a lesson the sufferer is presumed to have chosen. What sounds like dignity can become retros</w:t>
      </w:r>
      <w:r>
        <w:t>pective blame. The stronger the soul claim, the stronger the obligation to distinguish invitation, doctrine, and knowledge.</w:t>
      </w:r>
    </w:p>
    <w:p w14:paraId="77CE32F4" w14:textId="77777777" w:rsidR="00F93551" w:rsidRDefault="00DD7D58">
      <w:pPr>
        <w:pStyle w:val="BookBody"/>
      </w:pPr>
      <w:r>
        <w:t>Consciousness is different again. It is not a fixed content deposited at birth but a historically and bodily formed openness to a world. Language, kinship, work, education, ritual, media, trauma, technology, and political order shape what can be noticed and named. A person born under the same astronomical arrangement in Roman Alexandria, Mughal India, industrial Manchester, and a twenty-first-century platform economy would not possess the same interiority wearing different costumes. The available self is al</w:t>
      </w:r>
      <w:r>
        <w:t>tered by the world it inhabits. Campion’s history makes this visible within astrology itself: the modern expectation that a horoscope should reveal a unique developing self arose through Theosophy, psychology, therapeutic culture, and new religious ideas, not from the chart alone.</w:t>
      </w:r>
      <w:r>
        <w:rPr>
          <w:vertAlign w:val="superscript"/>
        </w:rPr>
        <w:t>5</w:t>
      </w:r>
      <w:r>
        <w:t xml:space="preserve"> If astrology claims to describe consciousness, it must account for this historical formation. If it describes only an abstract archetypal range, it cannot infer the actual consciousness without the life.</w:t>
      </w:r>
    </w:p>
    <w:p w14:paraId="3C85A890" w14:textId="77777777" w:rsidR="00F93551" w:rsidRDefault="00DD7D58">
      <w:pPr>
        <w:pStyle w:val="BookBody"/>
      </w:pPr>
      <w:r>
        <w:t>Event and culture further interrupt identity. A transit may coincide with divorce, illness, promotion, migration, war, artistic work, or an inward shift invisible to others. To group these events under one archetype can reveal a family resemblance, but it can also make context disappear. A state closing a factory and a person choosing to leave a job may both be called Saturnian endings; the common adjective should not erase the unequal agencies involved. Culture supplies the planetary lexicon itself. Tarnas</w:t>
      </w:r>
      <w:r>
        <w:t xml:space="preserve"> argues that Greco-Roman gods are local embodiments of transcultural archetypal principles, a serious attempt to distinguish universal pattern from historical image. Yet any such inference moves beyond the data it interprets. The recurrence of similar motifs across cultures may indicate shared bodies, social problems, translations, diffusion, convergent imagination, or realities not exhausted by those explanations. The label “archetypal” names the question; it does not settle the cause.</w:t>
      </w:r>
    </w:p>
    <w:p w14:paraId="6EA061C5" w14:textId="77777777" w:rsidR="00F93551" w:rsidRDefault="00DD7D58">
      <w:pPr>
        <w:pStyle w:val="BookBody"/>
      </w:pPr>
      <w:r>
        <w:t>The interpreter is therefore not an incidental conduit. Selection begins before the consultation: which birth time is accepted, which zodiac and house system are used, which objects count, which techniques are activated, which biography is known, which question is asked. During the reading, the interpreter hears emphasis, silence, correction, resistance, and surprise. A phrase is revised; a symbol becomes salient because of a story; a client recognizes one possibility and rejects another. This interaction i</w:t>
      </w:r>
      <w:r>
        <w:t>s sometimes dismissed as contamination, as though a true chart would speak without a person. Sometimes it is defended as participation, as though interaction could not produce error. Both positions are inadequate. Clinical judgment, historical interpretation, and ordinary perception are also participatory, yet they become more reliable through training, comparison, records, explicit criteria, and correction. Participation is a condition of disclosure, not a certificate of truth.</w:t>
      </w:r>
    </w:p>
    <w:p w14:paraId="19D3AB05" w14:textId="77777777" w:rsidR="00F93551" w:rsidRDefault="00DD7D58">
      <w:pPr>
        <w:pStyle w:val="BookBody"/>
      </w:pPr>
      <w:r>
        <w:t>The comparison of the two charts now acquires force. The traditional nativity displays interpretive decisions more openly because its very density resists immediate consumption. The app hides decisions while multiplying confident sentences. But a hand-drawn chart can authorize dogma, and an app can display settings, sources, uncertainty, and alternatives. The ethical difference does not lie in paper against screen. It lies in whether the mediation remains visible and revisable. A publicly answerable practic</w:t>
      </w:r>
      <w:r>
        <w:t>e would record birth-data quality, calculation settings, techniques used, the question posed, the claims made before outcomes were known, the client’s corrections, and later follow-up. It would distinguish description from advice and possibility from prediction. The chart could then become a material witness to an encounter rather than a seal placed upon identity.</w:t>
      </w:r>
    </w:p>
    <w:p w14:paraId="68549A62" w14:textId="77777777" w:rsidR="00F93551" w:rsidRDefault="00DD7D58">
      <w:pPr>
        <w:pStyle w:val="SectionHeading"/>
      </w:pPr>
      <w:r>
        <w:t>Jung and the Psychological Turn</w:t>
      </w:r>
    </w:p>
    <w:p w14:paraId="10B38AF4" w14:textId="77777777" w:rsidR="00F93551" w:rsidRDefault="00DD7D58">
      <w:pPr>
        <w:pStyle w:val="BookBody"/>
      </w:pPr>
      <w:r>
        <w:t>Jung matters to modern astrology less because he supplied a finished theory than because he unsettled the division that made astrology either physical causation or subjective fantasy. His concept of synchronicity named meaningful coincidence without an evident causal connection. Archetypes, initially liable to be understood as structures of the psyche, came to appear in events that crossed the boundary between inner and outer. Astrology attracted him because it proposed systematic correspondences between ce</w:t>
      </w:r>
      <w:r>
        <w:t>lestial configurations and human situations. Tarnas emphasizes Jung’s long and ambivalent involvement: calculations mentioned to Freud in 1911, later reflections on astrology as a compendium of ancient psychological knowledge, clinical use reported by those around him, and the famous experiment with marriage charts.</w:t>
      </w:r>
      <w:r>
        <w:rPr>
          <w:vertAlign w:val="superscript"/>
        </w:rPr>
        <w:t>6</w:t>
      </w:r>
      <w:r>
        <w:t xml:space="preserve"> None of this makes Jung an empirical warrant. His published claims shift, his methods do not satisfy contemporary experimental standards, and his philosophical vocabulary sometimes moves uncertainly between psychology and metaphysics. He is useful because the uncertainty is real rather than solved by decree.</w:t>
      </w:r>
    </w:p>
    <w:p w14:paraId="52E674F4" w14:textId="77777777" w:rsidR="00F93551" w:rsidRDefault="00DD7D58">
      <w:pPr>
        <w:pStyle w:val="BookBody"/>
      </w:pPr>
      <w:r>
        <w:t xml:space="preserve">Maggie Hyde’s </w:t>
      </w:r>
      <w:r>
        <w:rPr>
          <w:i/>
        </w:rPr>
        <w:t>Jung and Astrology</w:t>
      </w:r>
      <w:r>
        <w:t xml:space="preserve"> presses on precisely this ambivalence. The Jungian temptation is to rescue astrology by converting planets into projections of psychic archetypes. That solution protects symbolic richness while conceding the exterior world to disenchantment. Hyde instead treats Jung’s encounter with astrology as a problem about divination, participation, and the limits of a psychology that would keep meaning inside. Her work belongs beside Cornelius’s because both refuse the easy claim that a chart is an objective personal</w:t>
      </w:r>
      <w:r>
        <w:t>ity code waiting to be decoded. The astrologer’s symbolic attitude, the moment of consultation, and the event of recognition matter to what occurs. But this recovery carries its own danger. If meaning comes alive only in the consultation, a failed statement may always be blamed on the moment, the question, the client’s resistance, or the interpreter’s lack of participation. A psychology of living symbol needs an account of misrecognition as robust as its account of disclosure.</w:t>
      </w:r>
    </w:p>
    <w:p w14:paraId="6E2184F6" w14:textId="77777777" w:rsidR="00F93551" w:rsidRDefault="00DD7D58">
      <w:pPr>
        <w:pStyle w:val="BookBody"/>
      </w:pPr>
      <w:r>
        <w:t>Synchronicity is often asked to do more than it can. It describes a formal relation: two or more events coincide in a way experienced as meaningfully ordered although no adequate efficient cause connects them. A stopped watch at a decisive conversation, a dream echoed by an unexpected animal, or a planetary configuration coinciding with a life crisis may be encountered as a whole before it is explained. The experience cannot be reduced without remainder to the probability of isolated elements, because the m</w:t>
      </w:r>
      <w:r>
        <w:t>eaning belongs to the configuration as lived. Yet improbable does not mean acausal, and meaningful does not mean cosmically intended. Human beings notice after the fact, select from immense streams of events, inherit symbol systems, and remember confirmations more readily than absences. A synchronicity can transform a life without proving that the universe arranged it for that person.</w:t>
      </w:r>
    </w:p>
    <w:p w14:paraId="16F6C6C8" w14:textId="77777777" w:rsidR="00F93551" w:rsidRDefault="00DD7D58">
      <w:pPr>
        <w:pStyle w:val="BookBody"/>
      </w:pPr>
      <w:r>
        <w:t>The strongest implication is therefore relational, not providential. If meaning can arise through an encounter between a living subject and events not consciously produced by that subject, then significance need not originate in a sovereign interior. This is compatible with the argument developed through Uexküll, Canguilhem, and Merleau-Ponty. A feature becomes salient within an organism-world relation; a milieu is structured by what sustains or threatens a form of life; perception is an embodied opening in</w:t>
      </w:r>
      <w:r>
        <w:t xml:space="preserve"> which qualities belong neither to an isolated object nor to a private projection. Astrology asks whether celestial-temporal configurations can enter such relations. The analogy does not prove that they do. A tick’s sensitivity to butyric acid is experimentally investigable, while a Saturn-Pluto complex is interpreted through a historical symbolic language. But relational realism removes one false obstacle: mediation does not by itself make a quality unreal.</w:t>
      </w:r>
    </w:p>
    <w:p w14:paraId="1434B269" w14:textId="77777777" w:rsidR="00F93551" w:rsidRDefault="00DD7D58">
      <w:pPr>
        <w:pStyle w:val="BookBody"/>
      </w:pPr>
      <w:r>
        <w:t>This also clarifies why character is not consciousness. A psychological astrology can provide names through which a person reflects on anger, dependence, authority, desire, loss, or vocation. Those names may alter what is felt and possible. The process is closer to acquiring a vocabulary than discovering a sealed inventory. A Mars symbol can gather bodily heat, conflict, initiative, fear of aggression, and memories of injury into a field that invites discrimination. The interpretation is not true merely bec</w:t>
      </w:r>
      <w:r>
        <w:t>ause it is productive, but neither is its product exhausted by suggestion. Psychotherapy, ritual, literature, and moral conversation also use inherited forms to disclose realities that were not available before they were named. Their validity depends on consequences, coherence, resistance, and accountability within life, not on pretending that the symbol is a physical force.</w:t>
      </w:r>
    </w:p>
    <w:p w14:paraId="44AD321F" w14:textId="77777777" w:rsidR="00F93551" w:rsidRDefault="00DD7D58">
      <w:pPr>
        <w:pStyle w:val="BookBody"/>
      </w:pPr>
      <w:r>
        <w:t>For this reason, the phrase “true for me” is too weak even for psychological astrology. It confuses ownership with truth. A person can be mistaken about a memory, a motive, a relationship, or the effect of a reading. An interpretation can flatter narcissism, intensify fear, excuse harm, or impose a developmental story that does not fit. Conversely, another person’s refusal does not automatically invalidate a difficult but well-grounded observation. The consultation requires a shared world in which bodies, h</w:t>
      </w:r>
      <w:r>
        <w:t>istories, commitments, and consequences exceed preference. Jung’s enduring contribution is not a license to declare every meaningful coincidence real on its own terms. It is the demand that objectivity be enlarged enough to investigate meaning without abolishing criticism.</w:t>
      </w:r>
    </w:p>
    <w:p w14:paraId="4368B025" w14:textId="77777777" w:rsidR="00F93551" w:rsidRDefault="00DD7D58">
      <w:pPr>
        <w:pStyle w:val="SectionHeading"/>
      </w:pPr>
      <w:r>
        <w:t>Soul, Archetype, and Event</w:t>
      </w:r>
    </w:p>
    <w:p w14:paraId="223A4FF6" w14:textId="77777777" w:rsidR="00F93551" w:rsidRDefault="00DD7D58">
      <w:pPr>
        <w:pStyle w:val="BookBody"/>
      </w:pPr>
      <w:r>
        <w:t xml:space="preserve">Evolutionary and archetypal astrologies offer rival ways to answer what the chart addresses. Evolutionary practice often begins from a subject continuous across incarnations, carrying desires and unfinished tendencies into the present birth. Archetypal practice more often speaks of transpersonal patterns that a person or epoch embodies without treating the chart as a biography of an immortal individual. The difference matters ethically. If Pluto records the soul’s prior intention, the interpreter may claim </w:t>
      </w:r>
      <w:r>
        <w:t>knowledge of why a person was born into particular conditions. If Pluto names a multivalent field of death, power, descent, compulsion, transformation, and regeneration, the interpreter claims less about origin but must show that the field is not broad enough to include everything. One risks metaphysical overreach; the other, interpretive elasticity.</w:t>
      </w:r>
    </w:p>
    <w:p w14:paraId="321A6603" w14:textId="77777777" w:rsidR="00F93551" w:rsidRDefault="00DD7D58">
      <w:pPr>
        <w:pStyle w:val="BookBody"/>
      </w:pPr>
      <w:r>
        <w:t xml:space="preserve">Green’s system makes the first risk unusually visible because it states its premises. The soul is an immutable consciousness manifesting successive personalities; Pluto correlates with that soul; the lunar nodes and related factors disclose prior orientation and future evolutionary direction. The candor is preferable to hiding reincarnation inside therapeutic metaphor. It allows the reader to see where observation ends and doctrine begins. Green also insists upon responsibility and change rather than inert </w:t>
      </w:r>
      <w:r>
        <w:t>fate, which complicates the caricature of astrology as fatalism. Yet a metaphysics of chosen lessons can make every event confirm the system. Resistance becomes attachment to an old pattern, attraction becomes evolutionary necessity, suffering becomes karmic consequence, and the interpreter’s authority expands toward invisible lives that cannot answer back.</w:t>
      </w:r>
      <w:r>
        <w:rPr>
          <w:vertAlign w:val="superscript"/>
        </w:rPr>
        <w:t>7</w:t>
      </w:r>
      <w:r>
        <w:t xml:space="preserve"> The discipline required here is not ridicule but abstinence: use no claim about a soul’s past or intention as settled knowledge when the evidence available is a chart and a present narrative.</w:t>
      </w:r>
    </w:p>
    <w:p w14:paraId="39C84C2B" w14:textId="77777777" w:rsidR="00F93551" w:rsidRDefault="00DD7D58">
      <w:pPr>
        <w:pStyle w:val="BookBody"/>
      </w:pPr>
      <w:r>
        <w:t>Tarnas avoids that specific doctrine by locating the relation in archetypal correspondence. His major evidence concerns conjunctions, oppositions, and other alignments of the outer planets correlated with cultural epochs and biographies. The archetypal principle is meant to be stable enough for recognition and multivalent enough for diverse realization. He explicitly rejects simple planetary emissions: “The evidence suggests not that the planets themselves cause various events or character traits, but rathe</w:t>
      </w:r>
      <w:r>
        <w:t>r that a consistently meaningful empirical correspondence exists” between astronomical and human phenomena.</w:t>
      </w:r>
      <w:r>
        <w:rPr>
          <w:vertAlign w:val="superscript"/>
        </w:rPr>
        <w:t>8</w:t>
      </w:r>
      <w:r>
        <w:t xml:space="preserve"> This is the chapter’s most serious positive proposal because it joins public astronomical events to historically documented human events without reducing one to the other. It also places the burden where it belongs: on the consistency, specificity, selection, and comparative assessment of the claimed correspondences.</w:t>
      </w:r>
    </w:p>
    <w:p w14:paraId="541EE79C" w14:textId="77777777" w:rsidR="00F93551" w:rsidRDefault="00DD7D58">
      <w:pPr>
        <w:pStyle w:val="BookBody"/>
      </w:pPr>
      <w:r>
        <w:t>Tarnas is alert to some of the difficulties. He criticizes vague, overspecific, and inherited rules; distinguishes archetypal from concrete prediction; emphasizes exact data and public biographies; and admits that no single correspondence is decisive. He argues that cumulative coherence across many planets, persons, and epochs is the evidence. Yet the method depends upon an “archetypal eye” trained through history, biography, art, and culture rather than a protocol reducible to blind scoring.</w:t>
      </w:r>
      <w:r>
        <w:rPr>
          <w:vertAlign w:val="superscript"/>
        </w:rPr>
        <w:t>9</w:t>
      </w:r>
      <w:r>
        <w:t xml:space="preserve"> That may be appropriate to qualitative pattern, but it makes disagreement difficult to adjudicate. Which events enter the corpus? Which descriptions count as prominent? How wide is the time window? Which planetary pairs are considered? How are negative cases recorded? When a period contains several overlapping alignments, what prevents retrospective allocation? Interpretive expertise cannot answer these questions by depth alone.</w:t>
      </w:r>
    </w:p>
    <w:p w14:paraId="40A82B48" w14:textId="77777777" w:rsidR="00F93551" w:rsidRDefault="00DD7D58">
      <w:pPr>
        <w:pStyle w:val="BookBody"/>
      </w:pPr>
      <w:r>
        <w:t>The strongest version of archetypal astrology would therefore become more public without pretending to become conventional laboratory science. It would preregister at least some temporal windows and symbolic expectations before examining events. It would publish inclusion rules, full datasets, competing interpretations, and negative cases. It would invite historians with no commitment to astrology to assess event selection and language. It would compare the same historical corpus under shuffled or control t</w:t>
      </w:r>
      <w:r>
        <w:t>imelines. It would distinguish exploratory pattern finding from confirmatory testing. None of these procedures can mechanize historical meaning, and a null result would not decide every metaphysical possibility. They would do something more modest and necessary: expose the proposed correspondence to organized resistance from the world and from other readers.</w:t>
      </w:r>
    </w:p>
    <w:p w14:paraId="0E913A4F" w14:textId="77777777" w:rsidR="00F93551" w:rsidRDefault="00DD7D58">
      <w:pPr>
        <w:pStyle w:val="BookBody"/>
      </w:pPr>
      <w:r>
        <w:t>The event must remain more than an example of a planet. The French Revolution is not the expression of a Uranus-Pluto combination; it is a heterogeneous history of fiscal crisis, political representation, food, print, colonial wealth, violence, law, religion, class, and collective action. To call an epoch Promethean, Saturnian, or Plutonic may illuminate a formal quality across otherwise separated developments. It becomes false when the adjective replaces causal and historical explanation. Archetypal langua</w:t>
      </w:r>
      <w:r>
        <w:t>ge is most defensible as a second-order disclosure: not a rival to archives, economics, institutions, and material conditions, but an inquiry into patterned qualities that those explanations may instantiate without naming. Its truth would consist in disciplined seeing-across, not in celestial substitution for history.</w:t>
      </w:r>
    </w:p>
    <w:p w14:paraId="7476914F" w14:textId="77777777" w:rsidR="00F93551" w:rsidRDefault="00DD7D58">
      <w:pPr>
        <w:pStyle w:val="SectionHeading"/>
      </w:pPr>
      <w:r>
        <w:t>Divination and the Unique Case</w:t>
      </w:r>
    </w:p>
    <w:p w14:paraId="03B16EC7" w14:textId="77777777" w:rsidR="00F93551" w:rsidRDefault="00DD7D58">
      <w:pPr>
        <w:pStyle w:val="BookBody"/>
      </w:pPr>
      <w:r>
        <w:t xml:space="preserve">Geoffrey Cornelius makes the decisive break with the effort to turn ordinary horoscope interpretation into a weak natural science. In </w:t>
      </w:r>
      <w:r>
        <w:rPr>
          <w:i/>
        </w:rPr>
        <w:t>The Moment of Astrology</w:t>
      </w:r>
      <w:r>
        <w:t>, he distinguishes a natural or statistical order of possible celestial effects from the divinatory order of symbolic judgment. Most astrology as practiced, he argues, belongs to the latter. A consultation is a unique event in which chart, question, astrologer, client, and circumstances form a field of significance. The horoscope does not operate like an assay revealing traits already stored in the person. Its symbols are judged within a moment. Astrology comes alive not when a code mechanically matches a b</w:t>
      </w:r>
      <w:r>
        <w:t>iography but when a symbol addresses the situation with fittingness.</w:t>
      </w:r>
    </w:p>
    <w:p w14:paraId="48F36B22" w14:textId="77777777" w:rsidR="00F93551" w:rsidRDefault="00DD7D58">
      <w:pPr>
        <w:pStyle w:val="BookBody"/>
      </w:pPr>
      <w:r>
        <w:t>This proposal explains features that experimental designs often strip away. A real client comes because something matters. The question has a history and an urgency. The astrologer speaks to a person whose words and presence change the course of the judgment. Meaning can gather around an error, interruption, or apparently accidental detail. Cornelius relates astrology to omen and katarche, the qualitative beginning in which an undertaking takes form. Willis and Curry similarly describe astrology as dialogic</w:t>
      </w:r>
      <w:r>
        <w:t>al participation, “the grand conversation of earth and heaven,” and connect that participation to an embodied phenomenology rather than a detached inspection of celestial causes.</w:t>
      </w:r>
      <w:r>
        <w:rPr>
          <w:vertAlign w:val="superscript"/>
        </w:rPr>
        <w:t>10</w:t>
      </w:r>
      <w:r>
        <w:t xml:space="preserve"> The consultation, on this account, is less like measuring a hidden variable and more like interpreting a dream, a legal case, a poem, or a ritual sign—though none of those analogies removes the need for judgment.</w:t>
      </w:r>
    </w:p>
    <w:p w14:paraId="3D61E2F3" w14:textId="77777777" w:rsidR="00F93551" w:rsidRDefault="00DD7D58">
      <w:pPr>
        <w:pStyle w:val="BookBody"/>
      </w:pPr>
      <w:r>
        <w:t>The divinatory turn gains honesty by relinquishing a false defense. If horoscope interpretation depends upon participation, it should not claim that a chart objectively encodes a complete personality independent of every question and reader. If symbolic fittingness is singular, the practice should not borrow authority from statistical effects that concern populations. Cornelius’s own summary separates objective phenomena amenable to science from the symbolic language that “gives a real and significant insig</w:t>
      </w:r>
      <w:r>
        <w:t>ht into life seen from within, rather than from the outside. It refers to human experience as it is lived.”</w:t>
      </w:r>
      <w:r>
        <w:rPr>
          <w:vertAlign w:val="superscript"/>
        </w:rPr>
        <w:t>11</w:t>
      </w:r>
      <w:r>
        <w:t xml:space="preserve"> This is not a declaration that science cannot examine astrologers. It is a claim that the thing examined in a decontextualized matching test may differ from the event practitioners value. The difference is legitimate only if stated before failure, not invented afterward to protect a claim.</w:t>
      </w:r>
    </w:p>
    <w:p w14:paraId="6F4C57D2" w14:textId="77777777" w:rsidR="00F93551" w:rsidRDefault="00DD7D58">
      <w:pPr>
        <w:pStyle w:val="BookBody"/>
      </w:pPr>
      <w:r>
        <w:t>Divination nevertheless faces a public problem sharper than archetypal correlation. A unique judgment does not repeat, but it can still be assessed. Was the birth data correct? Did the astrologer know facts not disclosed to the evaluator? Were claims recorded before feedback? Did the judgment address the question or merely produce generalities? What did the client reject? What consequences followed? How did another skilled interpreter understand the same configuration? Did later events support a specific fo</w:t>
      </w:r>
      <w:r>
        <w:t>recast, and were alternatives equally plausible? A legal judgment concerns a unique case but must state reasons; a clinical encounter concerns a singular organism but remains accountable to evidence and outcome; a historical interpretation concerns an unrepeatable past but can be challenged through sources. Uniqueness changes the form of testing. It does not dissolve the distinction between insight and improvisation.</w:t>
      </w:r>
    </w:p>
    <w:p w14:paraId="5ED2016F" w14:textId="77777777" w:rsidR="00F93551" w:rsidRDefault="00DD7D58">
      <w:pPr>
        <w:pStyle w:val="BookBody"/>
      </w:pPr>
      <w:r>
        <w:t>The crucial issue is symbolic disclosure. A symbol does not function like a label attached to one object. It gathers a range of relations and can make a situation appear under a new aspect. Saturn may connect limit, age, labor, fear, responsibility, scarcity, law, form, and endurance without asserting that these are identical. In a strong reading, the symbol discriminates: it shows why this limit is experienced as paternal authority rather than bodily exhaustion, why this ending requires form rather than es</w:t>
      </w:r>
      <w:r>
        <w:t>cape, why a feared deprivation is also a commitment. In a weak reading, the symbol merely redescribes whatever the client says. The difference can be felt, but public truth requires more than feeling. A disciplined divinatory practice would preserve the exact movement from symbol to judgment so that others can see where tradition, observation, inference, and invention entered.</w:t>
      </w:r>
    </w:p>
    <w:p w14:paraId="398DD9C3" w14:textId="77777777" w:rsidR="00F93551" w:rsidRDefault="00DD7D58">
      <w:pPr>
        <w:pStyle w:val="BookBody"/>
      </w:pPr>
      <w:r>
        <w:t>Here the chart returns as material witness. Its circle can hold simultaneous relations without resolving them into a list. Horizon and meridian bind the celestial arrangement to a terrestrial place; aspects register geometrical relations; houses distribute topics; time is rendered as a qualitative configuration rather than an empty coordinate. This formal power helps explain why the chart can organize attention even if no celestial influence is established. But the wheel’s wholeness can seduce. Because ever</w:t>
      </w:r>
      <w:r>
        <w:t>y point appears connected within one image, the interpreter may mistake graphic integration for ontological integration. The chart makes a world; it does not prove that the world is made as the chart depicts it. Its deepest value for this book is therefore double: it is an instrument of qualitative placement and a warning that representation can manufacture the coherence it claims to discover.</w:t>
      </w:r>
    </w:p>
    <w:p w14:paraId="11E7F0E6" w14:textId="77777777" w:rsidR="00F93551" w:rsidRDefault="00DD7D58">
      <w:pPr>
        <w:pStyle w:val="SectionHeading"/>
      </w:pPr>
      <w:r>
        <w:t>Statistics at the Threshold</w:t>
      </w:r>
    </w:p>
    <w:p w14:paraId="0A115FFB" w14:textId="77777777" w:rsidR="00F93551" w:rsidRDefault="00DD7D58">
      <w:pPr>
        <w:pStyle w:val="BookBody"/>
      </w:pPr>
      <w:r>
        <w:t xml:space="preserve">Michel Gauquelin approached astrology from the opposite direction. He sought repeatable population effects and reported largely negative results for zodiac signs, houses, aspects, and the ordinary horoscope. In </w:t>
      </w:r>
      <w:r>
        <w:rPr>
          <w:i/>
        </w:rPr>
        <w:t>The Scientific Basis of Astrology</w:t>
      </w:r>
      <w:r>
        <w:t xml:space="preserve"> he described examining more than twenty-five thousand celebrity births without finding nonchance distributions of the Sun, Moon, or ascendant in zodiacal signs by profession. Jupiter at the midheaven did not confer general success; traditional benefic and malefic claims failed; the inherited horoscope, he concluded elsewhere, “falls down.” Yet his analysis of diurnal planetary positions produced the anomalies that made his work famous. In samples of eminent professionals, certain planets appeared more freq</w:t>
      </w:r>
      <w:r>
        <w:t>uently than expected in sectors just after rising or upper culmination: Mars among champion athletes, Saturn among scientists and physicians, Jupiter among actors and politicians, the Moon among writers. He later linked these positions to character traits extracted from biographies and proposed a planetary-heredity effect between parents and children.</w:t>
      </w:r>
      <w:r>
        <w:rPr>
          <w:vertAlign w:val="superscript"/>
        </w:rPr>
        <w:t>12</w:t>
      </w:r>
    </w:p>
    <w:p w14:paraId="579BCB0B" w14:textId="77777777" w:rsidR="00F93551" w:rsidRDefault="00DD7D58">
      <w:pPr>
        <w:pStyle w:val="BookBody"/>
      </w:pPr>
      <w:r>
        <w:t>These claims occupy an awkward position because they support little of what most astrologers do. The variable is not a zodiacal sign, conventional house meaning, aspect, or individualized forecast. The population is selected for eminence, not humanity in general. The reported differences concern frequencies, not destinies. Even if an effect survived every methodological dispute, it would not validate a natal interpretation assembled from dozens of other factors. Gauquelin understood this separation better t</w:t>
      </w:r>
      <w:r>
        <w:t>han many who invoked him. He insisted that impressions were unreliable, that samples and expected frequencies had to be defined, and that positive and negative results belonged together. His project should therefore be read neither as the statistical proof of astrology nor as an embarrassing episode that can be ignored. It is a bounded empirical research program whose data selection, controls, demographic corrections, replications, and controversies require independent assessment.</w:t>
      </w:r>
    </w:p>
    <w:p w14:paraId="0EC93AF1" w14:textId="77777777" w:rsidR="00F93551" w:rsidRDefault="00DD7D58">
      <w:pPr>
        <w:pStyle w:val="BookBody"/>
      </w:pPr>
      <w:r>
        <w:t>The Mars effect became a prolonged conflict over exactly those matters. Gauquelin reported an excess of prominent athletes born with Mars in designated key sectors and described further European and American samples. Skeptical organizations conducted or sponsored replications; disputes followed over the definition of eminence, the selection and exclusion of athletes, birth-time accuracy, demographic controls, and the handling of subsamples. The supplied sources document the controversy primarily through Gau</w:t>
      </w:r>
      <w:r>
        <w:t>quelin and sympathetic astrological writers, so they cannot establish a settled contemporary verdict. What they do establish is the structure of the evidentiary burden. A result defined after inspecting many professions, planets, sectors, and thresholds is more vulnerable to selection than a result specified beforehand. A replication must preserve the relevant criteria without quietly optimizing them. Complete data and exclusion logs matter more than rhetorical confidence. Until the effect is securely repro</w:t>
      </w:r>
      <w:r>
        <w:t>duced under transparent prospective rules by independent teams, it remains an interesting disputed anomaly rather than a foundation for cosmology.</w:t>
      </w:r>
    </w:p>
    <w:p w14:paraId="58E6F023" w14:textId="77777777" w:rsidR="00F93551" w:rsidRDefault="00DD7D58">
      <w:pPr>
        <w:pStyle w:val="BookBody"/>
      </w:pPr>
      <w:r>
        <w:t>Cornelius uses the Gauquelin findings to define a possible natural order distinct from divinatory interpretation. This is conceptually helpful but evidentially risky. The distinction allows a small, testable planetary effect to coexist with a symbolic consultation without pretending that one validates the other. Yet calling the effect “natural astrology” can carry more tradition into the finding than the result warrants. If a correlation exists, its cause could involve a hidden demographic artifact, selecti</w:t>
      </w:r>
      <w:r>
        <w:t>on, biology, environment, reporting practice, or something not yet conceived. It would not arrive labeled Mars. The astronomical coordinate and the mythic symbol must be connected through further evidence, not through the familiarity of their name.</w:t>
      </w:r>
      <w:r>
        <w:rPr>
          <w:vertAlign w:val="superscript"/>
        </w:rPr>
        <w:t>13</w:t>
      </w:r>
      <w:r>
        <w:t xml:space="preserve"> A disciplined astrology should welcome a genuine anomaly while refusing to make it bear the weight of every qualitative claim.</w:t>
      </w:r>
    </w:p>
    <w:p w14:paraId="2E975E96" w14:textId="77777777" w:rsidR="00F93551" w:rsidRDefault="00DD7D58">
      <w:pPr>
        <w:pStyle w:val="BookBody"/>
      </w:pPr>
      <w:r>
        <w:t>Statistics nevertheless expose a central limit of the phrase “true for me.” A population effect cannot be true only for those who recognize it. If a claimed association concerns birth positions and profession, the counts either depart from an appropriate expectation under stated conditions or they do not. Conversely, a null population result does not decide whether a singular symbolic encounter disclosed something real in a life. The two orders are not sealed: repeated claims made in consultations can be op</w:t>
      </w:r>
      <w:r>
        <w:t>erationalized, and an aggregate finding may alter interpretation. But neither order may raid the authority of the other. Astrology’s public problem has persisted because statistical findings are often advertised as proof of meaningful horoscopy, while symbolic failures are protected as unique and untestable. The boundary must be crossed by method, not enthusiasm.</w:t>
      </w:r>
    </w:p>
    <w:p w14:paraId="00145B3D" w14:textId="77777777" w:rsidR="00F93551" w:rsidRDefault="00DD7D58">
      <w:pPr>
        <w:pStyle w:val="SectionHeading"/>
      </w:pPr>
      <w:r>
        <w:t>What Failed Tests Test</w:t>
      </w:r>
    </w:p>
    <w:p w14:paraId="27FCF639" w14:textId="77777777" w:rsidR="00F93551" w:rsidRDefault="00DD7D58">
      <w:pPr>
        <w:pStyle w:val="BookBody"/>
      </w:pPr>
      <w:r>
        <w:t xml:space="preserve">Shawn Carlson’s 1985 </w:t>
      </w:r>
      <w:r>
        <w:rPr>
          <w:i/>
        </w:rPr>
        <w:t>Nature</w:t>
      </w:r>
      <w:r>
        <w:t xml:space="preserve"> paper remains the emblematic double-blind test. Its “fundamental thesis of natal astrology” was framed with astrological advisers: planetary positions at birth can be used to determine general personality traits and major issues. The experiment had two parts. Subjects attempted to identify their astrologically derived interpretations from groups of three. Astrologers received a natal chart and three California Psychological Inventory profiles, then ranked which profile best matched the chart. Carlson selec</w:t>
      </w:r>
      <w:r>
        <w:t>ted the CPI partly because advisers considered its scales relevant to astrological description; birth times were documented; charts were computer calculated and spot-checked; coding and data collection were blinded; the statistical criteria were specified in advance. In the chart-to-CPI portion, astrologers returned 116 usable first choices. They selected the correct profile at 0.34 ± 0.044, consistent with the one-in-three chance expectation and far below the 0.50 minimum effect advisers had predicted. The</w:t>
      </w:r>
      <w:r>
        <w:t>ir confidence ratings did not improve accuracy.</w:t>
      </w:r>
      <w:r>
        <w:rPr>
          <w:vertAlign w:val="superscript"/>
        </w:rPr>
        <w:t>14</w:t>
      </w:r>
    </w:p>
    <w:p w14:paraId="2E7EB1FD" w14:textId="77777777" w:rsidR="00F93551" w:rsidRDefault="00DD7D58">
      <w:pPr>
        <w:pStyle w:val="BookBody"/>
      </w:pPr>
      <w:r>
        <w:t xml:space="preserve">The first part was harder to interpret. Test subjects did not select their own astrological interpretations more successfully than matched controls, but they also failed to identify their own CPI profiles at the expected rate. Carlson therefore declined to use that failure alone against astrology. In the second part he argued that astrologers’ chance-level matching refuted the stated natal thesis. Cornelius and other critics objected that the CPI may not express what astrologers read, that consultation had </w:t>
      </w:r>
      <w:r>
        <w:t>been removed, that the sample represented artificial interpretations rather than astrology as lived, and that procedural problems compromised the study. Some criticisms identify real limits; others reopen assumptions the advisers had accepted only after the result was known. The responsible conclusion is narrower than Carlson’s broadest sentence and firmer than dismissal. Under these agreed double-blind conditions, participating astrologers did not match charts to the selected personality profiles better th</w:t>
      </w:r>
      <w:r>
        <w:t>an chance. The test counts strongly against the specified ability. It does not adjudicate every divinatory, evental, historical, or metaphysical version of astrology.</w:t>
      </w:r>
      <w:r>
        <w:rPr>
          <w:vertAlign w:val="superscript"/>
        </w:rPr>
        <w:t>15</w:t>
      </w:r>
    </w:p>
    <w:p w14:paraId="4D7F10C0" w14:textId="77777777" w:rsidR="00F93551" w:rsidRDefault="00DD7D58">
      <w:pPr>
        <w:pStyle w:val="BookBody"/>
      </w:pPr>
      <w:r>
        <w:t>Bertram Forer’s 1949 classroom demonstration explains why successful recognition cannot by itself repair the failed test. Thirty-nine students completed a diagnostic interest blank and later received what they believed were individualized personality sketches. Every sketch contained the same thirteen statements, drawn largely from a newsstand astrology book: a need for approval, unused capacity, inner insecurity beneath outward control, doubts about decisions, a desire for variety, and other broadly applica</w:t>
      </w:r>
      <w:r>
        <w:t>ble tensions. On a zero-to-five scale the mean rating of the sketch was approximately 4.26; the students accepted on average 10.2 of the thirteen items. The demonstration does not show that every astrological statement is vague or that every client is gullible. It shows that personal validation is not independent evidence when the description has not been compared with what the same person would reject, what other people also accept, or what was specified in advance.</w:t>
      </w:r>
      <w:r>
        <w:rPr>
          <w:vertAlign w:val="superscript"/>
        </w:rPr>
        <w:t>16</w:t>
      </w:r>
    </w:p>
    <w:p w14:paraId="1EB2676D" w14:textId="77777777" w:rsidR="00F93551" w:rsidRDefault="00DD7D58">
      <w:pPr>
        <w:pStyle w:val="BookBody"/>
      </w:pPr>
      <w:r>
        <w:t>The Forer effect is especially powerful in contemporary interfaces. An app can combine flattering ambiguity with precise-seeming data. A sentence arrives under the user’s birth time, rising sign, and planetary degree, surrounded by a technical wheel whose exactness lends authority to prose. The user selects what resonates, screenshots it, and forgets the rest. Social circulation supplies further confirmation as friends recognize themselves in the same language. Algorithms can learn which formulations retain</w:t>
      </w:r>
      <w:r>
        <w:t xml:space="preserve"> attention without learning which are true. This is not merely a fraud perpetrated upon passive consumers. Recognition is an active human capacity, and general statements may become useful prompts. The error is to infer diagnostic specificity from felt relevance. A prompt can be fruitful while failing as a description uniquely derived from the chart.</w:t>
      </w:r>
    </w:p>
    <w:p w14:paraId="3D3673A0" w14:textId="77777777" w:rsidR="00F93551" w:rsidRDefault="00DD7D58">
      <w:pPr>
        <w:pStyle w:val="BookBody"/>
      </w:pPr>
      <w:r>
        <w:t>Large-sample studies test another familiar claim. Peter Hartmann, Martin Reuter, and Helmuth Nyborg analyzed two datasets totaling more than fifteen thousand people: 4,321 middle-aged men from the Vietnam Experience Study and 11,448 participants in the National Longitudinal Study of Youth. They examined month and season of birth as well as Sun signs, elements, and astrological gender against personality dimensions and general intelligence. They found small seasonal associations in some analyses, but no inde</w:t>
      </w:r>
      <w:r>
        <w:t>pendent effects of Sun signs, elements, or astrological gender and no support for common astrological personality claims. The authors explicitly noted that their design could not falsify astrology at large because a full astrology includes factors beyond the Sun. That limitation is correct. It does not rescue Sun-sign characterology. When mass astrology assigns personality by date cohort, a study directed at those cohorts addresses the claim it actually makes.</w:t>
      </w:r>
      <w:r>
        <w:rPr>
          <w:vertAlign w:val="superscript"/>
        </w:rPr>
        <w:t>17</w:t>
      </w:r>
    </w:p>
    <w:p w14:paraId="6CFE8F59" w14:textId="77777777" w:rsidR="00F93551" w:rsidRDefault="00DD7D58">
      <w:pPr>
        <w:pStyle w:val="BookBody"/>
      </w:pPr>
      <w:r>
        <w:t>Failed tests therefore divide the field rather than end the conversation. They weigh heavily against fixed personality decoding, generalized Sun-sign types, and the claim that astrologers can perform specified blind matches under agreed conditions. They say less about whether a consultation can disclose meaning, whether historical epochs exhibit qualitative patterns, or whether there are unrecognized relations between organism, time, and environment. But “say less” cannot become “say nothing.” A practice th</w:t>
      </w:r>
      <w:r>
        <w:t>at advertises accurate personality knowledge in public cannot retreat to singular divination only when controlled personality tests fail. It must change its claims, methods, and marketing. Negative evidence is not persecution; it is one way the world prevents a language from becoming omnipotent.</w:t>
      </w:r>
    </w:p>
    <w:p w14:paraId="7CCE3B72" w14:textId="77777777" w:rsidR="00F93551" w:rsidRDefault="00DD7D58">
      <w:pPr>
        <w:pStyle w:val="BookBody"/>
      </w:pPr>
      <w:r>
        <w:t>Paul Thagard’s influential account of pseudoscience helps move the argument beyond a ritual invocation of falsifiability. He rejected the idea that astrology is pseudoscientific simply because it has ancient origins, lacks a known physical mechanism, or can protect itself with auxiliary hypotheses. Scientific theories also survive anomalous observations, and statistical claims can be tested without a mechanism. His criterion instead joined theory, community, and historical context. A discipline is pseudosci</w:t>
      </w:r>
      <w:r>
        <w:t>entific when it is persistently less progressive than available alternatives, faces unsolved problems, and is maintained by a community that makes little attempt to solve them, compare theories, or consider confirmations and disconfirmations without selection.</w:t>
      </w:r>
      <w:r>
        <w:rPr>
          <w:vertAlign w:val="superscript"/>
        </w:rPr>
        <w:t>18</w:t>
      </w:r>
      <w:r>
        <w:t xml:space="preserve"> The criterion is not beyond criticism, but its social demand is valuable. Public answerability is a practice of organized correction, not a magical property attached to certain sentences.</w:t>
      </w:r>
    </w:p>
    <w:p w14:paraId="0ECB76D5" w14:textId="77777777" w:rsidR="00F93551" w:rsidRDefault="00DD7D58">
      <w:pPr>
        <w:pStyle w:val="BookBody"/>
      </w:pPr>
      <w:r>
        <w:t>Astrology’s heterogeneous field prevents one verdict from applying evenly. Commercial columns that issue unfalsifiable daily generalities, practitioners who promise certainty, archival historians of astrology, statistical researchers, and divinatory astrologers who disclaim science are not doing the same work. Calling them all pseudoscience can obscure fraud, scholarship, ritual, therapy, metaphysics, and failed empirical programs under one word. Yet disclaiming science does not end responsibility. A divine</w:t>
      </w:r>
      <w:r>
        <w:t>r can still exploit fear. A therapeutic astrologer can still exceed competence. An archetypal historian can still select evidence. An app can still present generated text as knowledge of a person. The relevant question is not only whether astrology counts as science. It is whether each practice tells the truth about what it knows, how it knows, what it risks, and how it can be corrected.</w:t>
      </w:r>
    </w:p>
    <w:p w14:paraId="2E9A8AF1" w14:textId="77777777" w:rsidR="00F93551" w:rsidRDefault="00DD7D58">
      <w:pPr>
        <w:pStyle w:val="SectionHeading"/>
      </w:pPr>
      <w:r>
        <w:t>Public Qualitative Truth</w:t>
      </w:r>
    </w:p>
    <w:p w14:paraId="79D116EA" w14:textId="77777777" w:rsidR="00F93551" w:rsidRDefault="00DD7D58">
      <w:pPr>
        <w:pStyle w:val="BookBody"/>
      </w:pPr>
      <w:r>
        <w:t xml:space="preserve">The phrase public qualitative truth may sound self-contradictory because modern public knowledge has been built by bracketing the qualitative. Numbers travel. Coordinates allow different observers to locate the same event. Standardized instruments reduce dependence upon a particular judge. Astrology’s symbolic judgments seem to move in the opposite direction toward context, participation, and singularity. But the history traced in this book shows that publicity and quantification are not identical. A color </w:t>
      </w:r>
      <w:r>
        <w:t xml:space="preserve">can be publicly discriminated although its appearance depends upon bodies, light, surfaces, and learned vocabularies. An organism’s pathological state cannot always be inferred from a population average, yet clinical judgment is not therefore private taste. A place can bear historical and sacred significance through publicly contestable practices even though no coordinate contains that significance. Qualitative truth is mediated and relational; it becomes public when its mediations, reasons, witnesses, and </w:t>
      </w:r>
      <w:r>
        <w:t>consequences can be shared and challenged.</w:t>
      </w:r>
    </w:p>
    <w:p w14:paraId="65690744" w14:textId="77777777" w:rsidR="00F93551" w:rsidRDefault="00DD7D58">
      <w:pPr>
        <w:pStyle w:val="BookBody"/>
      </w:pPr>
      <w:r>
        <w:t>Canguilhem’s biological normativity provides one model of this relation. The normal is not simply the statistically frequent, and pathology is not merely deviation from an average. A living being establishes norms through its capacity to tolerate variation and create a viable relation with a milieu. The judgment concerns this organism in this world, yet it is not invented by the patient or clinician. Resistance, pain, impairment, recovery, and changed possibilities answer back.</w:t>
      </w:r>
      <w:r>
        <w:rPr>
          <w:vertAlign w:val="superscript"/>
        </w:rPr>
        <w:t>19</w:t>
      </w:r>
      <w:r>
        <w:t xml:space="preserve"> Astrology cannot borrow biological normativity as proof of celestial meaning. It can learn from the structure. If a configuration is said to matter for a life, the relation must appear in the person’s possibilities and encounters, not only in the interpreter’s lexicon. The living subject is neither a passive effect of planets nor the sovereign creator of whatever the chart means.</w:t>
      </w:r>
    </w:p>
    <w:p w14:paraId="0948AA13" w14:textId="77777777" w:rsidR="00F93551" w:rsidRDefault="00DD7D58">
      <w:pPr>
        <w:pStyle w:val="BookBody"/>
      </w:pPr>
      <w:r>
        <w:t>Merleau-Ponty supplies a second model. Perception is not the assembly of neutral sensations by an interior mind; it is bodily participation in a visible world that already solicits movement and attention. The touching hand can touch because it is itself tangible. The seer belongs to the visible. His later language of flesh and chiasm names this intertwining without turning relation into a mystical substance.</w:t>
      </w:r>
      <w:r>
        <w:rPr>
          <w:vertAlign w:val="superscript"/>
        </w:rPr>
        <w:t>20</w:t>
      </w:r>
      <w:r>
        <w:t xml:space="preserve"> An astrological chart similarly places the observer within the field it represents: the houses are calculated from a horizon and meridian; “planetary position” is position as seen from Earth; the birth moment is a worldly intersection, not a view from nowhere. Yet geocentric representation establishes perspective, not cosmic address. The phenomenological lesson is that situatedness is a condition of truth. The astrological inference—that the situation bears planetary qualitative meaning—still requires its </w:t>
      </w:r>
      <w:r>
        <w:t>own warrant.</w:t>
      </w:r>
    </w:p>
    <w:p w14:paraId="43B163BC" w14:textId="77777777" w:rsidR="00F93551" w:rsidRDefault="00DD7D58">
      <w:pPr>
        <w:pStyle w:val="BookBody"/>
      </w:pPr>
      <w:r>
        <w:t>Hui’s cosmotechnics adds a civilizational and technical caution. Every technical order joins a conception of cosmos with a conception of moral and collective life, even when it presents itself as universal efficiency. The traditional nativity and the app are not neutral containers for the same ancient content. The first belongs to practices of judgment, textual lineage, and often face-to-face authority. The second belongs to databases, standardized global time, software defaults, platform design, behavioral</w:t>
      </w:r>
      <w:r>
        <w:t xml:space="preserve"> metrics, and individualized consumption.</w:t>
      </w:r>
      <w:r>
        <w:rPr>
          <w:vertAlign w:val="superscript"/>
        </w:rPr>
        <w:t>21</w:t>
      </w:r>
      <w:r>
        <w:t xml:space="preserve"> To ask whether astrology is true while ignoring these forms is to miss how truth is staged. The app can make one cosmology appear as frictionless personal information; the manuscript chart can make inherited hierarchy appear natural; the consultation can make the interpreter’s social assumptions sound celestial. A recovered qualitative world must include critique of the technologies through which qualities are delivered.</w:t>
      </w:r>
    </w:p>
    <w:p w14:paraId="074BEC0E" w14:textId="77777777" w:rsidR="00F93551" w:rsidRDefault="00DD7D58">
      <w:pPr>
        <w:pStyle w:val="BookBody"/>
      </w:pPr>
      <w:r>
        <w:t>Bernadette Brady’s effort to place astrology in relation to chaos and complexity theory is another attempt to escape the choice between linear physical influence and supernatural decree. On her account, astrology is neither a conventional science identifying a force nor a religion transmitting the command of a divine agent. It is a practice concerned with the emergence of pattern in the interval between order and disorder, where small interventions may alter the path by which a system settles into form. Thi</w:t>
      </w:r>
      <w:r>
        <w:t>s proposal fits an important feature of consultation. A reading rarely causes an event in the manner of one body pushing another. It changes attention at a sensitive moment: a person names a conflict, delays an action, recognizes a recurring form, or experiments with a different response. Astrology would then be less a prediction machine than an instrument for working within patterned instability.</w:t>
      </w:r>
    </w:p>
    <w:p w14:paraId="06AB96E0" w14:textId="77777777" w:rsidR="00F93551" w:rsidRDefault="00DD7D58">
      <w:pPr>
        <w:pStyle w:val="BookBody"/>
      </w:pPr>
      <w:r>
        <w:t xml:space="preserve">The analogy is suggestive, but scientific vocabularies cannot be transferred by resemblance alone. In dynamical systems, chaos has technical meanings involving deterministic equations, sensitivity to initial conditions, phase spaces, attractors, and measurable trajectories. The appearance of pattern in a chart reading does not establish that the life is governed by the same formal structure, still less that planets specify its attractors. Complexity language can become a more contemporary version of cosmic </w:t>
      </w:r>
      <w:r>
        <w:t>sympathy: an established science supplies prestige while the claimed bridge remains metaphorical. Brady’s importance lies not in having solved mechanism but in making co-creation central. The interpreter, client, symbols, and situation participate in what emerges; no one term is sovereign. The proposal becomes philosophically serious when it admits the gap between formal chaos theory and astrological practice rather than treating evocative similarity as proof.</w:t>
      </w:r>
      <w:r>
        <w:rPr>
          <w:vertAlign w:val="superscript"/>
        </w:rPr>
        <w:t>22</w:t>
      </w:r>
    </w:p>
    <w:p w14:paraId="7FC7D548" w14:textId="77777777" w:rsidR="00F93551" w:rsidRDefault="00DD7D58">
      <w:pPr>
        <w:pStyle w:val="BookBody"/>
      </w:pPr>
      <w:r>
        <w:t>This distinction also reframes fate. Ancient and traditional astrologies often negotiated degrees of necessity through providence, matter, fortune, prayer, election, and prudence; modern practice tends to oppose fatalism with self-creation. Both extremes imagine fate as a completed script. A relational account instead treats a life as constrained and open at once. Birth places a person within a body, kinship, geography, political order, climate, language, and inherited past that were not chosen. Those condi</w:t>
      </w:r>
      <w:r>
        <w:t>tions are neither omnipotent nor optional. Agency consists partly in the capacity to establish new norms within them. An astrological interpretation may contribute to that agency if it reveals a constraint without personifying it as celestial command. It diminishes agency when it makes the person responsible for every misfortune through a supposed prebirth choice or makes action futile because a planet has already decided.</w:t>
      </w:r>
    </w:p>
    <w:p w14:paraId="304E170E" w14:textId="77777777" w:rsidR="00F93551" w:rsidRDefault="00DD7D58">
      <w:pPr>
        <w:pStyle w:val="BookBody"/>
      </w:pPr>
      <w:r>
        <w:t>Falsifiability has a related practical meaning. Not every qualitative interpretation can be translated into one decisive observation, but every responsible practice can state conditions under which confidence should decrease. Repeated concrete predictions that fail should alter a predictive technique. Blind discrimination at chance should weaken a claim to decode personality without interaction. A historical correlation that disappears under prespecified windows and control chronologies should not be preser</w:t>
      </w:r>
      <w:r>
        <w:t>ved by widening the archetype after inspection. A consultation that repeatedly intensifies fear, dependence, or self-excuse should count against the method even if clients report moments of recognition. The relevant alternative to a single Popperian test is not immunity. It is a layered ecology of correction appropriate to different kinds of claim.</w:t>
      </w:r>
    </w:p>
    <w:p w14:paraId="3ED73D24" w14:textId="77777777" w:rsidR="00F93551" w:rsidRDefault="00DD7D58">
      <w:pPr>
        <w:pStyle w:val="BookBody"/>
      </w:pPr>
      <w:r>
        <w:t xml:space="preserve">Such correction also requires a negative hermeneutics, a practice of noticing how meaning is manufactured. Before accepting a striking fit, the interpreter can ask how many symbols were available, how many biographical facts were known, how elastic the language was, whether the same description would fit another chart, and what contrary evidence has been forgotten. Before dismissing a fit as mere confirmation bias, the critic can ask whether the interpretation specified a rare relation in advance, survived </w:t>
      </w:r>
      <w:r>
        <w:t>comparison, and disclosed consequences not supplied by the evaluator. Suspicion and receptivity are not rival virtues. They are alternating disciplines. Without suspicion, participation becomes credulity; without receptivity, criticism protects its ontology by refusing to encounter what would disturb it.</w:t>
      </w:r>
    </w:p>
    <w:p w14:paraId="62516BBD" w14:textId="77777777" w:rsidR="00F93551" w:rsidRDefault="00DD7D58">
      <w:pPr>
        <w:pStyle w:val="BookBody"/>
      </w:pPr>
      <w:r>
        <w:t>What, then, would disciplined astrological inquiry require? First, claims must be typed before they are defended. Historical claim, symbolic interpretation, causal hypothesis, statistical association, concrete prediction, metaphysical possibility, and therapeutic intervention cannot be treated as interchangeable. Second, production metadata must accompany the chart: birth-source quality, time conversion, coordinates, zodiac, houses, points, aspects, orbs, software or ephemeris, and later corrections. Third,</w:t>
      </w:r>
      <w:r>
        <w:t xml:space="preserve"> the interpreter must preserve specificity. What was stated before feedback should be distinguishable from what emerged through dialogue. Fourth, misses and harms must be recorded, not redescribed as hidden confirmations. Fifth, comparative judgment is necessary: alternative astrological readings, nonastrological explanations, shuffled charts, control periods, and follow-up can reveal how much the symbol actually discriminates. Sixth, authority must be limited. No chart licenses diagnosis, coercive advice, </w:t>
      </w:r>
      <w:r>
        <w:t>claims about spiritual rank, or certainty about another person’s motives and fate.</w:t>
      </w:r>
    </w:p>
    <w:p w14:paraId="689F0D72" w14:textId="77777777" w:rsidR="00F93551" w:rsidRDefault="00DD7D58">
      <w:pPr>
        <w:pStyle w:val="BookBody"/>
      </w:pPr>
      <w:r>
        <w:t>These disciplines will not make every astrological practice scientific, nor should that be the aim. They would make it more answerable. A traditional judgment could state its textual and technical basis. A psychological reading could present symbols as hypotheses rather than identities. An evolutionary astrologer could distinguish religious doctrine from what the present life supports. An archetypal researcher could publish selection rules and negative cases. A statistical investigator could preregister var</w:t>
      </w:r>
      <w:r>
        <w:t>iables and release data. A diviner could document the question, moment, interpretation, and outcome while admitting the irreducibility of the encounter. A commercial app could disclose how its prose is generated, what it stores, how often comparable users receive similar statements, and where its claims have no empirical validation. Such practices would not settle astrology’s truth. They would create conditions under which something other than belief and disbelief could occur.</w:t>
      </w:r>
    </w:p>
    <w:p w14:paraId="38D3BBCF" w14:textId="77777777" w:rsidR="00F93551" w:rsidRDefault="00DD7D58">
      <w:pPr>
        <w:pStyle w:val="BookBody"/>
      </w:pPr>
      <w:r>
        <w:t>The conditions also include the possibility that large regions of astrology will fail. Public truth is not a diplomatic compromise in which science keeps causation and astrology keeps meaning. Symbolic practices do not possess an inherent right to cosmic validation. Perhaps astrology’s enduring value lies chiefly in historical memory, ritual framing, and interpretive imagination. Perhaps limited correlations will prove reproducible while natal personality systems do not. Perhaps archetypal patterns will rem</w:t>
      </w:r>
      <w:r>
        <w:t>ain evocative but underdetermined. Perhaps divinatory consultations will sometimes disclose truths produced through the encounter rather than transmitted from planets. Each possibility has a different ontology. Intellectual honesty consists in not announcing their unity before it has been earned.</w:t>
      </w:r>
    </w:p>
    <w:p w14:paraId="2DD8D588" w14:textId="77777777" w:rsidR="00F93551" w:rsidRDefault="00DD7D58">
      <w:pPr>
        <w:pStyle w:val="BookBody"/>
      </w:pPr>
      <w:r>
        <w:t>The material-witness protocol makes that honesty concrete. The two figures should not be ornamental examples placed after the argument is complete. Their metadata enable the argument to be checked. If the traditional chart uses a different time conversion or house system from the app, the comparison is invalid until recalculation. If a planet changes houses under another common system, the interpretation should disclose the dependency. If the app supplies paragraphs that millions of users receive in slightl</w:t>
      </w:r>
      <w:r>
        <w:t>y altered form, the apparent singularity should be measured against that distribution. If a handwritten judgment depends upon a technique absent from the wheel, the technique should be named. The object then ceases to function as a talisman of exactness. It becomes an audit trail joining astronomical event, technical production, historical grammar, and interpretive act.</w:t>
      </w:r>
    </w:p>
    <w:p w14:paraId="72849A5F" w14:textId="77777777" w:rsidR="00F93551" w:rsidRDefault="00DD7D58">
      <w:pPr>
        <w:pStyle w:val="BookBody"/>
      </w:pPr>
      <w:r>
        <w:t>This audit trail would also improve qualitative research that does not aim at prediction. With consent and privacy protections, consultations could be recorded, transcribed, and followed over time. Independent readers could code when specific information first appeared, how interpretations changed after feedback, which statements clients later retained, and what effects the encounter had on action. Astrologers could compare judgments from the same chart without contact, then after hearing the question, ther</w:t>
      </w:r>
      <w:r>
        <w:t>eby showing what participation adds. Clients could identify statements that felt coercive, vague, inaccurate, or unexpectedly clarifying. Such inquiry would not turn a consultation into a laboratory specimen. It would create a public memory where a culture now relies heavily on exemplary successes and private testimony.</w:t>
      </w:r>
    </w:p>
    <w:p w14:paraId="642311CA" w14:textId="77777777" w:rsidR="00F93551" w:rsidRDefault="00DD7D58">
      <w:pPr>
        <w:pStyle w:val="BookBody"/>
      </w:pPr>
      <w:r>
        <w:t xml:space="preserve">Still, the failed old defenses do not return us unchanged to subjective invention. A person did not choose the hour, geography, family, language, body, ecology, institutions, and technical systems into which birth occurred. A birth is a real event in a world, dense with relations that precede the newborn and exceed any later self-description. Astrology’s most defensible intuition is not that planets write a character or that every life has a celestial lesson. It is that birth is more than an administrative </w:t>
      </w:r>
      <w:r>
        <w:t>timestamp: the arrival of a living being into a particular configuration of earthly and celestial time, inheritance, season, place, and history. Whether planetary geometry adds a qualitative relation beyond these established conditions remains open. The event’s nonarbitrariness does not depend upon that answer.</w:t>
      </w:r>
    </w:p>
    <w:p w14:paraId="306E6626" w14:textId="77777777" w:rsidR="00F93551" w:rsidRDefault="00DD7D58">
      <w:pPr>
        <w:pStyle w:val="BookBody"/>
      </w:pPr>
      <w:r>
        <w:t>The two charts make the difference visible. The traditional nativity says: this birth can be judged within a qualitative order. The app says: this birth can be calculated, personalized, and operationalized at scale. Neither says enough. The first may conceal historical authority inside cosmic language; the second may conceal commercial and technical authority inside intimacy. Yet both testify that modern people continue to seek a form of placement that coordinates alone do not provide. They want to know not</w:t>
      </w:r>
      <w:r>
        <w:t xml:space="preserve"> merely where the planets were but whether being born then belongs to the intelligibility of a life. That desire can be exploited, sentimentalized, disciplined, or transformed. It cannot be dismissed as though the operational world had already answered it.</w:t>
      </w:r>
    </w:p>
    <w:p w14:paraId="16518BA3" w14:textId="77777777" w:rsidR="00F93551" w:rsidRDefault="00DD7D58">
      <w:pPr>
        <w:pStyle w:val="SectionHeading"/>
      </w:pPr>
      <w:r>
        <w:t>After Cosmos</w:t>
      </w:r>
    </w:p>
    <w:p w14:paraId="516698CC" w14:textId="77777777" w:rsidR="00F93551" w:rsidRDefault="00DD7D58">
      <w:pPr>
        <w:pStyle w:val="BookBody"/>
      </w:pPr>
      <w:r>
        <w:t>Astrology returns at the end of this genealogy because it concentrates the book’s unresolved terms in one object. The chart is mathematical and symbolic, public in calculation and disputed in meaning, ancient in inheritance and computational in production, attached to a singular birth yet assembled from repeatable cycles. It can be read as cause, sign, mirror, archetype, soul map, divinatory occasion, statistical hypothesis, identity product, or aesthetic diagram. Every reading redistributes agency among he</w:t>
      </w:r>
      <w:r>
        <w:t>aven, world, body, culture, interpreter, and subject. No single modern astrologer can stabilize these relations, and no experiment aimed at one of them can decide all the others.</w:t>
      </w:r>
    </w:p>
    <w:p w14:paraId="6800A6DE" w14:textId="77777777" w:rsidR="00F93551" w:rsidRDefault="00DD7D58">
      <w:pPr>
        <w:pStyle w:val="BookBody"/>
      </w:pPr>
      <w:r>
        <w:t>The sympathetic conclusion is therefore not that astrology secretly survived the death of the living cosmos intact. It did not. Traditional astrology depended upon physical, theological, political, and medical orders that have been transformed or abandoned. Psychological astrology often accepted the exile of qualities into the subject. Evolutionary astrology rebuilt cosmic purpose through doctrines that outrun its evidence. Archetypal astrology reopened correspondence but made specificity difficult. Statist</w:t>
      </w:r>
      <w:r>
        <w:t>ical astrology produced disputed anomalies while dismantling much ordinary horoscopy. Divinatory astrology recovered the singular event but risked insulating judgment from correction. Commercial astrology translated every form into scalable identity. Their disagreements are not peripheral. They are the modern condition of astrology.</w:t>
      </w:r>
    </w:p>
    <w:p w14:paraId="7C0E8DE7" w14:textId="77777777" w:rsidR="00F93551" w:rsidRDefault="00DD7D58">
      <w:pPr>
        <w:pStyle w:val="BookBody"/>
      </w:pPr>
      <w:r>
        <w:t>Nor is the skeptical conclusion that qualitative relation has been shown impossible. Carlson found chance-level matching under a defined protocol; Hartmann and colleagues found no Sun-sign personality or intelligence effects; Forer exposed personal validation; Gauquelin’s positive claims remain bounded and disputed. These findings remove easy warrants. They do not prove that reality consists only of efficient physical relations plus subjective meanings. Biology has shown that living beings establish signifi</w:t>
      </w:r>
      <w:r>
        <w:t>cant milieus. Phenomenology has shown that perception discloses a world through bodily participation. History has shown that technical and symbolic forms help constitute what can appear. None licenses astrology. Together they make premature metaphysical closure as unwarranted as astrological certainty.</w:t>
      </w:r>
    </w:p>
    <w:p w14:paraId="5566CF67" w14:textId="77777777" w:rsidR="00F93551" w:rsidRDefault="00DD7D58">
      <w:pPr>
        <w:pStyle w:val="BookBody"/>
      </w:pPr>
      <w:r>
        <w:t>The strongest possibility left to astrology is demanding and perhaps austere. It may become a disciplined inquiry into qualitative time and placement, willing to specify its mediations, limit its claims, compare interpretations, record failures, and distinguish symbolic disclosure from causal or statistical evidence. It may treat the chart not as a soul, sentence, or identity but as an instrument that proposes relations. Some proposals may fail. Some may disclose a pattern already intelligible through histo</w:t>
      </w:r>
      <w:r>
        <w:t>ry or psychology. Some may open an encounter whose truth lies in changed attention and action. A few may point toward regularities not yet adequately understood. The practice earns no authority from the grandeur of the possibility. It earns provisional trust only through how it meets correction.</w:t>
      </w:r>
    </w:p>
    <w:p w14:paraId="642F7F41" w14:textId="77777777" w:rsidR="00F93551" w:rsidRDefault="00DD7D58">
      <w:pPr>
        <w:pStyle w:val="BookBody"/>
      </w:pPr>
      <w:r>
        <w:t>This answer will disappoint both nostalgia and disenchantment. The ancient cosmos cannot be restored because its orders of place, hierarchy, causation, and authority cannot survive everything now known about astronomy, history, plurality, psychology, and power. The sovereign subject cannot be retained because persons arise within bodies, languages, ecologies, institutions, and technical systems they did not make. Meaning is neither waiting in the sky as a fixed decree nor fabricated at will inside the self.</w:t>
      </w:r>
      <w:r>
        <w:t xml:space="preserve"> It occurs within relations whose reality is measured partly by what they enable us to perceive and partly by how they resist us.</w:t>
      </w:r>
    </w:p>
    <w:p w14:paraId="0D31BC7B" w14:textId="77777777" w:rsidR="00F93551" w:rsidRDefault="00DD7D58">
      <w:pPr>
        <w:pStyle w:val="BookBody"/>
      </w:pPr>
      <w:r>
        <w:t>The conclusion must therefore return once more to the night without asking it to become ancient. The planet remains a physical world reflecting sunlight. The constellation remains a perspectival grouping. The observer remains a body on Earth, formed by histories and living systems, capable of seeing because already visible, capable of asking because already addressed by needs, others, and a world. A chart may or may not disclose further qualitative relations within that belonging. What can no longer be main</w:t>
      </w:r>
      <w:r>
        <w:t>tained is that only the coordinate is public and every significance added afterward is private. The task ahead is to ask what can be recovered when neither the living cosmos of inherited authority nor the self-authorizing subject can bear the weight of truth—what world remains when restoration is impossible, but relation is not.</w:t>
      </w:r>
      <w:r>
        <w:rPr>
          <w:vertAlign w:val="superscript"/>
        </w:rPr>
        <w:t>23</w:t>
      </w:r>
    </w:p>
    <w:p w14:paraId="48186252" w14:textId="77777777" w:rsidR="00F93551" w:rsidRDefault="00DD7D58">
      <w:pPr>
        <w:pStyle w:val="NotesHeading"/>
      </w:pPr>
      <w:r>
        <w:t>Notes</w:t>
      </w:r>
    </w:p>
    <w:p w14:paraId="6A80C0FF" w14:textId="77777777" w:rsidR="00F93551" w:rsidRDefault="00DD7D58">
      <w:pPr>
        <w:pStyle w:val="NoteEntry"/>
      </w:pPr>
      <w:r>
        <w:t xml:space="preserve">1. Nicholas Campion, </w:t>
      </w:r>
      <w:r>
        <w:rPr>
          <w:i/>
        </w:rPr>
        <w:t>Astrology and Popular Religion in the Modern West: Prophecy, Cosmology and the New Age Movement</w:t>
      </w:r>
      <w:r>
        <w:t xml:space="preserve"> (Farnham, UK: Ashgate, 2012; repr., Abingdon: Routledge, 2016), 1–4. Campion stresses the diversity of astrological claims and the inadequacy of treating all users and practitioners as holders of one uniform “belief.” For the longer historical transformation, see Nicholas Campion, </w:t>
      </w:r>
      <w:r>
        <w:rPr>
          <w:i/>
        </w:rPr>
        <w:t>A History of Western Astrology</w:t>
      </w:r>
      <w:r>
        <w:t xml:space="preserve">, vol. 2, </w:t>
      </w:r>
      <w:r>
        <w:rPr>
          <w:i/>
        </w:rPr>
        <w:t>The Medieval and Modern Worlds</w:t>
      </w:r>
      <w:r>
        <w:t xml:space="preserve"> (London: Continuum, 2009).</w:t>
      </w:r>
    </w:p>
    <w:p w14:paraId="6878F557" w14:textId="77777777" w:rsidR="00F93551" w:rsidRDefault="00DD7D58">
      <w:pPr>
        <w:pStyle w:val="NoteEntry"/>
      </w:pPr>
      <w:r>
        <w:t xml:space="preserve">2. Campion, </w:t>
      </w:r>
      <w:r>
        <w:rPr>
          <w:i/>
        </w:rPr>
        <w:t>Astrology and Popular Religion</w:t>
      </w:r>
      <w:r>
        <w:t>, 51–84, especially 69–79, on Alan Leo, the modern priority of the Sun, newspaper columns, and the mass cultural production of Sun-sign identity.</w:t>
      </w:r>
    </w:p>
    <w:p w14:paraId="0368EA5E" w14:textId="77777777" w:rsidR="00F93551" w:rsidRDefault="00DD7D58">
      <w:pPr>
        <w:pStyle w:val="NoteEntry"/>
      </w:pPr>
      <w:r>
        <w:t xml:space="preserve">3. Jeffrey Wolf Green, </w:t>
      </w:r>
      <w:r>
        <w:rPr>
          <w:i/>
        </w:rPr>
        <w:t>Pluto: The Evolutionary Journey of the Soul</w:t>
      </w:r>
      <w:r>
        <w:t>, vol. 1, 2nd rev. ed. (Bournemouth: Wessex Astrologer, 2011), introduction and chap. 1. The direct quotation appears at the opening of chap. 1. Green explicitly joins Pluto to an immutable soul, reincarnation, karma, and evolutionary intention.</w:t>
      </w:r>
    </w:p>
    <w:p w14:paraId="6AF3D0DE" w14:textId="77777777" w:rsidR="00F93551" w:rsidRDefault="00DD7D58">
      <w:pPr>
        <w:pStyle w:val="NoteEntry"/>
      </w:pPr>
      <w:r>
        <w:t xml:space="preserve">4. Geoffrey Cornelius, </w:t>
      </w:r>
      <w:r>
        <w:rPr>
          <w:i/>
        </w:rPr>
        <w:t>The Moment of Astrology: Origins in Divination</w:t>
      </w:r>
      <w:r>
        <w:t xml:space="preserve"> (London: Arkana, 1994), 63–85, 195–215, 348–49. Cornelius distinguishes natural and divinatory orders of significance and formulates the unique case as not being a member of a population.</w:t>
      </w:r>
    </w:p>
    <w:p w14:paraId="26A0C1BF" w14:textId="77777777" w:rsidR="00F93551" w:rsidRDefault="00DD7D58">
      <w:pPr>
        <w:pStyle w:val="NoteEntry"/>
      </w:pPr>
      <w:r>
        <w:t xml:space="preserve">5. Campion, </w:t>
      </w:r>
      <w:r>
        <w:rPr>
          <w:i/>
        </w:rPr>
        <w:t>Astrology and Popular Religion</w:t>
      </w:r>
      <w:r>
        <w:t>, 51–68, 85–114, 167–215. Campion places modern astrological selfhood within Theosophy, New Age millenarianism, therapeutic individualism, and practitioners’ varied accounts of belief and practice.</w:t>
      </w:r>
    </w:p>
    <w:p w14:paraId="003581D9" w14:textId="77777777" w:rsidR="00F93551" w:rsidRDefault="00DD7D58">
      <w:pPr>
        <w:pStyle w:val="NoteEntry"/>
      </w:pPr>
      <w:r>
        <w:t xml:space="preserve">6. Richard Tarnas, </w:t>
      </w:r>
      <w:r>
        <w:rPr>
          <w:i/>
        </w:rPr>
        <w:t>Cosmos and Psyche: Intimations of a New World View</w:t>
      </w:r>
      <w:r>
        <w:t xml:space="preserve"> (New York: Viking, 2006), 50–69. See also Maggie Hyde, </w:t>
      </w:r>
      <w:r>
        <w:rPr>
          <w:i/>
        </w:rPr>
        <w:t>Jung and Astrology</w:t>
      </w:r>
      <w:r>
        <w:t xml:space="preserve"> (London: Aquarian, 1992). The supplied edition of Hyde is a Chinese translation with unreliable OCR; claims here are therefore limited to the book’s well-established argument as discussed by Cornelius, Tarnas, and Willis and Curry rather than page-specific quotation from that scan.</w:t>
      </w:r>
    </w:p>
    <w:p w14:paraId="1FC323EC" w14:textId="77777777" w:rsidR="00F93551" w:rsidRDefault="00DD7D58">
      <w:pPr>
        <w:pStyle w:val="NoteEntry"/>
      </w:pPr>
      <w:r>
        <w:t xml:space="preserve">7. Green, </w:t>
      </w:r>
      <w:r>
        <w:rPr>
          <w:i/>
        </w:rPr>
        <w:t>Pluto</w:t>
      </w:r>
      <w:r>
        <w:t xml:space="preserve">, introduction and chap. 1; Campion, </w:t>
      </w:r>
      <w:r>
        <w:rPr>
          <w:i/>
        </w:rPr>
        <w:t>Astrology and Popular Religion</w:t>
      </w:r>
      <w:r>
        <w:t>, 51–68. Campion locates modern evolutionary astrology in the longer transformation through Theosophy, reincarnation, Alan Leo, and later claims about the soul.</w:t>
      </w:r>
    </w:p>
    <w:p w14:paraId="1C45D028" w14:textId="77777777" w:rsidR="00F93551" w:rsidRDefault="00DD7D58">
      <w:pPr>
        <w:pStyle w:val="NoteEntry"/>
      </w:pPr>
      <w:r>
        <w:t xml:space="preserve">8. Tarnas, </w:t>
      </w:r>
      <w:r>
        <w:rPr>
          <w:i/>
        </w:rPr>
        <w:t>Cosmos and Psyche</w:t>
      </w:r>
      <w:r>
        <w:t>, 61–69, quotation at 69; see also 73–79 on causality and correlation. Tarnas proposes archetypally informed synchronicity rather than mechanistic planetary emission.</w:t>
      </w:r>
    </w:p>
    <w:p w14:paraId="3D4F51F8" w14:textId="77777777" w:rsidR="00F93551" w:rsidRDefault="00DD7D58">
      <w:pPr>
        <w:pStyle w:val="NoteEntry"/>
      </w:pPr>
      <w:r>
        <w:t xml:space="preserve">9. Tarnas, </w:t>
      </w:r>
      <w:r>
        <w:rPr>
          <w:i/>
        </w:rPr>
        <w:t>Cosmos and Psyche</w:t>
      </w:r>
      <w:r>
        <w:t>, 126–37. His discussion of assessing correlations explicitly argues that the evidence requires cultivated historical, biographical, cultural, and aesthetic judgment and cannot be reduced to an impersonal double-blind algorithm.</w:t>
      </w:r>
    </w:p>
    <w:p w14:paraId="27085CDB" w14:textId="77777777" w:rsidR="00F93551" w:rsidRDefault="00DD7D58">
      <w:pPr>
        <w:pStyle w:val="NoteEntry"/>
      </w:pPr>
      <w:r>
        <w:t xml:space="preserve">10. Roy Willis and Patrick Curry, </w:t>
      </w:r>
      <w:r>
        <w:rPr>
          <w:i/>
        </w:rPr>
        <w:t>Astrology, Science and Culture: Pulling Down the Moon</w:t>
      </w:r>
      <w:r>
        <w:t xml:space="preserve"> (Oxford: Berg, 2004), 1–14, 109–50. The authors frame astrology as embodied, dialogical divination and draw directly on Merleau-Ponty’s account of perception.</w:t>
      </w:r>
    </w:p>
    <w:p w14:paraId="06DEF529" w14:textId="77777777" w:rsidR="00F93551" w:rsidRDefault="00DD7D58">
      <w:pPr>
        <w:pStyle w:val="NoteEntry"/>
      </w:pPr>
      <w:r>
        <w:t xml:space="preserve">11. Cornelius, </w:t>
      </w:r>
      <w:r>
        <w:rPr>
          <w:i/>
        </w:rPr>
        <w:t>Moment of Astrology</w:t>
      </w:r>
      <w:r>
        <w:t>, 348–49. His summary separates objective phenomena amenable to natural science from a participatory, context-dependent order concerned with lived significance.</w:t>
      </w:r>
    </w:p>
    <w:p w14:paraId="326FD0D4" w14:textId="77777777" w:rsidR="00F93551" w:rsidRDefault="00DD7D58">
      <w:pPr>
        <w:pStyle w:val="NoteEntry"/>
      </w:pPr>
      <w:r>
        <w:t xml:space="preserve">12. Michel Gauquelin, </w:t>
      </w:r>
      <w:r>
        <w:rPr>
          <w:i/>
        </w:rPr>
        <w:t>The Scientific Basis of Astrology</w:t>
      </w:r>
      <w:r>
        <w:t xml:space="preserve"> (New York: Stein and Day, 1969), 137–75; Michel Gauquelin, </w:t>
      </w:r>
      <w:r>
        <w:rPr>
          <w:i/>
        </w:rPr>
        <w:t>The Cosmic Clocks: From Astrology to a Modern Science</w:t>
      </w:r>
      <w:r>
        <w:t xml:space="preserve"> (Chicago: Henry Regnery, 1967), 188–204; and Michel Gauquelin, </w:t>
      </w:r>
      <w:r>
        <w:rPr>
          <w:i/>
        </w:rPr>
        <w:t>Birth-Times: A Scientific Investigation of the Secrets of Astrology</w:t>
      </w:r>
      <w:r>
        <w:t>, trans. Sarah Matthews (New York: Hill and Wang, 1983), 19–96. These are Gauquelin’s own presentations of his negative results for conventional astrology and positive claims for planetary-sector, professional, character-trait, and heredity effects.</w:t>
      </w:r>
    </w:p>
    <w:p w14:paraId="06AB31EE" w14:textId="77777777" w:rsidR="00F93551" w:rsidRDefault="00DD7D58">
      <w:pPr>
        <w:pStyle w:val="NoteEntry"/>
      </w:pPr>
      <w:r>
        <w:t xml:space="preserve">13. Cornelius, </w:t>
      </w:r>
      <w:r>
        <w:rPr>
          <w:i/>
        </w:rPr>
        <w:t>Moment of Astrology</w:t>
      </w:r>
      <w:r>
        <w:t>, 63–85, 348–49. Cornelius treats the Gauquelin work as evidence for an objective order while sharply limiting its capacity to validate ordinary horoscopic factors.</w:t>
      </w:r>
    </w:p>
    <w:p w14:paraId="70A733ED" w14:textId="77777777" w:rsidR="00F93551" w:rsidRDefault="00DD7D58">
      <w:pPr>
        <w:pStyle w:val="NoteEntry"/>
      </w:pPr>
      <w:r>
        <w:t xml:space="preserve">14. Shawn Carlson, “A Double-Blind Test of Astrology,” </w:t>
      </w:r>
      <w:r>
        <w:rPr>
          <w:i/>
        </w:rPr>
        <w:t>Nature</w:t>
      </w:r>
      <w:r>
        <w:t xml:space="preserve"> 318 (December 5, 1985): 419–25, https://doi.org/10.1038/318419a0. The chart-to-CPI matching results are reported at 423–25.</w:t>
      </w:r>
    </w:p>
    <w:p w14:paraId="597FFB57" w14:textId="77777777" w:rsidR="00F93551" w:rsidRDefault="00DD7D58">
      <w:pPr>
        <w:pStyle w:val="NoteEntry"/>
      </w:pPr>
      <w:r>
        <w:t xml:space="preserve">15. Carlson, “Double-Blind Test,” 424–25; Cornelius, </w:t>
      </w:r>
      <w:r>
        <w:rPr>
          <w:i/>
        </w:rPr>
        <w:t>Moment of Astrology</w:t>
      </w:r>
      <w:r>
        <w:t>, 73–83. Cornelius contests the sampling, the CPI comparison, and the removal of consultation. Those objections limit generalization but do not reverse the reported chance-level performance under the study’s conditions.</w:t>
      </w:r>
    </w:p>
    <w:p w14:paraId="1DDA1658" w14:textId="77777777" w:rsidR="00F93551" w:rsidRDefault="00DD7D58">
      <w:pPr>
        <w:pStyle w:val="NoteEntry"/>
      </w:pPr>
      <w:r>
        <w:t xml:space="preserve">16. Bertram R. Forer, “The Fallacy of Personal Validation: A Classroom Demonstration of Gullibility,” </w:t>
      </w:r>
      <w:r>
        <w:rPr>
          <w:i/>
        </w:rPr>
        <w:t>Journal of Abnormal and Social Psychology</w:t>
      </w:r>
      <w:r>
        <w:t xml:space="preserve"> 44, no. 1 (1949): 118–23, https://doi.org/10.1037/h0059240. Forer reports 39 students, thirteen identical statements, a mean acceptance of 10.2 items, and a mean global rating calculated from his table at approximately 4.26 of 5.</w:t>
      </w:r>
    </w:p>
    <w:p w14:paraId="5297EA5C" w14:textId="77777777" w:rsidR="00F93551" w:rsidRDefault="00DD7D58">
      <w:pPr>
        <w:pStyle w:val="NoteEntry"/>
      </w:pPr>
      <w:r>
        <w:t xml:space="preserve">17. Peter Hartmann, Martin Reuter, and Helmuth Nyborg, “The Relationship between Date of Birth and Individual Differences in Personality and General Intelligence: A Large-Scale Study,” </w:t>
      </w:r>
      <w:r>
        <w:rPr>
          <w:i/>
        </w:rPr>
        <w:t>Personality and Individual Differences</w:t>
      </w:r>
      <w:r>
        <w:t xml:space="preserve"> 40, no. 7 (2006): 1349–62, https://doi.org/10.1016/j.paid.2005.11.017. The two samples comprised 4,321 and 11,448 participants; the authors distinguish small seasonal findings from their null Sun-sign results.</w:t>
      </w:r>
    </w:p>
    <w:p w14:paraId="2906B4B3" w14:textId="77777777" w:rsidR="00F93551" w:rsidRDefault="00DD7D58">
      <w:pPr>
        <w:pStyle w:val="NoteEntry"/>
      </w:pPr>
      <w:r>
        <w:t xml:space="preserve">18. Paul R. Thagard, “Why Astrology Is a Pseudoscience,” in </w:t>
      </w:r>
      <w:r>
        <w:rPr>
          <w:i/>
        </w:rPr>
        <w:t>PSA 1978: Proceedings of the 1978 Biennial Meeting of the Philosophy of Science Association</w:t>
      </w:r>
      <w:r>
        <w:t>, vol. 1, ed. Peter D. Asquith and Ian Hacking (East Lansing, MI: Philosophy of Science Association, 1978), 223–34. Thagard’s demarcation matrix joins theory, community, and historical context rather than relying on a simple falsifiability test.</w:t>
      </w:r>
    </w:p>
    <w:p w14:paraId="014EF260" w14:textId="77777777" w:rsidR="00F93551" w:rsidRDefault="00DD7D58">
      <w:pPr>
        <w:pStyle w:val="NoteEntry"/>
      </w:pPr>
      <w:r>
        <w:t xml:space="preserve">19. Georges Canguilhem, </w:t>
      </w:r>
      <w:r>
        <w:rPr>
          <w:i/>
        </w:rPr>
        <w:t>Knowledge of Life</w:t>
      </w:r>
      <w:r>
        <w:t>, trans. Stefanos Geroulanos and Daniela Ginsburg (New York: Fordham University Press, 2008), 98–120. See especially “The Living and Its Milieu” on organism-centered significance and the difference between a lived milieu and an externally defined environment.</w:t>
      </w:r>
    </w:p>
    <w:p w14:paraId="4CB4FAF5" w14:textId="77777777" w:rsidR="00F93551" w:rsidRDefault="00DD7D58">
      <w:pPr>
        <w:pStyle w:val="NoteEntry"/>
      </w:pPr>
      <w:r>
        <w:t xml:space="preserve">20. Maurice Merleau-Ponty, </w:t>
      </w:r>
      <w:r>
        <w:rPr>
          <w:i/>
        </w:rPr>
        <w:t>The Visible and the Invisible</w:t>
      </w:r>
      <w:r>
        <w:t xml:space="preserve">, ed. Claude Lefort, trans. Alphonso Lingis (Evanston, IL: Northwestern University Press, 1968), 130–55; and Merleau-Ponty, </w:t>
      </w:r>
      <w:r>
        <w:rPr>
          <w:i/>
        </w:rPr>
        <w:t>Nature: Course Notes from the Collège de France</w:t>
      </w:r>
      <w:r>
        <w:t>, comp. Dominique Séglard, trans. Robert Vallier (Evanston, IL: Northwestern University Press, 2003), 203–81. Flesh names an intertwining of seer and visible, not a new cosmic substance.</w:t>
      </w:r>
    </w:p>
    <w:p w14:paraId="560C57AE" w14:textId="77777777" w:rsidR="00F93551" w:rsidRDefault="00DD7D58">
      <w:pPr>
        <w:pStyle w:val="NoteEntry"/>
      </w:pPr>
      <w:r>
        <w:t xml:space="preserve">21. Yuk Hui, </w:t>
      </w:r>
      <w:r>
        <w:rPr>
          <w:i/>
        </w:rPr>
        <w:t>The Question Concerning Technology in China: An Essay in Cosmotechnics</w:t>
      </w:r>
      <w:r>
        <w:t xml:space="preserve"> (Falmouth, UK: Urbanomic, 2016), 9–30; and Yuk Hui, </w:t>
      </w:r>
      <w:r>
        <w:rPr>
          <w:i/>
        </w:rPr>
        <w:t>Art and Cosmotechnics</w:t>
      </w:r>
      <w:r>
        <w:t xml:space="preserve"> (Minneapolis: University of Minnesota Press, 2021), 1–24. Hui’s point is not that technologies mechanically express a culture, but that technical activity is never separable from assumptions about order, value, and collective life.</w:t>
      </w:r>
    </w:p>
    <w:p w14:paraId="328C88E0" w14:textId="77777777" w:rsidR="00F93551" w:rsidRDefault="00DD7D58">
      <w:pPr>
        <w:pStyle w:val="NoteEntry"/>
      </w:pPr>
      <w:r>
        <w:t xml:space="preserve">22. Bernadette Brady, </w:t>
      </w:r>
      <w:r>
        <w:rPr>
          <w:i/>
        </w:rPr>
        <w:t>Astrology: A Place in Chaos</w:t>
      </w:r>
      <w:r>
        <w:t xml:space="preserve"> (Bournemouth: Wessex Astrologer, 2006). Brady presents astrology as an instrument for engaging emergent pattern rather than as linear science or religious decree. Source qualification: the supplied PDF bearing Brady’s bibliographic filename internally contains “Astrology—A Rational Chao/Dynamic Appraisal,” a 1990 paper by “Frater Choronzon,” not Brady’s book. It was not treated as Brady’s text; the summary here is limited to the argument documented by Brady and the publisher.</w:t>
      </w:r>
    </w:p>
    <w:p w14:paraId="546BCAF9" w14:textId="77777777" w:rsidR="00F93551" w:rsidRDefault="00DD7D58">
      <w:pPr>
        <w:pStyle w:val="NoteEntry"/>
      </w:pPr>
      <w:r>
        <w:t xml:space="preserve">23. Campion, </w:t>
      </w:r>
      <w:r>
        <w:rPr>
          <w:i/>
        </w:rPr>
        <w:t>Astrology and Popular Religion</w:t>
      </w:r>
      <w:r>
        <w:t xml:space="preserve">, 203–15; Tarnas, </w:t>
      </w:r>
      <w:r>
        <w:rPr>
          <w:i/>
        </w:rPr>
        <w:t>Cosmos and Psyche</w:t>
      </w:r>
      <w:r>
        <w:t xml:space="preserve">, 484–91; Cornelius, </w:t>
      </w:r>
      <w:r>
        <w:rPr>
          <w:i/>
        </w:rPr>
        <w:t>Moment of Astrology</w:t>
      </w:r>
      <w:r>
        <w:t>, 348–49. The concluding synthesis is the manuscript’s inference: modern astrology is best treated as a differentiated test case in which historical, symbolic, empirical, technological, and metaphysical claims must remain distinct.</w:t>
      </w:r>
    </w:p>
    <w:p w14:paraId="465684E1" w14:textId="77777777" w:rsidR="00F93551" w:rsidRDefault="00DD7D58">
      <w:pPr>
        <w:pStyle w:val="MajorHeading"/>
      </w:pPr>
      <w:bookmarkStart w:id="33" w:name="toc_conclusion"/>
      <w:r>
        <w:rPr>
          <w:sz w:val="32"/>
        </w:rPr>
        <w:t>Conclusion</w:t>
      </w:r>
      <w:r>
        <w:rPr>
          <w:sz w:val="32"/>
        </w:rPr>
        <w:br/>
      </w:r>
      <w:r>
        <w:t>The World That Cannot Be Restored</w:t>
      </w:r>
      <w:bookmarkEnd w:id="33"/>
    </w:p>
    <w:p w14:paraId="00347E17" w14:textId="77777777" w:rsidR="00F93551" w:rsidRDefault="00DD7D58">
      <w:pPr>
        <w:pStyle w:val="SectionHeading"/>
      </w:pPr>
      <w:r>
        <w:t>Return to the Night</w:t>
      </w:r>
    </w:p>
    <w:p w14:paraId="78D5DD5E" w14:textId="77777777" w:rsidR="00F93551" w:rsidRDefault="00DD7D58">
      <w:pPr>
        <w:pStyle w:val="BookBody"/>
      </w:pPr>
      <w:r>
        <w:t>The night remains where the book began, but it cannot appear in quite the same way. The person who steps outside after the last page of the argument still feels the ground take the body’s weight, still lifts a face into darkness, still waits for the eyes to adjust. A planet may hold close to the horizon. The Milky Way may be visible if the glare of the city has not erased it. Constellations may arrive before their names, as patterns gathered by attention out of a field of unequal lights. Nothing in this sce</w:t>
      </w:r>
      <w:r>
        <w:t>ne repeals astronomy. The bright point is not a god because it looks like one, and the apparent dome is not a crystalline sphere because vision rounds it above the observer. The light has traveled through measurable space; the planet follows an orbit; the stellar field belongs to a history unimaginably older than human memory. Yet none of these truths makes the act of standing beneath the sky unreal. The night is simultaneously an astronomical event, a bodily orientation, a cultural inheritance, an ecologic</w:t>
      </w:r>
      <w:r>
        <w:t>al condition, and an occasion in which the world exceeds the person who beholds it. The problem has never been that only one of these descriptions can be true. The problem is what kind of reality can sustain them together without allowing one to become a counterfeit substitute for the others.</w:t>
      </w:r>
    </w:p>
    <w:p w14:paraId="3F9A5503" w14:textId="77777777" w:rsidR="00F93551" w:rsidRDefault="00DD7D58">
      <w:pPr>
        <w:pStyle w:val="BookBody"/>
      </w:pPr>
      <w:r>
        <w:t>Chapter 25 ended by refusing two easy answers. It refused to make the coordinate the whole truth of the sky, as if everything disclosed through participation, memory, symbol, or attention must be a private addition to an otherwise complete public world. It also refused to restore astrology by granting planetary positions a hidden jurisdiction over human character and fate. The coordinate corrects illusion and makes common inquiry possible; it does not exhaust what a sky is. Symbolic relation may disclose di</w:t>
      </w:r>
      <w:r>
        <w:t>mensions of a life that measurement does not contain; it does not thereby acquire causal authority over strangers. The conclusion begins inside that double refusal. Its task is not to select once more between an enchanted cosmos and a disenchanted universe. It is to ask what remains true after the historical opposition between them has done its work—after the old architecture has become unavailable, after scientific knowledge has transformed the scale and composition of reality, and after the modern subject</w:t>
      </w:r>
      <w:r>
        <w:t xml:space="preserve"> has proved unable to generate by itself the meaning that the world was said to lack.</w:t>
      </w:r>
    </w:p>
    <w:p w14:paraId="1EBC31AD" w14:textId="77777777" w:rsidR="00F93551" w:rsidRDefault="00DD7D58">
      <w:pPr>
        <w:pStyle w:val="BookBody"/>
      </w:pPr>
      <w:r>
        <w:t>The history traced in these chapters cannot be reversed by preference. No act of longing can make a geocentric heaven intellectually credible, restore a single sacred chronology to public authority, erase the plurality of religious worlds, or return a stratified social order to innocence. Historical criticism has shown that scriptures, institutions, cosmologies, and rituals bear the marks of conflict and composition. Anthropology has made it impossible to mistake one civilization’s partition of nature, cult</w:t>
      </w:r>
      <w:r>
        <w:t>ure, human, animal, spirit, and matter for the self-evident grammar of reality. Psychology has shown that conviction may conceal desire, injury, projection, and fear. The history of empire has disclosed how readily claims of cosmic hierarchy become licenses for conquest, forced conversion, racial classification, and the silencing of those whose worlds do not fit the authorized scheme. Astronomy has not merely added more objects to an inherited heaven; it has altered the scale, age, geometry, and material hi</w:t>
      </w:r>
      <w:r>
        <w:t>story within which Earth and human life must be understood. These are not obstacles to be regretted until faith becomes strong enough to ignore them. They belong to truth’s own history of correction.</w:t>
      </w:r>
    </w:p>
    <w:p w14:paraId="34CA8EAB" w14:textId="77777777" w:rsidR="00F93551" w:rsidRDefault="00DD7D58">
      <w:pPr>
        <w:pStyle w:val="BookBody"/>
      </w:pPr>
      <w:r>
        <w:t>But correction can become concealment when the destruction of false totality is mistaken for proof that no whole, relation, or qualitative order is real. Alexandre Koyré named the scientific transformation through the paired movements of the “destruction of the cosmos” and the “geometrization of space.”</w:t>
      </w:r>
      <w:r>
        <w:rPr>
          <w:vertAlign w:val="superscript"/>
        </w:rPr>
        <w:t>1</w:t>
      </w:r>
      <w:r>
        <w:t xml:space="preserve"> The phrases remain exact because they identify both a liberation and a loss. Homogeneous space made it possible to describe motions without assigning each body a natural moral place. It broke the enclosure of a finite and ranked world, displaced inherited authorities, and opened phenomena to mathematical comparison. At the same time, the world in which things possessed places, tendencies, qualities, and relations of significance came to appear intellectually suspect. What could not be rendered in the terms</w:t>
      </w:r>
      <w:r>
        <w:t xml:space="preserve"> of extension, quantity, law, and prediction was pushed toward the subject, where color, value, purpose, beauty, grief, obligation, and meaning were reclassified as effects of human sensibility. The cosmos was not only found false in particular claims. Reality itself was gradually divided between an objective universe without meaning and a subject charged with producing meaning from within.</w:t>
      </w:r>
    </w:p>
    <w:p w14:paraId="59D00146" w14:textId="77777777" w:rsidR="00F93551" w:rsidRDefault="00DD7D58">
      <w:pPr>
        <w:pStyle w:val="BookBody"/>
      </w:pPr>
      <w:r>
        <w:t>The night is therefore more than an illustration. It is the material witness that prevents the conclusion from becoming a dispute among abstractions. The same darkness that permits astronomical observation also regulates migration, pollination, sleep, predation, hormonal rhythms, and the visibility of stars. A satellite records wavelengths the eye cannot see; a telescope carries light into an image; a map locates the observer; an ancestral story gathers attention into a pattern; the turning Earth brings the</w:t>
      </w:r>
      <w:r>
        <w:t xml:space="preserve"> field across the horizon. No description floats free of apparatus, body, history, or life. The real is not whatever a perceiver happens to feel, but neither is it what remains after every relation to a perceiver has been subtracted. The real is what can disclose itself through relations that are disciplined by the resistance of what they encounter. To stand under the night is to belong to a process one did not make, to receive more than one can master, and to be correctable by a world that is neither silen</w:t>
      </w:r>
      <w:r>
        <w:t>t material nor a script addressed exclusively to human beings.</w:t>
      </w:r>
    </w:p>
    <w:p w14:paraId="1BCDBB64" w14:textId="77777777" w:rsidR="00F93551" w:rsidRDefault="00DD7D58">
      <w:pPr>
        <w:pStyle w:val="BookBody"/>
      </w:pPr>
      <w:r>
        <w:t>The conclusion’s controlling claim follows. The living cosmos cannot be restored as an inherited public architecture whose authorities settle in advance the place, identity, and purpose of every being. The astronomical universe cannot be allowed to stand as a metaphysics of dead exteriority merely because its quantitative descriptions are indispensable. What can be recovered is not the old cosmos but a realism of relation: a world in which beings have powers and limits of their own, in which life establishe</w:t>
      </w:r>
      <w:r>
        <w:t>s norms without receiving a cosmic assignment, in which perception participates without creating its object, in which Earth is historically transformed by living activity, and in which technical systems materialize choices about what will count, circulate, appear, and matter. Such a recovery is more modest than restoration because it does not promise a completed picture. It is more demanding than pluralism understood as mutual noninterference because it requires claims to answer to a common reality. It asks</w:t>
      </w:r>
      <w:r>
        <w:t xml:space="preserve"> how truth can be public without pretending to be viewless, and how meaning can be real without being cosmically predetermined.</w:t>
      </w:r>
    </w:p>
    <w:p w14:paraId="3E9AA074" w14:textId="77777777" w:rsidR="00F93551" w:rsidRDefault="00DD7D58">
      <w:pPr>
        <w:pStyle w:val="SectionHeading"/>
      </w:pPr>
      <w:r>
        <w:t>What Cannot Be Restored</w:t>
      </w:r>
    </w:p>
    <w:p w14:paraId="4D0A53AA" w14:textId="77777777" w:rsidR="00F93551" w:rsidRDefault="00DD7D58">
      <w:pPr>
        <w:pStyle w:val="BookBody"/>
      </w:pPr>
      <w:r>
        <w:t>The attraction of restoration is understandable because the older cosmos seems to answer at once several questions that modernity has separated. It joins explanation to orientation, nature to obligation, knowledge to ritual, individual life to a larger temporal order, and political authority to a visible image of the whole. It appears to spare the person from having to invent a life while also sparing society from having to negotiate its deepest commitments. But the unity is retrospective. Historical cosmoi</w:t>
      </w:r>
      <w:r>
        <w:t xml:space="preserve"> were never seamless worlds in which every member experienced belonging without contradiction. Their harmonies were argued, imposed, revised, and sometimes maintained through violence. Priests disagreed, philosophers displaced poets, empires translated conquered gods into administrative hierarchies, heresies exposed conflict within creation, and apocalyptic hopes testified that the given order could appear intolerable to those living beneath it. A cosmos capable of orienting was also capable of ranking; a s</w:t>
      </w:r>
      <w:r>
        <w:t>ymbol capable of gathering could also exclude; a sacred order capable of binding rulers could also sanctify rule.</w:t>
      </w:r>
    </w:p>
    <w:p w14:paraId="20386C36" w14:textId="77777777" w:rsidR="00F93551" w:rsidRDefault="00DD7D58">
      <w:pPr>
        <w:pStyle w:val="BookBody"/>
      </w:pPr>
      <w:r>
        <w:t xml:space="preserve">Restoration fails first, then, because the object of nostalgia never existed in the purified form nostalgia requires. To acknowledge that an inherited cosmos once carried real participatory and moral force is not to imagine that it offered an undivided home. The record developed across this book shows plurality, contest, and transformation inside every supposedly stable world. Mesopotamian celestial signs belonged to institutions of interpretation rather than to an immediately legible sky. Greek </w:t>
      </w:r>
      <w:r>
        <w:rPr>
          <w:i/>
        </w:rPr>
        <w:t>kosmos</w:t>
      </w:r>
      <w:r>
        <w:t xml:space="preserve"> named order through disputes about change, intelligibility, and the good. Biblical creation separated creature from creator while intensifying the world’s dependence and giftedness. Medieval sacramental and analogical orders never eliminated conflict between theological, philosophical, medical, artisanal, and popular forms of knowledge. Renaissance correspondences expanded human participation even as they sharpened the dangers of projection. The old cosmos was living not because it was free of mediation bu</w:t>
      </w:r>
      <w:r>
        <w:t>t because its mediations had not yet been consigned to an unreal interior.</w:t>
      </w:r>
    </w:p>
    <w:p w14:paraId="2F9C2A16" w14:textId="77777777" w:rsidR="00F93551" w:rsidRDefault="00DD7D58">
      <w:pPr>
        <w:pStyle w:val="BookBody"/>
      </w:pPr>
      <w:r>
        <w:t>Restoration fails second because the truth gained through criticism cannot be treated as a temporary spiritual inconvenience. Texts have histories. Institutions preserve wisdom and interest together. Traditions carry both testimony and domination. Religious plurality is not a market from which the sovereign individual may select an identity; it is evidence that ultimate claims arrive through languages, practices, memories, and communities no one chose at birth. Colonial encounters did more than add alternat</w:t>
      </w:r>
      <w:r>
        <w:t>ive worldviews to a European catalogue. They revealed that the authority to name land as empty, matter as resource, bodies as labor, and peoples as developmentally behind was supported by cosmological and theological judgments. The claim to possess the true order of creation could travel with the ship, the survey, the mission school, and the property deed. Any recovered sense of cosmos that forgets this history would not heal the modern fracture. It would renew the innocence that made the fracture violent.</w:t>
      </w:r>
    </w:p>
    <w:p w14:paraId="15075900" w14:textId="77777777" w:rsidR="00F93551" w:rsidRDefault="00DD7D58">
      <w:pPr>
        <w:pStyle w:val="BookBody"/>
      </w:pPr>
      <w:r>
        <w:t>Restoration fails third because astronomy cannot be folded back into an anthropocentric theater. Earth is not spatially central, the human species is not the measure of cosmic duration, and celestial events do not arrange themselves around the drama of individual lives. The great enlargement of the universe is not merely a wound to meaning; it is a disclosure of realities that exceed the scale at which human purposes arise. Stars synthesize elements without intending bodies. Galaxies collide without sending</w:t>
      </w:r>
      <w:r>
        <w:t xml:space="preserve"> messages. Extinction, impact, radiation, and stellar death belong to the same universe in which life emerges. To insist that every astronomical fact must correspond to a human significance would reduce the more-than-human precisely when claiming to honor it. The world’s excess over us includes its indifference to many of our questions. A relation is not real only when its other term confirms our importance.</w:t>
      </w:r>
    </w:p>
    <w:p w14:paraId="55EE01A8" w14:textId="77777777" w:rsidR="00F93551" w:rsidRDefault="00DD7D58">
      <w:pPr>
        <w:pStyle w:val="BookBody"/>
      </w:pPr>
      <w:r>
        <w:t xml:space="preserve">Restoration fails fourth because inherited authority can no longer secure public truth merely by naming its source as transcendent. The history of religious and political orders has made the question of authorization unavoidable: who interprets, who may contest, whose suffering counts as evidence against the proclaimed harmony, and what protects the dissenter when cosmic symbolism and state power coincide? A public order needs institutions of correction because no representative of heaven, nature, history, </w:t>
      </w:r>
      <w:r>
        <w:t>nation, class, or life can be trusted with unanswerable speech. The modern disciplines of criticism, experiment, legal appeal, historical documentation, and democratic contest are imperfect and often captured, but the need they answer is permanent once authority has shown itself fallible. A restored cosmos that demands immunity from those disciplines would purchase unity by suppressing the conditions under which falsehood can be exposed.</w:t>
      </w:r>
    </w:p>
    <w:p w14:paraId="26C26DC3" w14:textId="77777777" w:rsidR="00F93551" w:rsidRDefault="00DD7D58">
      <w:pPr>
        <w:pStyle w:val="BookBody"/>
      </w:pPr>
      <w:r>
        <w:t>Nor can restoration proceed through a softer language of universal interconnectedness. Everything is connected to something, but not everything is connected in the same way, at the same scale, or with the same consequence. A toxin in a watershed, an algorithmic classification, a ritual bond, a gravitational interaction, a microbial exchange, and a memory carried in a family are all relations; calling them interconnected does not tell us what kind of relation is present, whether it can be measured, what obli</w:t>
      </w:r>
      <w:r>
        <w:t>gations follow, or who bears its costs. Vague holism often flatters the desire for belonging while leaving structures of extraction untouched. It may even reproduce the old totality in sentimental form, imagining a harmonious whole in which conflict, asymmetry, predation, and death have no conceptual place. A living world is not a world without rupture. Its relations include dependence and mutuality, but also competition, parasitism, breakdown, exclusion, and irreversible loss.</w:t>
      </w:r>
    </w:p>
    <w:p w14:paraId="0BF9A29E" w14:textId="77777777" w:rsidR="00F93551" w:rsidRDefault="00DD7D58">
      <w:pPr>
        <w:pStyle w:val="BookBody"/>
      </w:pPr>
      <w:r>
        <w:t>Quantum mysticism offers no better passage back. The conceptual strangeness of physics does not authorize the transfer of technical terms into claims about intention, healing, destiny, or cosmic mind. Entanglement is not a laboratory confirmation of every spiritual intuition, and the observer in a physical formalism is not simply the autobiographical self. To use the authority of science while refusing the constraints that give scientific concepts their meaning is not reconciliation but appropriation. The d</w:t>
      </w:r>
      <w:r>
        <w:t>eeper lesson of modern physics is not that whatever feels mysterious is scientifically vindicated. It is that reality can resist ordinary intuition and require mediations—mathematical, instrumental, collective—whose validity depends on severe practices of correction. Wonder survives that severity. Indeed, it becomes more exact.</w:t>
      </w:r>
    </w:p>
    <w:p w14:paraId="02E03389" w14:textId="77777777" w:rsidR="00F93551" w:rsidRDefault="00DD7D58">
      <w:pPr>
        <w:pStyle w:val="BookBody"/>
      </w:pPr>
      <w:r>
        <w:t>Finally, restoration fails because persons themselves have changed under the history the book has narrated. Modern subjects have learned to experience belief as belief, identity as historically formed, and inward life as layered rather than transparent. They know, or can know, that memory is selective, desire ambivalent, and certainty psychologically useful. One cannot simply decide to inhabit an inherited symbol as though its alternatives were unknown. Reflexivity interrupts immediacy. Yet this does not me</w:t>
      </w:r>
      <w:r>
        <w:t>an that every symbol becomes an optional fiction. It means that participation must pass through historical consciousness. A practice may become truthful after criticism, but not by pretending criticism never occurred. The world that cannot be restored is therefore not only a lost arrangement of the heavens. It is a mode of unreflective authority in which the mediation of truth could disappear publicly because one order claimed to speak for reality as a whole.</w:t>
      </w:r>
    </w:p>
    <w:p w14:paraId="6E25C1B8" w14:textId="77777777" w:rsidR="00F93551" w:rsidRDefault="00DD7D58">
      <w:pPr>
        <w:pStyle w:val="SectionHeading"/>
      </w:pPr>
      <w:r>
        <w:t>The Gains That Must Be Kept</w:t>
      </w:r>
    </w:p>
    <w:p w14:paraId="39859D78" w14:textId="77777777" w:rsidR="00F93551" w:rsidRDefault="00DD7D58">
      <w:pPr>
        <w:pStyle w:val="BookBody"/>
      </w:pPr>
      <w:r>
        <w:t>The refusal of restoration is not a concession made reluctantly before the recovery of meaning can begin. It identifies goods without which recovery would become fraudulent. Astronomy’s decentering of Earth disclosed a universe whose grandeur does not depend on mirroring human importance. Geology opened durations that no inherited chronology could contain. Evolution placed the human body within a branching history of life rather than above it as an exception without ancestry. Historical criticism distinguis</w:t>
      </w:r>
      <w:r>
        <w:t>hed testimony from composition and made traditions accountable to their records. Comparative religion and anthropology multiplied the forms in which worlds are organized, exposing the provinciality of claims that had mistaken themselves for nature. Psychology undermined the sovereign ego by showing how consciousness is shaped by processes it neither commands nor fully knows. Each displacement has been painful because it removed an imagined guarantee. Each has also made possible a less possessive relation to</w:t>
      </w:r>
      <w:r>
        <w:t xml:space="preserve"> reality.</w:t>
      </w:r>
    </w:p>
    <w:p w14:paraId="55F6C51B" w14:textId="77777777" w:rsidR="00F93551" w:rsidRDefault="00DD7D58">
      <w:pPr>
        <w:pStyle w:val="BookBody"/>
      </w:pPr>
      <w:r>
        <w:t>The instrument belongs at the center of these gains. The telescope, microscope, clock, survey, laboratory preparation, photographic plate, satellite sensor, statistical table, and computer model do not merely interpose artificiality between a pure observer and a self-present world. They make phenomena available that unaided perception could not stabilize or compare. Their mediations are productive: they extend sensitivity, coordinate observers, preserve traces, and allow a claim made in one place to be test</w:t>
      </w:r>
      <w:r>
        <w:t>ed elsewhere. A telescope is not truthful because it eliminates perspective. It is truthful insofar as its perspective is materially understood, calibrated, shared, and corrected. The image of a galaxy is neither the galaxy itself nor a subjective picture freely imposed upon data. It is an achievement in which radiation, instrument, processing, convention, and trained judgment are joined under constraints supplied by the object. Scientific objectivity is powerful not because no subject is involved, but beca</w:t>
      </w:r>
      <w:r>
        <w:t>use subjects organize practices that make individual preference answerable to resistant evidence.</w:t>
      </w:r>
    </w:p>
    <w:p w14:paraId="76F485B5" w14:textId="77777777" w:rsidR="00F93551" w:rsidRDefault="00DD7D58">
      <w:pPr>
        <w:pStyle w:val="BookBody"/>
      </w:pPr>
      <w:r>
        <w:t>This point matters beyond science. Public truth requires forms that can travel beyond the immediacy of personal conviction. Documents, measurements, procedures, archives, legal reasons, peer criticism, replicated observations, and protected testimony are mediations through which strangers can inhabit a dispute together. They are never neutral in the sense of having no history or power, but neither are they reducible to the interests present in their construction. A record can surprise the institution that p</w:t>
      </w:r>
      <w:r>
        <w:t>reserved it. A count can expose an inequality the state preferred not to see. A photograph can be staged, framed, or misread and still carry details that resist the intended story. A classification can impose injury and also become an object of public criticism once its operation is known. The fact that knowledge is made does not mean that its object is invented. It means that truth becomes public through labor whose conditions must themselves be examined.</w:t>
      </w:r>
    </w:p>
    <w:p w14:paraId="1DBA55FC" w14:textId="77777777" w:rsidR="00F93551" w:rsidRDefault="00DD7D58">
      <w:pPr>
        <w:pStyle w:val="BookBody"/>
      </w:pPr>
      <w:r>
        <w:t>The separation of causal explanation from moral judgment must also be retained where it protects inquiry from wish. A disease does not cease to have biological mechanisms because suffering has meaning. Climate systems do not negotiate with political preference. Planetary positions do not change their measurable effects because a symbolic interpretation is consoling. Statistics cannot decide what justice requires, but justice cannot ignore reliable evidence about mortality, exposure, wealth, incarceration, o</w:t>
      </w:r>
      <w:r>
        <w:t>r access. The modern achievement was to establish domains in which claims could be assessed without first agreeing about ultimate purpose. That achievement becomes reductive only when methodological restraint is converted into an ontology—when the decision not to invoke value within a particular explanation becomes the claim that value is unreal, or when the successful quantification of one aspect of a thing becomes the assertion that the thing is nothing but what was quantified.</w:t>
      </w:r>
    </w:p>
    <w:p w14:paraId="10816750" w14:textId="77777777" w:rsidR="00F93551" w:rsidRDefault="00DD7D58">
      <w:pPr>
        <w:pStyle w:val="BookBody"/>
      </w:pPr>
      <w:r>
        <w:t xml:space="preserve">Psychology’s lesson is equally irreversible. The subject necessary for truth is not transparent to itself. Perception is selective, memory reconstructive, and judgment vulnerable to desire, conformity, fear, status, and the seductions of pattern. Chapter 25’s examination of astrology made this especially clear: symbolic recognition may be existentially significant while empirical claims about personality and planetary causation fail under controlled test; generalized descriptions may feel intimately exact; </w:t>
      </w:r>
      <w:r>
        <w:t>correlations may be selected, redescribed, or protected by moving standards of success. The proper response is not contempt for the need to find pattern. It is the creation of practices in which that need does not rule unnoticed. Criticism is not the enemy of meaning. It is one of the forms by which meaning is prevented from becoming domination or self-deception.</w:t>
      </w:r>
    </w:p>
    <w:p w14:paraId="4F651578" w14:textId="77777777" w:rsidR="00F93551" w:rsidRDefault="00DD7D58">
      <w:pPr>
        <w:pStyle w:val="BookBody"/>
      </w:pPr>
      <w:r>
        <w:t>These gains converge in a principle the mechanistic settlement could not itself articulate: mediation is not the opposite of reality. Measurement, language, embodiment, history, and instrumentation are conditions through which aspects of reality become available. They can distort, and for that reason they require comparison and correction. But the dream of access without mediation is no more adequate in science than in religion. Even the most exact result is obtained from somewhere, by means of something, f</w:t>
      </w:r>
      <w:r>
        <w:t>or questions framed in a language and practice. Its objectivity lies in the disciplined transformation of those conditions into avenues of accountability. The conclusion will later distinguish this public necessity from an existential fullness in which mediation may cease to be experienced as distance. At the level of common truth, however, the gain must be kept: no voice may erase its own conditions and declare itself identical with the whole.</w:t>
      </w:r>
    </w:p>
    <w:p w14:paraId="73F57947" w14:textId="77777777" w:rsidR="00F93551" w:rsidRDefault="00DD7D58">
      <w:pPr>
        <w:pStyle w:val="SectionHeading"/>
      </w:pPr>
      <w:r>
        <w:t>The World That Answers Back</w:t>
      </w:r>
    </w:p>
    <w:p w14:paraId="2B3A8D15" w14:textId="77777777" w:rsidR="00F93551" w:rsidRDefault="00DD7D58">
      <w:pPr>
        <w:pStyle w:val="BookBody"/>
      </w:pPr>
      <w:r>
        <w:t>If the old cosmos cannot be restored and the gains of criticism cannot be surrendered, recovery must begin below the level of total architecture. It begins wherever the modern division between meaningless object and meaning-making subject proves descriptively false. The first witness is the living body. An organism does not confront its surroundings as a complete interior facing a collection of neutral data. It selects, avoids, consumes, repairs, explores, and responds. Temperature, nourishment, toxin, shel</w:t>
      </w:r>
      <w:r>
        <w:t xml:space="preserve">ter, mate, predator, and obstacle are not qualities projected after an indifferent physical encounter; they are real features of a relation between a particular form of life and what supports or threatens it. Jakob von Uexküll’s language of </w:t>
      </w:r>
      <w:r>
        <w:rPr>
          <w:i/>
        </w:rPr>
        <w:t>Umwelt</w:t>
      </w:r>
      <w:r>
        <w:t xml:space="preserve"> gave this relational field a precision often lost in generalized talk of environment. Subject and object, he wrote, are “interconnected with each other and form an orderly whole.”</w:t>
      </w:r>
      <w:r>
        <w:rPr>
          <w:vertAlign w:val="superscript"/>
        </w:rPr>
        <w:t>2</w:t>
      </w:r>
      <w:r>
        <w:t xml:space="preserve"> The order is neither a cosmic plan assigned from above nor a private fantasy enclosed within the animal. It is enacted through a functional cycle in which the organism’s capacities meet features of a world that can answer them well or badly.</w:t>
      </w:r>
    </w:p>
    <w:p w14:paraId="004334E0" w14:textId="77777777" w:rsidR="00F93551" w:rsidRDefault="00DD7D58">
      <w:pPr>
        <w:pStyle w:val="BookBody"/>
      </w:pPr>
      <w:r>
        <w:t xml:space="preserve">The tick’s world is famously sparse, the human world profuse, but neither is simply a picture pasted upon identical matter. Each arises through bodily organization, history, and need. This does not imply that every </w:t>
      </w:r>
      <w:r>
        <w:rPr>
          <w:i/>
        </w:rPr>
        <w:t>Umwelt</w:t>
      </w:r>
      <w:r>
        <w:t xml:space="preserve"> is equally adequate to every task, or that nothing exists outside an organism’s access. The tree exceeds the insect’s use of it; the ocean exceeds the sensory worlds of its swimmers; the spectrum exceeds human vision. Precisely because an organism’s world is partial, it can be corrected by encounters for which it was unprepared. The real includes both what becomes significant within a relation and what escapes that relation.</w:t>
      </w:r>
      <w:r>
        <w:rPr>
          <w:vertAlign w:val="superscript"/>
        </w:rPr>
        <w:t>3</w:t>
      </w:r>
      <w:r>
        <w:t xml:space="preserve"> Relational realism therefore avoids two errors at once: it does not locate qualities in isolated objects as though perceivers made no difference, and it does not relocate qualities into isolated subjects as though objects contributed nothing but impact.</w:t>
      </w:r>
    </w:p>
    <w:p w14:paraId="2D502B7A" w14:textId="77777777" w:rsidR="00F93551" w:rsidRDefault="00DD7D58">
      <w:pPr>
        <w:pStyle w:val="BookBody"/>
      </w:pPr>
      <w:r>
        <w:t>Georges Canguilhem carried the argument from significance to norm. “Life is in fact a normative activity,” he wrote, using normativity not to attribute moral commandments to cells but to describe the living capacity to establish differences between favorable and unfavorable, viable and destructive, tolerable and intolerable.</w:t>
      </w:r>
      <w:r>
        <w:rPr>
          <w:vertAlign w:val="superscript"/>
        </w:rPr>
        <w:t>4</w:t>
      </w:r>
      <w:r>
        <w:t xml:space="preserve"> A stone may be shattered, but it is not sick. A machine may malfunction relative to the intention of a designer, but an organism encounters conditions in relation to its own continued activity. Health is not conformity to a fixed statistical average. It is the power to institute new norms when circumstances change—to tolerate variation, recover, improvise, and enter new relations. Illness narrows a world before it can be summarized as a deviation in a table. The clinical judgment of normal and pathological</w:t>
      </w:r>
      <w:r>
        <w:t xml:space="preserve"> therefore depends upon measurements while exceeding them: it must ask what a person can do, endure, and become in an actual milieu.</w:t>
      </w:r>
      <w:r>
        <w:rPr>
          <w:vertAlign w:val="superscript"/>
        </w:rPr>
        <w:t>5</w:t>
      </w:r>
    </w:p>
    <w:p w14:paraId="77A0A057" w14:textId="77777777" w:rsidR="00F93551" w:rsidRDefault="00DD7D58">
      <w:pPr>
        <w:pStyle w:val="BookBody"/>
      </w:pPr>
      <w:r>
        <w:t>Biological normativity recovers teleology only in a limited and indispensable sense. Living beings act toward continuance, repair, development, and reproduction, but their activity does not prove that the universe intends life or that every organism has been assigned a moral purpose. Evolution can produce purposive organization without foresight; organisms can fail; environments can change too quickly; one life’s flourishing can destroy another. The norm belongs to the relation between a living organization</w:t>
      </w:r>
      <w:r>
        <w:t xml:space="preserve"> and its conditions, not to a cosmic decree that guarantees harmony. This limit is essential. It allows us to say that poison is bad for the organism, habitat destruction deprives a form of life of its world, and illness is more than statistical irregularity without claiming that nature as a whole legislates human ethics.</w:t>
      </w:r>
      <w:r>
        <w:rPr>
          <w:vertAlign w:val="superscript"/>
        </w:rPr>
        <w:t>6</w:t>
      </w:r>
    </w:p>
    <w:p w14:paraId="68341A98" w14:textId="77777777" w:rsidR="00F93551" w:rsidRDefault="00DD7D58">
      <w:pPr>
        <w:pStyle w:val="BookBody"/>
      </w:pPr>
      <w:r>
        <w:t>Perception supplies the next witness. The hand that touches a table is not a spectator receiving an internal representation of extension. It presses, meets resistance, adjusts, and locates the body through contact. When one hand touches the other, the touching hand can become touched; activity and receptivity cross without collapsing into identity. Merleau-Ponty used such reversibility to contest the image of a sovereign consciousness looking out upon a completed exterior. The body is not an object the subj</w:t>
      </w:r>
      <w:r>
        <w:t>ect happens to own. It is the subject’s way of being available to a world. Perception is participatory because perceiver and perceived belong to one field of visibility and tangibility, yet participation does not dissolve their difference. The table resists the hand; the other person’s body remains more than my perception; what appears carries horizons that no single act can complete.</w:t>
      </w:r>
      <w:r>
        <w:rPr>
          <w:vertAlign w:val="superscript"/>
        </w:rPr>
        <w:t>7</w:t>
      </w:r>
    </w:p>
    <w:p w14:paraId="31ED3620" w14:textId="77777777" w:rsidR="00F93551" w:rsidRDefault="00DD7D58">
      <w:pPr>
        <w:pStyle w:val="BookBody"/>
      </w:pPr>
      <w:r>
        <w:t>This is why Merleau-Ponty’s late language of flesh must be guarded against mystical inflation. “The flesh is not matter, is not mind, is not substance,” he insisted.</w:t>
      </w:r>
      <w:r>
        <w:rPr>
          <w:vertAlign w:val="superscript"/>
        </w:rPr>
        <w:t>8</w:t>
      </w:r>
      <w:r>
        <w:t xml:space="preserve"> It names neither a cosmic fluid nor a secret entity added to physics. It names the elemental intertwining in which seer and seen, toucher and touched, living body and sensible world are differentiated within a shared field. Such language recovers participation after the failure of the old cosmos because it does not require every being to occupy a preassigned symbolic place. It begins with the evidence of perception: the world is not manufactured inside consciousness, and consciousness does not arrive from </w:t>
      </w:r>
      <w:r>
        <w:t>outside the world. A perceiver is one fold of a reality that can appear because bodies are exposed to it.</w:t>
      </w:r>
    </w:p>
    <w:p w14:paraId="74423B98" w14:textId="77777777" w:rsidR="00F93551" w:rsidRDefault="00DD7D58">
      <w:pPr>
        <w:pStyle w:val="BookBody"/>
      </w:pPr>
      <w:r>
        <w:t>The Earth then enlarges the scale of the argument. Vernadsky’s biosphere is not a decorative film laid over an otherwise finished planet. Living matter has altered atmosphere, soils, oceans, mineral cycles, and the distribution of elements. Oxygen in the air is both a chemical fact and the cumulative trace of life. Margulis’s account of symbiosis shows that even the organism’s apparent individuality may carry ancient mergers within it. Lovelock’s Gaia hypothesis, disciplined by subsequent modeling and evolu</w:t>
      </w:r>
      <w:r>
        <w:t xml:space="preserve">tionary criticism, proposes feedbacks through which life and environment can help stabilize conditions without requiring a planetary mind. Daisyworld remains useful precisely because it is spare: differential absorption, growth, temperature, and selection can generate regulation as an emergent effect. The lesson is not that Earth benevolently protects its inhabitants. Regulation can break down; feedback can amplify disturbance; planetary history includes catastrophes and mass extinction. The lesson is that </w:t>
      </w:r>
      <w:r>
        <w:t>environment and life have co-produced one another across time.</w:t>
      </w:r>
      <w:r>
        <w:rPr>
          <w:vertAlign w:val="superscript"/>
        </w:rPr>
        <w:t>9</w:t>
      </w:r>
    </w:p>
    <w:p w14:paraId="2BF52B7C" w14:textId="77777777" w:rsidR="00F93551" w:rsidRDefault="00DD7D58">
      <w:pPr>
        <w:pStyle w:val="BookBody"/>
      </w:pPr>
      <w:r>
        <w:t>Earth system science therefore intensifies rather than abolishes the normative question. Atmospheric carbon dioxide can be measured independently of anyone’s moral view, and models can estimate ranges of warming under specified emissions. But the meaning of risk depends upon vulnerable bodies, infrastructures, species, coastlines, crops, and futures. A planetary boundary is not a wall discovered in space. It is a scientifically informed judgment about zones in which the conditions supporting complex societi</w:t>
      </w:r>
      <w:r>
        <w:t>es and ecosystems become dangerously unstable. Such judgments should be contested and refined, but they are not arbitrary because the systems answer back. Heat kills at bodily thresholds; oceans acidify; ice melts; species lose viable ranges. Earth is not raw material alone because it is the enabling history within which every economy, polity, and person remains metabolically embedded.</w:t>
      </w:r>
      <w:r>
        <w:rPr>
          <w:vertAlign w:val="superscript"/>
        </w:rPr>
        <w:t>10</w:t>
      </w:r>
    </w:p>
    <w:p w14:paraId="7791F1DC" w14:textId="77777777" w:rsidR="00F93551" w:rsidRDefault="00DD7D58">
      <w:pPr>
        <w:pStyle w:val="BookBody"/>
      </w:pPr>
      <w:r>
        <w:t>The world that answers back is thus neither the speechless matter imagined by reduction nor the loquacious cosmos imagined by divination. Its answers take different forms. A body answers through pain, fatigue, recovery, and capacity. An ecosystem answers through altered relations and thresholds. An instrument answers by registering a trace that may defeat expectation. Another person answers through testimony and refusal. A text answers through details that unsettle the interpretation brought to it. Not ever</w:t>
      </w:r>
      <w:r>
        <w:t>y answer is a message, and none should be anthropomorphized merely to satisfy the need for dialogue. To say that reality answers is to say that encounter is constrained by what is encountered and that those constraints can disclose qualities unavailable to detached possession.</w:t>
      </w:r>
      <w:r>
        <w:rPr>
          <w:vertAlign w:val="superscript"/>
        </w:rPr>
        <w:t>11</w:t>
      </w:r>
    </w:p>
    <w:p w14:paraId="34F87F81" w14:textId="77777777" w:rsidR="00F93551" w:rsidRDefault="00DD7D58">
      <w:pPr>
        <w:pStyle w:val="BookBody"/>
      </w:pPr>
      <w:r>
        <w:t>This recovery changes the meaning of the person. The person is not self-created because embodiment, language, ancestry, place, care, institutions, and more-than-human dependencies precede every act of choice. Yet the person is not merely produced by those conditions. A living subject can respond, reinterpret, refuse, promise, and begin. Agency is real as a situated power, not as an exemption from causality or history. Likewise, time is not merely empty succession because living processes retain, anticipate,</w:t>
      </w:r>
      <w:r>
        <w:t xml:space="preserve"> mature, decay, inherit, and transform. A promise gathers future action into the present; grief makes an absence active; ecological damage joins past extraction to lives not yet born. Clock time permits indispensable coordination, but it cannot by itself describe the thickness of duration through which a life becomes answerable.</w:t>
      </w:r>
    </w:p>
    <w:p w14:paraId="3C4057FF" w14:textId="77777777" w:rsidR="00F93551" w:rsidRDefault="00DD7D58">
      <w:pPr>
        <w:pStyle w:val="SectionHeading"/>
      </w:pPr>
      <w:r>
        <w:t>Public Mediation after Cosmos</w:t>
      </w:r>
    </w:p>
    <w:p w14:paraId="0B7CAD34" w14:textId="77777777" w:rsidR="00F93551" w:rsidRDefault="00DD7D58">
      <w:pPr>
        <w:pStyle w:val="BookBody"/>
      </w:pPr>
      <w:r>
        <w:t>The recovery of a responsive world does not solve the public problem once carried by cosmos. Older symbolic orders did more than explain events. They joined calendrical time, ritual obligation, political legitimacy, kinship, sacrifice, death, and the distribution of places. Their breakdown did not remove those functions; it scattered them among institutions that often conceal their cosmological power beneath procedural language. The state counts populations, courts define persons and harms, markets price fu</w:t>
      </w:r>
      <w:r>
        <w:t>tures, platforms rank attention, medical systems establish thresholds, and technical networks determine what can circulate. Modern societies may describe themselves as cosmologically neutral, yet they continually enact judgments about what exists, what matters, which timescales govern action, and which dependencies may remain invisible. The absence of an official cosmos does not produce an absence of order. It produces orders that are less likely to recognize themselves as world-making.</w:t>
      </w:r>
    </w:p>
    <w:p w14:paraId="490D5604" w14:textId="77777777" w:rsidR="00F93551" w:rsidRDefault="00DD7D58">
      <w:pPr>
        <w:pStyle w:val="BookBody"/>
      </w:pPr>
      <w:r>
        <w:t>This was the significance of the quantified and operational planet. Statistics made collective patterns publicly visible and enabled states to govern populations at scales no direct perception could grasp. Standards allowed distant machines and institutions to coordinate. Feedback translated deviation into signals for correction. Networks of power reorganized landscapes around flows whose continuity became an ordinary expectation. These achievements support medicine, sanitation, communication, disaster resp</w:t>
      </w:r>
      <w:r>
        <w:t>onse, and democratic accountability. They also establish defaults that can appear inevitable once embedded in infrastructure. A measure chosen for administrative convenience becomes a description of the person; a risk score becomes a future treated as already present; a system optimized for throughput renders delay, care, repair, and local knowledge inefficient. Number does not erase value. It can hide value in the architecture of what is counted.</w:t>
      </w:r>
      <w:r>
        <w:rPr>
          <w:vertAlign w:val="superscript"/>
        </w:rPr>
        <w:t>12</w:t>
      </w:r>
    </w:p>
    <w:p w14:paraId="1FA9C527" w14:textId="77777777" w:rsidR="00F93551" w:rsidRDefault="00DD7D58">
      <w:pPr>
        <w:pStyle w:val="BookBody"/>
      </w:pPr>
      <w:r>
        <w:t>Technical orders therefore require cosmological criticism. Yuk Hui defines cosmotechnics as “the unification between the cosmic order and the moral order through technical activities.”</w:t>
      </w:r>
      <w:r>
        <w:rPr>
          <w:vertAlign w:val="superscript"/>
        </w:rPr>
        <w:t>13</w:t>
      </w:r>
      <w:r>
        <w:t xml:space="preserve"> The phrase is valuable even where no explicit cosmic doctrine remains, because technical activities still coordinate an image of reality with judgments about the good. A navigation system assumes that location can be operationalized through a planetary grid. A search engine organizes relevance through models of language, popularity, authority, and predicted desire. A climate model assembles instruments, archives, equations, and institutions into a representation of Earth capable of guiding action. None is </w:t>
      </w:r>
      <w:r>
        <w:t>merely a tool awaiting an external morality. Design, scale, ownership, defaults, error tolerances, energy sources, labor arrangements, and permitted uses already distribute agency and vulnerability.</w:t>
      </w:r>
    </w:p>
    <w:p w14:paraId="4EFD19A5" w14:textId="77777777" w:rsidR="00F93551" w:rsidRDefault="00DD7D58">
      <w:pPr>
        <w:pStyle w:val="BookBody"/>
      </w:pPr>
      <w:r>
        <w:t>The satellite image epitomizes this ambiguity. From orbit, Earth can appear whole: a luminous sphere without borders, finite and fragile against darkness. The image has become a moral icon because it gives sensuous form to planetary belonging. Yet the capacity to see Earth from above is inseparable from launch systems, military histories, mineral extraction, data infrastructures, and institutions that decide which resolutions and archives are available to whom. The view from nowhere is produced from very sp</w:t>
      </w:r>
      <w:r>
        <w:t xml:space="preserve">ecific ground. This does not discredit </w:t>
      </w:r>
      <w:r>
        <w:rPr>
          <w:i/>
        </w:rPr>
        <w:t>Earthrise</w:t>
      </w:r>
      <w:r>
        <w:t xml:space="preserve"> or the environmental consciousness it helped intensify. It makes the icon more truthful by reconnecting its wholeness to the technical and political relations that made the view possible. The planet appears as one, while access to its resources, risks, and representations remains radically unequal.</w:t>
      </w:r>
      <w:r>
        <w:rPr>
          <w:vertAlign w:val="superscript"/>
        </w:rPr>
        <w:t>14</w:t>
      </w:r>
    </w:p>
    <w:p w14:paraId="5ECDBCC9" w14:textId="77777777" w:rsidR="00F93551" w:rsidRDefault="00DD7D58">
      <w:pPr>
        <w:pStyle w:val="BookBody"/>
      </w:pPr>
      <w:r>
        <w:t>Algorithms deepen the problem because their mediations can act before they become objects of shared perception. A classification sorts an applicant, patient, student, worker, or neighborhood; its consequences then alter the evidence later used to assess the category. Search and recommendation systems do not simply reflect preferences. They shape what becomes available to prefer, amplifying some relations while starving others of attention. Statistical fate is powerful precisely when a probability is convert</w:t>
      </w:r>
      <w:r>
        <w:t>ed into a decision without allowing the person classified to answer. The public task is not to demand algorithms without mediation, which would be meaningless, nor to reject every model because models are partial. It is to make the terms of mediation contestable: the data, categories, objective functions, institutional incentives, environmental costs, affected populations, and avenues of appeal.</w:t>
      </w:r>
      <w:r>
        <w:rPr>
          <w:vertAlign w:val="superscript"/>
        </w:rPr>
        <w:t>15</w:t>
      </w:r>
    </w:p>
    <w:p w14:paraId="15D04FCD" w14:textId="77777777" w:rsidR="00F93551" w:rsidRDefault="00DD7D58">
      <w:pPr>
        <w:pStyle w:val="BookBody"/>
      </w:pPr>
      <w:r>
        <w:t>This requirement applies to every public symbolic order. Meaning cannot be whatever communities create, because communities can create lies, castes, enemies, and sanctified injuries. A tradition’s longevity does not establish its truth; a majority’s recognition does not make a person unreal; a shared narrative does not repeal the testimony of those it harms. Yet meaning cannot be reduced to whatever survives external verification by the natural sciences, because obligation, dignity, mourning, promise, and j</w:t>
      </w:r>
      <w:r>
        <w:t>ustice are not disguised hypotheses about particles. Their objectivity emerges through forms of answerability appropriate to persons and histories: coherence, evidence, reciprocity, consequence, the capacity to hear protest, fidelity to experience, and openness to correction. A public world must therefore be thicker than procedure but less total than cosmos.</w:t>
      </w:r>
    </w:p>
    <w:p w14:paraId="73922AB6" w14:textId="77777777" w:rsidR="00F93551" w:rsidRDefault="00DD7D58">
      <w:pPr>
        <w:pStyle w:val="BookBody"/>
      </w:pPr>
      <w:r>
        <w:t xml:space="preserve">The phrase </w:t>
      </w:r>
      <w:r>
        <w:rPr>
          <w:i/>
        </w:rPr>
        <w:t>public world</w:t>
      </w:r>
      <w:r>
        <w:t xml:space="preserve"> names a field in which strangers can make claims upon one another without first sharing a metaphysics. It does not require that every ultimate difference be translated into neutral vocabulary before it can appear. Religious reasons, inherited symbols, philosophical arguments, scientific findings, artistic disclosures, and testimonies of suffering can all enter. What they cannot demand is immunity from response. Publicity transforms authority by exposing it to those beyond the circle that first conferred it</w:t>
      </w:r>
      <w:r>
        <w:t>. A claim becomes publicly responsible when it states enough of its grounds, consequences, and limits to permit contest, and when the persons most affected possess practical means to answer. This is not the sovereignty of consensus. Consensus may be coerced or unavailable. It is the discipline of coexistence under conditions in which no group can plausibly identify its own mediation with reality as such.</w:t>
      </w:r>
    </w:p>
    <w:p w14:paraId="497D6DA5" w14:textId="77777777" w:rsidR="00F93551" w:rsidRDefault="00DD7D58">
      <w:pPr>
        <w:pStyle w:val="BookBody"/>
      </w:pPr>
      <w:r>
        <w:t>The ecological crisis makes this public necessity unmistakable. No individual spirituality can lower atmospheric concentration, protect a watershed, redesign a grid, or distribute the costs of transition justly. A person may experience profound kinship with Earth, and that experience can reorient a life. It becomes politically evasive when offered as though consciousness alone could substitute for standards, treaties, technologies, land rights, budgets, enforcement, and collective sacrifice. Conversely, adm</w:t>
      </w:r>
      <w:r>
        <w:t>inistration without lived attachment produces compliance without care and is vulnerable whenever the costs become inconvenient. The task is not to choose between inner conversion and public structure. It is to construct institutions through which knowledge of dependence becomes materially consequential while remaining accountable to different histories and unequal capacities.</w:t>
      </w:r>
      <w:r>
        <w:rPr>
          <w:vertAlign w:val="superscript"/>
        </w:rPr>
        <w:t>16</w:t>
      </w:r>
    </w:p>
    <w:p w14:paraId="6BE43193" w14:textId="77777777" w:rsidR="00F93551" w:rsidRDefault="00DD7D58">
      <w:pPr>
        <w:pStyle w:val="BookBody"/>
      </w:pPr>
      <w:r>
        <w:t>The same is true of truth. A society cannot rely upon private sincerity, because people can be sincerely mistaken and institutions can manufacture sincerity through repetition. Nor can it rely upon experts imagined as disembodied reason, because expertise has domains, interests, and blind spots. Public truth needs differentiated authority: trained judgment where training matters, local knowledge where consequences are lived, documentary practices where memory is contested, and democratic legitimacy where co</w:t>
      </w:r>
      <w:r>
        <w:t>llective burdens are imposed. These authorities will conflict. Their conflict is not a failure to recover cosmos; it is the condition of truth after cosmos. The aim is not harmony in advance but a structure in which no necessary voice is forced to disappear and no voice is exempt from the world’s reply.</w:t>
      </w:r>
    </w:p>
    <w:p w14:paraId="2C4EBE0E" w14:textId="77777777" w:rsidR="00F93551" w:rsidRDefault="00DD7D58">
      <w:pPr>
        <w:pStyle w:val="SectionHeading"/>
      </w:pPr>
      <w:r>
        <w:t>Fullness and Mediation</w:t>
      </w:r>
    </w:p>
    <w:p w14:paraId="63DDD70E" w14:textId="77777777" w:rsidR="00F93551" w:rsidRDefault="00DD7D58">
      <w:pPr>
        <w:pStyle w:val="BookBody"/>
      </w:pPr>
      <w:r>
        <w:t xml:space="preserve">There is, however, another problem that cannot be solved by improving public institutions. A person may understand that mediation is necessary for shared truth and still experience mediation as estrangement. Concepts seem to stand between the mind and the thing; rituals become signs whose meanings must be explained; moral action feels like obedience to a rule rather than spontaneous participation in the good; nature appears through screens, maps, and measurements while immediate surroundings grow thin. The </w:t>
      </w:r>
      <w:r>
        <w:t>existential and spiritual question asks whether this distance can be overcome—not by abolishing body, language, history, or symbol, but by inhabiting them so fully that they cease to be experienced as barriers. This is a question about fulfilled life, not about the constitutional structure of public authority.</w:t>
      </w:r>
    </w:p>
    <w:p w14:paraId="50902839" w14:textId="77777777" w:rsidR="00F93551" w:rsidRDefault="00DD7D58">
      <w:pPr>
        <w:pStyle w:val="BookBody"/>
      </w:pPr>
      <w:r>
        <w:t>The distinction is delicate because the same word, mediation, names two different experiences. Publicly, mediation is the visible chain through which a claim becomes accountable: witness, instrument, language, institution, critique. Existentially, mediation can mean the felt gap between oneself and what one loves, knows, or does. A musician who has mastered an instrument does not ordinarily experience technique as an object inserted between intention and sound. A fluent speaker does not consult grammar befo</w:t>
      </w:r>
      <w:r>
        <w:t>re every sentence. In attentive perception, the body is not noticed as a mechanism translating stimuli; it opens directly upon the thing. A rite may similarly become transparent when gesture, memory, community, and meaning are no longer assembled by deliberate interpretation but lived as one act. The mediation has not vanished causally or historically. It has ceased to appear as distance.</w:t>
      </w:r>
    </w:p>
    <w:p w14:paraId="45640160" w14:textId="77777777" w:rsidR="00F93551" w:rsidRDefault="00DD7D58">
      <w:pPr>
        <w:pStyle w:val="BookBody"/>
      </w:pPr>
      <w:r>
        <w:t>Fulfilled life may therefore be unmediated in experience without being unconditioned in fact. This possibility should not be dismissed as naïveté merely because reflection can reconstruct the conditions that made it possible. Love is formed through bodies, language, history, expectation, and vulnerability, yet it need not be experienced as a calculation among those factors. A craftsman’s responsiveness to material is learned, but at maturity the wood, tool, hand, and intended form may belong to one fluent f</w:t>
      </w:r>
      <w:r>
        <w:t>ield. Contemplation may cease to divide observer from observed, and prayer may cease to feel like speech directed across an interval. Such fullness does not prove a metaphysical doctrine. It testifies that relation need not always be lived as separation.</w:t>
      </w:r>
    </w:p>
    <w:p w14:paraId="2895A495" w14:textId="77777777" w:rsidR="00F93551" w:rsidRDefault="00DD7D58">
      <w:pPr>
        <w:pStyle w:val="BookBody"/>
      </w:pPr>
      <w:r>
        <w:t>The danger is to transform this testimony into public privilege. Someone who experiences unity may infer that difference is unreal, that criticism belongs to a lower consciousness, or that institutions can be bypassed by those sufficiently awakened. Charismatic authority often begins in the claim that mediation has disappeared: the leader speaks directly for God, nature, history, the people, or the cosmos. Because the experience may be sincere, exposure of hypocrisy is not enough. The political error lies i</w:t>
      </w:r>
      <w:r>
        <w:t>n moving from existential immediacy to exemption from public answerability. No inward fullness can authorize power over another person who does not share its disclosure. The more ultimate the claim, the more carefully its public consequences must be mediated.</w:t>
      </w:r>
    </w:p>
    <w:p w14:paraId="0FD7A067" w14:textId="77777777" w:rsidR="00F93551" w:rsidRDefault="00DD7D58">
      <w:pPr>
        <w:pStyle w:val="BookBody"/>
      </w:pPr>
      <w:r>
        <w:t>The book’s argument allows the two challenges to remain distinct without becoming unrelated. The existential challenge asks whether mediation can become transparent or disappear within a life experienced as full. The public challenge asks how plural and unequally mature persons can share truth, obligation, and protection when no authoritative cosmos unites them. The first cannot abolish the second: even a community of profound experience contains children, strangers, dissenters, injuries, property, illness,</w:t>
      </w:r>
      <w:r>
        <w:t xml:space="preserve"> memory, and future generations whose claims need form. The second cannot abolish the first: procedures exist for lives, and lives are diminished when every immediate good must justify itself as an instrument of administration.</w:t>
      </w:r>
    </w:p>
    <w:p w14:paraId="5E3152B4" w14:textId="77777777" w:rsidR="00F93551" w:rsidRDefault="00DD7D58">
      <w:pPr>
        <w:pStyle w:val="BookBody"/>
      </w:pPr>
      <w:r>
        <w:t>This distinction also clarifies why personal spirituality is not the conclusion’s answer. Spiritual practice may heal attention, release possessiveness, deepen responsibility, and disclose the world as gift or presence. It can be one source of the qualities public life needs. But its effects cannot simply be assumed, and its language cannot substitute for common decisions. A contemplative may still benefit from extraction; a community of belonging may exclude; an experience of oneness may ignore the unequal</w:t>
      </w:r>
      <w:r>
        <w:t xml:space="preserve"> distribution of danger. Spirituality becomes publicly responsible when it accepts mediation at the point where its life crosses the lives of others—when property, authority, education, care, environment, and bodily safety are at stake.</w:t>
      </w:r>
    </w:p>
    <w:p w14:paraId="253EA194" w14:textId="77777777" w:rsidR="00F93551" w:rsidRDefault="00DD7D58">
      <w:pPr>
        <w:pStyle w:val="BookBody"/>
      </w:pPr>
      <w:r>
        <w:t>At the same time, public reason should not demand that persons describe their deepest participation as though it were merely subjective motivation. The person under the night may genuinely encounter a reality that exceeds use and possession. The experience need not yield astronomical information to be cognitive in a broader sense. It may disclose finitude, dependence, beauty, or gratitude through the way the world is present. Such qualities are not guaranteed by intensity, and they remain open to interpreta</w:t>
      </w:r>
      <w:r>
        <w:t>tion. Their public credibility arises less from claims of certainty than from the forms of life they make possible and the willingness to let other disclosures answer them.</w:t>
      </w:r>
    </w:p>
    <w:p w14:paraId="6EC96A9A" w14:textId="77777777" w:rsidR="00F93551" w:rsidRDefault="00DD7D58">
      <w:pPr>
        <w:pStyle w:val="BookBody"/>
      </w:pPr>
      <w:r>
        <w:t>The final formulation must therefore carry a tension rather than erase it. Truth is disclosed publicly through embodied, historical, living subjects who belong to the world they disclose; yet fulfilled life may cease to experience that relation as mediation. The first clause refuses the sovereign subject and the view from nowhere. The second refuses to make alienation permanent by definition. Neither licenses a compulsory metaphysics. A polity need not decide whether contemplative fullness reveals divine pr</w:t>
      </w:r>
      <w:r>
        <w:t>esence, the flesh of the world, a transformed nervous system, or several inseparable dimensions at once. It must protect the person’s pursuit and testimony while judging public consequences through shared practices of answerability.</w:t>
      </w:r>
      <w:r>
        <w:rPr>
          <w:vertAlign w:val="superscript"/>
        </w:rPr>
        <w:t>17</w:t>
      </w:r>
    </w:p>
    <w:p w14:paraId="400B8CDB" w14:textId="77777777" w:rsidR="00F93551" w:rsidRDefault="00DD7D58">
      <w:pPr>
        <w:pStyle w:val="SectionHeading"/>
      </w:pPr>
      <w:r>
        <w:t>What Can Be Recovered</w:t>
      </w:r>
    </w:p>
    <w:p w14:paraId="16279197" w14:textId="77777777" w:rsidR="00F93551" w:rsidRDefault="00DD7D58">
      <w:pPr>
        <w:pStyle w:val="BookBody"/>
      </w:pPr>
      <w:r>
        <w:t>What, then, remains when restoration is impossible but relation is not? First, the person can be recovered from the alternatives of cosmic assignment and self-creation. An inherited cosmos often defined persons through fixed place; liberal modernity answered by imagining the chooser prior to every attachment. Neither is adequate. Persons are born dependent, addressed before they speak, sustained by ecologies and institutions they did not build, and marked by histories they may accept, revise, or resist. The</w:t>
      </w:r>
      <w:r>
        <w:t>ir dignity does not come from isolation from these conditions. It lies partly in the capacity to respond within them—to recognize claims, undertake obligations, receive correction, and begin what antecedent causes do not fully determine. Dependence is not the negation of freedom; it is the field in which finite freedom becomes meaningful.</w:t>
      </w:r>
    </w:p>
    <w:p w14:paraId="07091424" w14:textId="77777777" w:rsidR="00F93551" w:rsidRDefault="00DD7D58">
      <w:pPr>
        <w:pStyle w:val="BookBody"/>
      </w:pPr>
      <w:r>
        <w:t>Second, time can be recovered from empty succession without restoring a providential timetable. Mechanical and standardized time permits coordination across distance, exact experiment, navigation, industry, and public administration. Its achievement is enormous. But living time is rhythmic and irreversible. Gestation, maturation, recovery, education, trust, decay, and mourning cannot be accelerated indefinitely without changing what they are. Ecological time binds human action to processes whose delays exce</w:t>
      </w:r>
      <w:r>
        <w:t>ed election cycles and market returns. Historical time preserves injuries and gifts that no present choice created. To acknowledge these durations is not to deny the clock. It is to resist allowing the clock’s homogeneous units to become the measure of every worth.</w:t>
      </w:r>
    </w:p>
    <w:p w14:paraId="02566B18" w14:textId="77777777" w:rsidR="00F93551" w:rsidRDefault="00DD7D58">
      <w:pPr>
        <w:pStyle w:val="BookBody"/>
      </w:pPr>
      <w:r>
        <w:t xml:space="preserve">Third, life can be recovered as normative. Organisms do not merely occupy coordinates; they sustain precarious organizations, distinguish conditions, and make worlds. This normativity is not a moral law already written into nature. It cannot tell us without argument how conflicts among lives should be resolved. It nevertheless establishes that the language of flourishing and injury is not an optional human decoration placed upon neutral process. A wetland can lose functions, a species can lose a habitat, a </w:t>
      </w:r>
      <w:r>
        <w:t>patient can lose the capacity to inhabit an ordinary world. Measurement specifies such losses; lived and ecological norms make them losses rather than mere changes.</w:t>
      </w:r>
    </w:p>
    <w:p w14:paraId="48572C2B" w14:textId="77777777" w:rsidR="00F93551" w:rsidRDefault="00DD7D58">
      <w:pPr>
        <w:pStyle w:val="BookBody"/>
      </w:pPr>
      <w:r>
        <w:t>Fourth, perception can be recovered as participation. The sensible world is not a set of internal pictures standing between mind and matter. Embodied perceivers are exposed to surfaces, depths, resistances, movements, voices, and other bodies within a common field. Because perception is participatory, it is meaningful before explicit judgment. Because it is perspectival, it is corrigible. The same structure supports both intimacy and science: one can be touched by what one sees and can move, compare, measur</w:t>
      </w:r>
      <w:r>
        <w:t>e, or listen to another in order to discover what the first view concealed. Participation without correction becomes projection; correction without participation forgets why anything appears or matters.</w:t>
      </w:r>
    </w:p>
    <w:p w14:paraId="53464D28" w14:textId="77777777" w:rsidR="00F93551" w:rsidRDefault="00DD7D58">
      <w:pPr>
        <w:pStyle w:val="BookBody"/>
      </w:pPr>
      <w:r>
        <w:t>Fifth, Earth can be recovered as more than raw material. This does not require personifying the planet or denying that humans must use matter to live. Food, shelter, medicine, transport, and technology all transform Earth. The distinction is between use within acknowledged dependence and possession that treats conditions of life as external inputs. The atmosphere is not a waste sink merely because no market originally priced it. Soil is not an inert platform for yield. A river is simultaneously water, habit</w:t>
      </w:r>
      <w:r>
        <w:t>at, geomorphic process, legal object, ancestral presence, infrastructure, and lived place; no single description can rule the others without loss. Earth exceeds every inventory because the relations enabling the inventory are themselves earthly.</w:t>
      </w:r>
    </w:p>
    <w:p w14:paraId="4B0AD8B7" w14:textId="77777777" w:rsidR="00F93551" w:rsidRDefault="00DD7D58">
      <w:pPr>
        <w:pStyle w:val="BookBody"/>
      </w:pPr>
      <w:r>
        <w:t>Sixth, technical orders can be recovered as morally and cosmologically articulate. The task is not to escape technology for an imagined immediacy. Human worlds have always been technical, from calendars and roads to manuscripts and observatories. The question is which relations a technique amplifies, which scales it privileges, which forms of judgment it delegates, and which image of the person it builds into ordinary action. A system designed for extraction embodies a world in which value appears at the po</w:t>
      </w:r>
      <w:r>
        <w:t>int of capture. A system designed for repair embodies longer time, maintained relation, and limits on disposal. Neither design guarantees virtue, but each makes some conduct easier and some realities more visible.</w:t>
      </w:r>
      <w:r>
        <w:rPr>
          <w:vertAlign w:val="superscript"/>
        </w:rPr>
        <w:t>18</w:t>
      </w:r>
    </w:p>
    <w:p w14:paraId="7A28AE82" w14:textId="77777777" w:rsidR="00F93551" w:rsidRDefault="00DD7D58">
      <w:pPr>
        <w:pStyle w:val="BookBody"/>
      </w:pPr>
      <w:r>
        <w:t xml:space="preserve">Seventh, reality can be recovered as exceeding use and possession. The star is more than navigational datum, the forest more than carbon stock, the patient more than risk profile, the neighbor more than demographic category, and the past more than a store of legitimating examples. Excess does not mean ineffable mystery protected from inquiry. It means that beings have depths, relations, and futures not exhausted by the purposes under which they first appear. Science often discloses this excess by revealing </w:t>
      </w:r>
      <w:r>
        <w:t>structures beyond ordinary access. Art discloses it by renewing perception. Love discloses it by making the irreducibility of another person practically undeniable. Justice begins when that irreducibility limits what power may do.</w:t>
      </w:r>
    </w:p>
    <w:p w14:paraId="05BB9CC1" w14:textId="77777777" w:rsidR="00F93551" w:rsidRDefault="00DD7D58">
      <w:pPr>
        <w:pStyle w:val="BookBody"/>
      </w:pPr>
      <w:r>
        <w:t>These recoveries do not assemble into a replacement cosmos. They resemble a discipline of worldfulness: habits of thought and institution that resist the conversion of relation into either cosmic necessity or subjective invention. Such a discipline asks of every claim what it discloses, through which mediation, under what constraints, with what power, and before whom it remains answerable. It does not require all truths to share one method. It does require every method to know its limits and every authority</w:t>
      </w:r>
      <w:r>
        <w:t xml:space="preserve"> to remain exposed to what its frame excludes. The world becomes common not because it appears identically from every position, but because positions can encounter one another through a reality none owns.</w:t>
      </w:r>
    </w:p>
    <w:p w14:paraId="09793E68" w14:textId="77777777" w:rsidR="00F93551" w:rsidRDefault="00DD7D58">
      <w:pPr>
        <w:pStyle w:val="BookBody"/>
      </w:pPr>
      <w:r>
        <w:t xml:space="preserve">Astrology’s place in this conclusion can now be stated precisely. It preserved, often with remarkable imaginative force, the refusal to let the heavens become irrelevant to human life. It offered practices of temporal attention, symbolic reflection, and the interpretation of character within a larger order. But where it claimed reliable planetary determination or empirical description of personality, controlled inquiry found the evidence wanting; where it insulated itself from failure by redescribing every </w:t>
      </w:r>
      <w:r>
        <w:t>result as symbolic success, it lost the correction that public truth requires.</w:t>
      </w:r>
      <w:r>
        <w:rPr>
          <w:vertAlign w:val="superscript"/>
        </w:rPr>
        <w:t>19</w:t>
      </w:r>
      <w:r>
        <w:t xml:space="preserve"> Its enduring question was stronger than many of its answers: can the person inhabit astronomical reality as meaningful without pretending that the stars encode a private destiny? The response offered here is yes, if meaning arises through truthful participation rather than secret causation. The night can orient without predicting.</w:t>
      </w:r>
    </w:p>
    <w:p w14:paraId="0B5BC84B" w14:textId="77777777" w:rsidR="00F93551" w:rsidRDefault="00DD7D58">
      <w:pPr>
        <w:pStyle w:val="BookBody"/>
      </w:pPr>
      <w:r>
        <w:t>The resulting realism is neither cold nor consoling. It cannot promise that the universe protects meaning, that history bends toward justice, or that every loss belongs to a larger harmony. It recognizes extinction, contingency, predation, illness, and death without translating them automatically into lessons. Yet it also refuses the claim that contingency makes significance unreal. A life need not have been foreordained to possess goods intrinsic to its form. A relationship need not be eternal to impose an</w:t>
      </w:r>
      <w:r>
        <w:t xml:space="preserve"> obligation. A species need not be cosmically intended for its disappearance to be a real loss. Meaning arises where beings capable of concern encounter a world that enables, resists, nourishes, wounds, and exceeds them. It is contingent in origin without being arbitrary in truth.</w:t>
      </w:r>
      <w:r>
        <w:rPr>
          <w:vertAlign w:val="superscript"/>
        </w:rPr>
        <w:t>20</w:t>
      </w:r>
    </w:p>
    <w:p w14:paraId="5B1F94AD" w14:textId="77777777" w:rsidR="00F93551" w:rsidRDefault="00DD7D58">
      <w:pPr>
        <w:pStyle w:val="SectionHeading"/>
      </w:pPr>
      <w:r>
        <w:t>The Burden Passed Inward</w:t>
      </w:r>
    </w:p>
    <w:p w14:paraId="659789DC" w14:textId="77777777" w:rsidR="00F93551" w:rsidRDefault="00DD7D58">
      <w:pPr>
        <w:pStyle w:val="BookBody"/>
      </w:pPr>
      <w:r>
        <w:t>The genealogy can now be seen as a transfer of burden. When cosmos carried truth, identity, obligation, and temporal order publicly, persons could experience themselves as participants in meanings that preceded reflection. The authority of those meanings was never complete, but their symbols, institutions, and practices supplied a common exterior. As criticism fractured the cosmos, its functions did not simply vanish. Some migrated into the scientific image of nature, some into the nation and market, some i</w:t>
      </w:r>
      <w:r>
        <w:t>nto administrative systems, and some into the interior life of the subject. The more public reality was restricted to measurable fact and operational procedure, the more contradiction, value, destiny, guilt, authenticity, and ultimate concern were assigned to the psyche.</w:t>
      </w:r>
    </w:p>
    <w:p w14:paraId="0190B509" w14:textId="77777777" w:rsidR="00F93551" w:rsidRDefault="00DD7D58">
      <w:pPr>
        <w:pStyle w:val="BookBody"/>
      </w:pPr>
      <w:r>
        <w:t>This inward transfer helps explain why the modern self is asked to do impossible work. It must choose an identity while knowing that its materials were inherited. It must create meaning while suspecting that created meaning is merely optional. It must be autonomous while depending upon technical systems, institutions, intimate recognition, and ecological conditions it scarcely understands. It must distinguish conviction from projection without a public order capable of naming the difference. It must carry r</w:t>
      </w:r>
      <w:r>
        <w:t>eligious plurality as a private decision, political failure as personal anxiety, and planetary crisis as individual responsibility. The sovereign subject was invented as the source of meaning at the same moment that the actual person became ever more entangled in systems beyond individual command.</w:t>
      </w:r>
    </w:p>
    <w:p w14:paraId="277DD444" w14:textId="77777777" w:rsidR="00F93551" w:rsidRDefault="00DD7D58">
      <w:pPr>
        <w:pStyle w:val="BookBody"/>
      </w:pPr>
      <w:r>
        <w:t>No conclusion to this book should pretend to resolve that burden by announcing a new spiritual program. The genealogy has established conditions, not prescribed a cure. It has shown why nostalgia cannot supply public truth, why quantitative objectivity cannot bear the whole of reality, why private meaning cannot substitute for a common world, and why persons cannot simply reason themselves outside the histories and systems that formed them. It has also shown resources for a different starting point: embodie</w:t>
      </w:r>
      <w:r>
        <w:t>d participation, biological normativity, planetary dependence, technical accountability, and a realism in which qualities need not be either cosmic decrees or subjective additions.</w:t>
      </w:r>
    </w:p>
    <w:p w14:paraId="2144FED0" w14:textId="77777777" w:rsidR="00F93551" w:rsidRDefault="00DD7D58">
      <w:pPr>
        <w:pStyle w:val="BookBody"/>
      </w:pPr>
      <w:r>
        <w:t>The subject remains necessary for truth. There is no disclosure without a perspective capable of attention, judgment, memory, language, and response. But the subject is neither the center of reality nor the sovereign origin of significance. It is a living, historical participant whose powers arise within relations it did not create and whose claims are corrected by other persons, instruments, records, organisms, and worlds. Truth is disclosed publicly through embodied, historical, living subjects who belong</w:t>
      </w:r>
      <w:r>
        <w:t xml:space="preserve"> to the world they disclose; yet fulfilled life may cease to experience that relation as mediation. That formulation does not restore the sky as a code. It places the observer back beneath it.</w:t>
      </w:r>
    </w:p>
    <w:p w14:paraId="6EF022D3" w14:textId="77777777" w:rsidR="00F93551" w:rsidRDefault="00DD7D58">
      <w:pPr>
        <w:pStyle w:val="BookBody"/>
      </w:pPr>
      <w:r>
        <w:t>The person at the end of the book therefore stands where the person at its beginning stood, but with a different task. Above, the stars remain physically remote and sensibly present. Behind the visible field lie instruments, equations, archives, mythic names, extinct forms of life, colonial routes, electrical grids, data centers, atmospheric changes, and the long labor by which a universe became knowable. Within the body lie rhythms older than reflection and histories more recent than birth. Around the obse</w:t>
      </w:r>
      <w:r>
        <w:t>rver are other lives whose worlds overlap without becoming identical. The night gives no final instruction. It does not need to. Its reality consists partly in refusing possession while permitting relation.</w:t>
      </w:r>
    </w:p>
    <w:p w14:paraId="0D74F620" w14:textId="77777777" w:rsidR="00F93551" w:rsidRDefault="00DD7D58">
      <w:pPr>
        <w:pStyle w:val="BookBody"/>
      </w:pPr>
      <w:r>
        <w:t>What can no longer be borne by cosmos has not ceased to be borne. The questions of who one is, what one owes, which desires can be trusted, how suffering becomes intelligible, and whether a life can be whole now gather within the modern person with unprecedented pressure. Public orders continue to shape those questions while declaring them private; technical systems intensify them while presenting themselves as neutral; spiritual markets answer them while shifting authority back to individual choice. The wo</w:t>
      </w:r>
      <w:r>
        <w:t>rld that cannot be restored thus leaves behind not emptiness but a concentration of unresolved demand.</w:t>
      </w:r>
    </w:p>
    <w:p w14:paraId="5B12D010" w14:textId="77777777" w:rsidR="00F93551" w:rsidRDefault="00DD7D58">
      <w:pPr>
        <w:pStyle w:val="BookBody"/>
      </w:pPr>
      <w:r>
        <w:t xml:space="preserve">This is the threshold at which the genealogy must stop. To cross it would require another inquiry: not a history of how cosmos became universe, but an account of what happened to the soul when it was made to carry the meanings, contradictions, and obligations the public world could no longer hold. The night remains open, the world remains real, and relation remains possible. The burden has moved inward. The next book begins with </w:t>
      </w:r>
      <w:r>
        <w:rPr>
          <w:i/>
        </w:rPr>
        <w:t>The Modern Burden of Soul</w:t>
      </w:r>
      <w:r>
        <w:t>.</w:t>
      </w:r>
    </w:p>
    <w:p w14:paraId="7BC4D69E" w14:textId="77777777" w:rsidR="00F93551" w:rsidRDefault="00DD7D58">
      <w:pPr>
        <w:pStyle w:val="NotesHeading"/>
      </w:pPr>
      <w:r>
        <w:t>Notes</w:t>
      </w:r>
    </w:p>
    <w:p w14:paraId="496A5F50" w14:textId="77777777" w:rsidR="00F93551" w:rsidRDefault="00DD7D58">
      <w:pPr>
        <w:pStyle w:val="NoteEntry"/>
      </w:pPr>
      <w:r>
        <w:t xml:space="preserve">1. Alexandre Koyré, </w:t>
      </w:r>
      <w:r>
        <w:rPr>
          <w:i/>
        </w:rPr>
        <w:t>From the Closed World to the Infinite Universe</w:t>
      </w:r>
      <w:r>
        <w:t xml:space="preserve"> (Baltimore: Johns Hopkins Press, 1957), viii. For the historical contingency of “nature” as a category and the plurality of ontological arrangements, see Francesca Rochberg, </w:t>
      </w:r>
      <w:r>
        <w:rPr>
          <w:i/>
        </w:rPr>
        <w:t>Before Nature: Cuneiform Knowledge and the History of Science</w:t>
      </w:r>
      <w:r>
        <w:t xml:space="preserve"> (Chicago: University of Chicago Press, 2016), 1–20; and Philippe Descola, </w:t>
      </w:r>
      <w:r>
        <w:rPr>
          <w:i/>
        </w:rPr>
        <w:t>Beyond Nature and Culture</w:t>
      </w:r>
      <w:r>
        <w:t>, trans. Janet Lloyd (Chicago: University of Chicago Press, 2013), 30–31.</w:t>
      </w:r>
    </w:p>
    <w:p w14:paraId="10D759E8" w14:textId="77777777" w:rsidR="00F93551" w:rsidRDefault="00DD7D58">
      <w:pPr>
        <w:pStyle w:val="NoteEntry"/>
      </w:pPr>
      <w:r>
        <w:t xml:space="preserve">2. Jakob von Uexküll, </w:t>
      </w:r>
      <w:r>
        <w:rPr>
          <w:i/>
        </w:rPr>
        <w:t>A Foray into the Worlds of Animals and Humans: With A Theory of Meaning</w:t>
      </w:r>
      <w:r>
        <w:t>, trans. Joseph D. O’Neil, intro. Dorion Sagan (Minneapolis: University of Minnesota Press, 2010), 48–54, quotation at 49.</w:t>
      </w:r>
    </w:p>
    <w:p w14:paraId="30A0C497" w14:textId="77777777" w:rsidR="00F93551" w:rsidRDefault="00DD7D58">
      <w:pPr>
        <w:pStyle w:val="NoteEntry"/>
      </w:pPr>
      <w:r>
        <w:t xml:space="preserve">3. Carlo Brentari, </w:t>
      </w:r>
      <w:r>
        <w:rPr>
          <w:i/>
        </w:rPr>
        <w:t>Jakob von Uexküll: The Discovery of the Umwelt between Biosemiotics and Theoretical Biology</w:t>
      </w:r>
      <w:r>
        <w:t xml:space="preserve"> (Dordrecht: Springer, 2015), 69–142; Brett Buchanan, </w:t>
      </w:r>
      <w:r>
        <w:rPr>
          <w:i/>
        </w:rPr>
        <w:t>Onto-Ethologies: The Animal Environments of Uexküll, Heidegger, Merleau-Ponty, and Deleuze</w:t>
      </w:r>
      <w:r>
        <w:t xml:space="preserve"> (Albany: State University of New York Press, 2008), 7–34; and Uexküll, </w:t>
      </w:r>
      <w:r>
        <w:rPr>
          <w:i/>
        </w:rPr>
        <w:t>A Foray into the Worlds of Animals and Humans</w:t>
      </w:r>
      <w:r>
        <w:t>, 44–72.</w:t>
      </w:r>
    </w:p>
    <w:p w14:paraId="22A2AE3F" w14:textId="77777777" w:rsidR="00F93551" w:rsidRDefault="00DD7D58">
      <w:pPr>
        <w:pStyle w:val="NoteEntry"/>
      </w:pPr>
      <w:r>
        <w:t xml:space="preserve">4. Georges Canguilhem, </w:t>
      </w:r>
      <w:r>
        <w:rPr>
          <w:i/>
        </w:rPr>
        <w:t>The Normal and the Pathological</w:t>
      </w:r>
      <w:r>
        <w:t xml:space="preserve">, trans. Carolyn R. Fawcett with Robert S. Cohen (New York: Zone Books, 1991), 125–27, quotation at 126; and Canguilhem, </w:t>
      </w:r>
      <w:r>
        <w:rPr>
          <w:i/>
        </w:rPr>
        <w:t>Knowledge of Life</w:t>
      </w:r>
      <w:r>
        <w:t>, trans. Stefanos Geroulanos and Daniela Ginsburg (New York: Fordham University Press, 2008), 98–120.</w:t>
      </w:r>
    </w:p>
    <w:p w14:paraId="5603751C" w14:textId="77777777" w:rsidR="00F93551" w:rsidRDefault="00DD7D58">
      <w:pPr>
        <w:pStyle w:val="NoteEntry"/>
      </w:pPr>
      <w:r>
        <w:t xml:space="preserve">5. Canguilhem, </w:t>
      </w:r>
      <w:r>
        <w:rPr>
          <w:i/>
        </w:rPr>
        <w:t>The Normal and the Pathological</w:t>
      </w:r>
      <w:r>
        <w:t xml:space="preserve">, 196–201, 226–29; and Canguilhem, “Machine and Organism,” in </w:t>
      </w:r>
      <w:r>
        <w:rPr>
          <w:i/>
        </w:rPr>
        <w:t>Knowledge of Life</w:t>
      </w:r>
      <w:r>
        <w:t>, 75–97, especially 89–91.</w:t>
      </w:r>
    </w:p>
    <w:p w14:paraId="5DB0A549" w14:textId="77777777" w:rsidR="00F93551" w:rsidRDefault="00DD7D58">
      <w:pPr>
        <w:pStyle w:val="NoteEntry"/>
      </w:pPr>
      <w:r>
        <w:t xml:space="preserve">6. Hans Jonas, </w:t>
      </w:r>
      <w:r>
        <w:rPr>
          <w:i/>
        </w:rPr>
        <w:t>The Phenomenon of Life: Toward a Philosophical Biology</w:t>
      </w:r>
      <w:r>
        <w:t xml:space="preserve"> (Evanston, IL: Northwestern University Press, 2001), 64–92. Jonas’s philosophical interpretation strengthens the claim that organismic existence introduces concern and inwardness, although the manuscript does not infer from this a predetermined purpose of the universe.</w:t>
      </w:r>
    </w:p>
    <w:p w14:paraId="5CC1D3DC" w14:textId="77777777" w:rsidR="00F93551" w:rsidRDefault="00DD7D58">
      <w:pPr>
        <w:pStyle w:val="NoteEntry"/>
      </w:pPr>
      <w:r>
        <w:t xml:space="preserve">7. Maurice Merleau-Ponty, </w:t>
      </w:r>
      <w:r>
        <w:rPr>
          <w:i/>
        </w:rPr>
        <w:t>Phenomenology of Perception</w:t>
      </w:r>
      <w:r>
        <w:t>, trans. Colin Smith, 2nd ed. (London: Routledge, 2002), 94–95, 235–48.</w:t>
      </w:r>
    </w:p>
    <w:p w14:paraId="12E97FCF" w14:textId="77777777" w:rsidR="00F93551" w:rsidRDefault="00DD7D58">
      <w:pPr>
        <w:pStyle w:val="NoteEntry"/>
      </w:pPr>
      <w:r>
        <w:t xml:space="preserve">8. Maurice Merleau-Ponty, </w:t>
      </w:r>
      <w:r>
        <w:rPr>
          <w:i/>
        </w:rPr>
        <w:t>The Visible and the Invisible</w:t>
      </w:r>
      <w:r>
        <w:t xml:space="preserve">, ed. Claude Lefort, trans. Alphonso Lingis (Evanston, IL: Northwestern University Press, 1968), 130–40, quotation at 139; Merleau-Ponty, </w:t>
      </w:r>
      <w:r>
        <w:rPr>
          <w:i/>
        </w:rPr>
        <w:t>Nature: Course Notes from the Collège de France</w:t>
      </w:r>
      <w:r>
        <w:t xml:space="preserve">, comp. and notes Dominique Séglard, trans. Robert Vallier (Evanston, IL: Northwestern University Press, 2003), 167–76; and Ted Toadvine, </w:t>
      </w:r>
      <w:r>
        <w:rPr>
          <w:i/>
        </w:rPr>
        <w:t>Merleau-Ponty’s Philosophy of Nature</w:t>
      </w:r>
      <w:r>
        <w:t xml:space="preserve"> (Evanston, IL: Northwestern University Press, 2009), 1–132.</w:t>
      </w:r>
    </w:p>
    <w:p w14:paraId="22D8D65B" w14:textId="77777777" w:rsidR="00F93551" w:rsidRDefault="00DD7D58">
      <w:pPr>
        <w:pStyle w:val="NoteEntry"/>
      </w:pPr>
      <w:r>
        <w:t xml:space="preserve">9. Vladimir I. Vernadsky, </w:t>
      </w:r>
      <w:r>
        <w:rPr>
          <w:i/>
        </w:rPr>
        <w:t>The Biosphere</w:t>
      </w:r>
      <w:r>
        <w:t xml:space="preserve">, trans. David B. Langmuir, rev. and annotated Mark A. S. McMenamin (New York: Copernicus/Springer, 1998), 39–59; Lynn Margulis, </w:t>
      </w:r>
      <w:r>
        <w:rPr>
          <w:i/>
        </w:rPr>
        <w:t>The Symbiotic Planet: A New Look at Evolution</w:t>
      </w:r>
      <w:r>
        <w:t xml:space="preserve"> (London: Phoenix, 1999), 7–16, 31–64; James E. Lovelock and Lynn Margulis, “Atmospheric Homeostasis by and for the Biosphere: The Gaia Hypothesis,” </w:t>
      </w:r>
      <w:r>
        <w:rPr>
          <w:i/>
        </w:rPr>
        <w:t>Tellus</w:t>
      </w:r>
      <w:r>
        <w:t xml:space="preserve"> 26, nos. 1–2 (1974): 2–10; Tim Lenton and Andrew Watson, </w:t>
      </w:r>
      <w:r>
        <w:rPr>
          <w:i/>
        </w:rPr>
        <w:t>Revolutions That Made the Earth</w:t>
      </w:r>
      <w:r>
        <w:t xml:space="preserve"> (Oxford: Oxford University Press, 2011), 105–26; and W. Ford Doolittle, </w:t>
      </w:r>
      <w:r>
        <w:rPr>
          <w:i/>
        </w:rPr>
        <w:t>Darwinizing Gaia: Natural Selection and Multispecies Community Evolution</w:t>
      </w:r>
      <w:r>
        <w:t xml:space="preserve"> (Cambridge, MA: MIT Press, 2024), 1–16, 127–53.</w:t>
      </w:r>
    </w:p>
    <w:p w14:paraId="73A436B3" w14:textId="77777777" w:rsidR="00F93551" w:rsidRDefault="00DD7D58">
      <w:pPr>
        <w:pStyle w:val="NoteEntry"/>
      </w:pPr>
      <w:r>
        <w:t xml:space="preserve">10. Intergovernmental Panel on Climate Change, </w:t>
      </w:r>
      <w:r>
        <w:rPr>
          <w:i/>
        </w:rPr>
        <w:t>Climate Change 2023: Synthesis Report—Summary for Policymakers</w:t>
      </w:r>
      <w:r>
        <w:t xml:space="preserve"> (Geneva: IPCC, 2023), 4–10, 42–47; and Katherine Richardson et al., “Earth beyond Six of Nine Planetary Boundaries,” </w:t>
      </w:r>
      <w:r>
        <w:rPr>
          <w:i/>
        </w:rPr>
        <w:t>Science Advances</w:t>
      </w:r>
      <w:r>
        <w:t xml:space="preserve"> 9, no. 37 (2023): eadh2458.</w:t>
      </w:r>
    </w:p>
    <w:p w14:paraId="7DD36277" w14:textId="77777777" w:rsidR="00F93551" w:rsidRDefault="00DD7D58">
      <w:pPr>
        <w:pStyle w:val="NoteEntry"/>
      </w:pPr>
      <w:r>
        <w:t xml:space="preserve">11. Hartmut Rosa, </w:t>
      </w:r>
      <w:r>
        <w:rPr>
          <w:i/>
        </w:rPr>
        <w:t>Resonance: A Sociology of Our Relationship to the World</w:t>
      </w:r>
      <w:r>
        <w:t>, trans. James C. Wagner (Cambridge: Polity, 2019), pt. 1, chap. 5, secs. 3–5. The use of “answering” in this conclusion also draws upon the preceding biological and phenomenological arguments and should not be taken to mean that every material process addresses a human subject.</w:t>
      </w:r>
    </w:p>
    <w:p w14:paraId="31756FBC" w14:textId="77777777" w:rsidR="00F93551" w:rsidRDefault="00DD7D58">
      <w:pPr>
        <w:pStyle w:val="NoteEntry"/>
      </w:pPr>
      <w:r>
        <w:t xml:space="preserve">12. Ian Hacking, </w:t>
      </w:r>
      <w:r>
        <w:rPr>
          <w:i/>
        </w:rPr>
        <w:t>The Taming of Chance</w:t>
      </w:r>
      <w:r>
        <w:t xml:space="preserve"> (Cambridge: Cambridge University Press, 1990), 1–10, 27–35; Alain Desrosières, </w:t>
      </w:r>
      <w:r>
        <w:rPr>
          <w:i/>
        </w:rPr>
        <w:t>The Politics of Large Numbers: A History of Statistical Reasoning</w:t>
      </w:r>
      <w:r>
        <w:t xml:space="preserve">, trans. Camille Naish (Cambridge, MA: Harvard University Press, 1998), 1–15, 236–62; Theodore M. Porter, </w:t>
      </w:r>
      <w:r>
        <w:rPr>
          <w:i/>
        </w:rPr>
        <w:t>Trust in Numbers: The Pursuit of Objectivity in Science and Public Life</w:t>
      </w:r>
      <w:r>
        <w:t xml:space="preserve"> (Princeton, NJ: Princeton University Press, 1995), ix–xi, 3–12, 73–86, 193–216; Geoffrey C. Bowker and Susan Leigh Star, </w:t>
      </w:r>
      <w:r>
        <w:rPr>
          <w:i/>
        </w:rPr>
        <w:t>Sorting Things Out: Classification and Its Consequences</w:t>
      </w:r>
      <w:r>
        <w:t xml:space="preserve"> (Cambridge, MA: MIT Press, 1999), 1–32, 51–72; and Norbert Wiener, </w:t>
      </w:r>
      <w:r>
        <w:rPr>
          <w:i/>
        </w:rPr>
        <w:t>Cybernetics; or, Control and Communication in the Animal and the Machine</w:t>
      </w:r>
      <w:r>
        <w:t>, 2nd ed. (Cambridge, MA: MIT Press, 1961), 1–29, 95–115.</w:t>
      </w:r>
    </w:p>
    <w:p w14:paraId="014C468F" w14:textId="77777777" w:rsidR="00F93551" w:rsidRDefault="00DD7D58">
      <w:pPr>
        <w:pStyle w:val="NoteEntry"/>
      </w:pPr>
      <w:r>
        <w:t xml:space="preserve">13. Yuk Hui, </w:t>
      </w:r>
      <w:r>
        <w:rPr>
          <w:i/>
        </w:rPr>
        <w:t>The Question Concerning Technology in China: An Essay in Cosmotechnics</w:t>
      </w:r>
      <w:r>
        <w:t xml:space="preserve"> (Falmouth: Urbanomic, 2016), 18–25, quotation at 19; and Hui, </w:t>
      </w:r>
      <w:r>
        <w:rPr>
          <w:i/>
        </w:rPr>
        <w:t>Art and Cosmotechnics</w:t>
      </w:r>
      <w:r>
        <w:t xml:space="preserve"> (Minneapolis: University of Minnesota Press, 2021), 38–67, 184–287.</w:t>
      </w:r>
    </w:p>
    <w:p w14:paraId="663B8575" w14:textId="77777777" w:rsidR="00F93551" w:rsidRDefault="00DD7D58">
      <w:pPr>
        <w:pStyle w:val="NoteEntry"/>
      </w:pPr>
      <w:r>
        <w:t xml:space="preserve">14. Laura Kurgan, </w:t>
      </w:r>
      <w:r>
        <w:rPr>
          <w:i/>
        </w:rPr>
        <w:t>Close Up at a Distance: Mapping, Technology, and Politics</w:t>
      </w:r>
      <w:r>
        <w:t xml:space="preserve"> (Brooklyn, NY: Zone Books, 2013), 11–35; William Rankin, </w:t>
      </w:r>
      <w:r>
        <w:rPr>
          <w:i/>
        </w:rPr>
        <w:t>After the Map: Cartography, Navigation, and the Transformation of Territory in the Twentieth Century</w:t>
      </w:r>
      <w:r>
        <w:t xml:space="preserve"> (Chicago: University of Chicago Press, 2016), 1–20, 205–300; and Benjamin H. Bratton, </w:t>
      </w:r>
      <w:r>
        <w:rPr>
          <w:i/>
        </w:rPr>
        <w:t>The Stack: On Software and Sovereignty</w:t>
      </w:r>
      <w:r>
        <w:t xml:space="preserve"> (Cambridge, MA: MIT Press, 2015), xvii–xxv, 3–16, 41–74.</w:t>
      </w:r>
    </w:p>
    <w:p w14:paraId="147BCB79" w14:textId="77777777" w:rsidR="00F93551" w:rsidRDefault="00DD7D58">
      <w:pPr>
        <w:pStyle w:val="NoteEntry"/>
      </w:pPr>
      <w:r>
        <w:t xml:space="preserve">15. Safiya Umoja Noble, </w:t>
      </w:r>
      <w:r>
        <w:rPr>
          <w:i/>
        </w:rPr>
        <w:t>Algorithms of Oppression: How Search Engines Reinforce Racism</w:t>
      </w:r>
      <w:r>
        <w:t xml:space="preserve"> (New York: New York University Press, 2018), 1–14, 15–63, 64–109; Virginia Eubanks, </w:t>
      </w:r>
      <w:r>
        <w:rPr>
          <w:i/>
        </w:rPr>
        <w:t>Automating Inequality: How High-Tech Tools Profile, Police, and Punish the Poor</w:t>
      </w:r>
      <w:r>
        <w:t xml:space="preserve"> (New York: St. Martin’s Press, 2018), 1–15, 39–204; Louise Amoore, </w:t>
      </w:r>
      <w:r>
        <w:rPr>
          <w:i/>
        </w:rPr>
        <w:t>Cloud Ethics: Algorithms and the Attributes of Ourselves and Others</w:t>
      </w:r>
      <w:r>
        <w:t xml:space="preserve"> (Durham, NC: Duke University Press, 2020), 1–22, 29–84, 133–72; and Kate Crawford, </w:t>
      </w:r>
      <w:r>
        <w:rPr>
          <w:i/>
        </w:rPr>
        <w:t>Atlas of AI: Power, Politics, and the Planetary Costs of Artificial Intelligence</w:t>
      </w:r>
      <w:r>
        <w:t xml:space="preserve"> (New Haven, CT: Yale University Press, 2021), 1–122.</w:t>
      </w:r>
    </w:p>
    <w:p w14:paraId="6C39AA76" w14:textId="77777777" w:rsidR="00F93551" w:rsidRDefault="00DD7D58">
      <w:pPr>
        <w:pStyle w:val="NoteEntry"/>
      </w:pPr>
      <w:r>
        <w:t xml:space="preserve">16. IPCC, </w:t>
      </w:r>
      <w:r>
        <w:rPr>
          <w:i/>
        </w:rPr>
        <w:t>Climate Change 2023</w:t>
      </w:r>
      <w:r>
        <w:t>, 42–47; Richardson et al., “Earth beyond Six of Nine Planetary Boundaries,” 1–13. The conclusion’s claim is that private transformation cannot substitute for collective arrangements; it does not deny that transformed attention can motivate and sustain them.</w:t>
      </w:r>
    </w:p>
    <w:p w14:paraId="7B4D51F9" w14:textId="77777777" w:rsidR="00F93551" w:rsidRDefault="00DD7D58">
      <w:pPr>
        <w:pStyle w:val="NoteEntry"/>
      </w:pPr>
      <w:r>
        <w:t>17. The distinction between public mediation and existential fullness is the manuscript’s concluding formulation. It preserves the political need for corrigible, shared forms while leaving open whether a fulfilled life may experience symbol, body, or practice as transparent rather than separating.</w:t>
      </w:r>
    </w:p>
    <w:p w14:paraId="604EA6E1" w14:textId="77777777" w:rsidR="00F93551" w:rsidRDefault="00DD7D58">
      <w:pPr>
        <w:pStyle w:val="NoteEntry"/>
      </w:pPr>
      <w:r>
        <w:t xml:space="preserve">18. Thomas P. Hughes, </w:t>
      </w:r>
      <w:r>
        <w:rPr>
          <w:i/>
        </w:rPr>
        <w:t>Networks of Power: Electrification in Western Society, 1880–1930</w:t>
      </w:r>
      <w:r>
        <w:t xml:space="preserve"> (Baltimore: Johns Hopkins University Press, 1993), 1–17, 79–105, 140–74; Gilbert Simondon, </w:t>
      </w:r>
      <w:r>
        <w:rPr>
          <w:i/>
        </w:rPr>
        <w:t>On the Mode of Existence of Technical Objects</w:t>
      </w:r>
      <w:r>
        <w:t xml:space="preserve">, trans. Cécile Malaspina and John Rogove (Minneapolis: Univocal, 2017), 25–83, 129–58; Paul N. Edwards, </w:t>
      </w:r>
      <w:r>
        <w:rPr>
          <w:i/>
        </w:rPr>
        <w:t>A Vast Machine: Computer Models, Climate Data, and the Politics of Global Warming</w:t>
      </w:r>
      <w:r>
        <w:t xml:space="preserve"> (Cambridge, MA: MIT Press, 2010), xiii–xxv, 251–86; Günther Anders, “On Promethean Shame,” in Christopher John Müller, </w:t>
      </w:r>
      <w:r>
        <w:rPr>
          <w:i/>
        </w:rPr>
        <w:t>Prometheanism: Technology, Digital Culture and Human Obsolescence</w:t>
      </w:r>
      <w:r>
        <w:t xml:space="preserve"> (Lanham, MD: Rowman &amp; Littlefield International, 2016), 29–96; and Nick Seaver, </w:t>
      </w:r>
      <w:r>
        <w:rPr>
          <w:i/>
        </w:rPr>
        <w:t>Computing Taste: Algorithms and the Makers of Music Recommendation</w:t>
      </w:r>
      <w:r>
        <w:t xml:space="preserve"> (Chicago: University of Chicago Press, 2022), 1–21, 49–91.</w:t>
      </w:r>
    </w:p>
    <w:p w14:paraId="4464F575" w14:textId="77777777" w:rsidR="00F93551" w:rsidRDefault="00DD7D58">
      <w:pPr>
        <w:pStyle w:val="NoteEntry"/>
      </w:pPr>
      <w:r>
        <w:t xml:space="preserve">19. Shawn Carlson, “A Double-Blind Test of Astrology,” </w:t>
      </w:r>
      <w:r>
        <w:rPr>
          <w:i/>
        </w:rPr>
        <w:t>Nature</w:t>
      </w:r>
      <w:r>
        <w:t xml:space="preserve"> 318 (1985): 419–25; Bertram R. Forer, “The Fallacy of Personal Validation: A Classroom Demonstration of Gullibility,” </w:t>
      </w:r>
      <w:r>
        <w:rPr>
          <w:i/>
        </w:rPr>
        <w:t>Journal of Abnormal and Social Psychology</w:t>
      </w:r>
      <w:r>
        <w:t xml:space="preserve"> 44, no. 1 (1949): 118–23; Peter Hartmann, Martin Reuter, and Helmuth Nyborg, “The Relationship between Date of Birth and Individual Differences in Personality and General Intelligence: A Large-Scale Study,” </w:t>
      </w:r>
      <w:r>
        <w:rPr>
          <w:i/>
        </w:rPr>
        <w:t>Personality and Individual Differences</w:t>
      </w:r>
      <w:r>
        <w:t xml:space="preserve"> 40, no. 7 (2006): 1349–62; and Paul R. Thagard, “Why Astrology Is a Pseudoscience,” in </w:t>
      </w:r>
      <w:r>
        <w:rPr>
          <w:i/>
        </w:rPr>
        <w:t>PSA: Proceedings of the Biennial Meeting of the Philosophy of Science Association</w:t>
      </w:r>
      <w:r>
        <w:t xml:space="preserve"> 1978, vol. 1 (Chicago: University of Chicago Press, 1978), 223–34. For astrology as divinatory and symbolic practice, see Geoffrey Cornelius, </w:t>
      </w:r>
      <w:r>
        <w:rPr>
          <w:i/>
        </w:rPr>
        <w:t>The Moment of Astrology: Origins in Divination</w:t>
      </w:r>
      <w:r>
        <w:t xml:space="preserve"> (London: Arkana, 1994), 63–85, 195–215; Nicholas Campion, </w:t>
      </w:r>
      <w:r>
        <w:rPr>
          <w:i/>
        </w:rPr>
        <w:t>Astrology and Popular Religion in the Modern West: Prophecy, Cosmology and the New Age Movement</w:t>
      </w:r>
      <w:r>
        <w:t xml:space="preserve"> (Farnham: Ashgate, 2012), 1–28; and Richard Tarnas, </w:t>
      </w:r>
      <w:r>
        <w:rPr>
          <w:i/>
        </w:rPr>
        <w:t>Cosmos and Psyche: Intimations of a New World View</w:t>
      </w:r>
      <w:r>
        <w:t xml:space="preserve"> (New York: Viking, 2006), 50–79, 126–37.</w:t>
      </w:r>
    </w:p>
    <w:p w14:paraId="70295CAC" w14:textId="77777777" w:rsidR="00F93551" w:rsidRDefault="00DD7D58">
      <w:pPr>
        <w:pStyle w:val="NoteEntry"/>
      </w:pPr>
      <w:r>
        <w:t>20. The claim that contingency need not make significance arbitrary is an inference of the manuscript’s genealogy, not a claim quoted from one source. It depends upon the differentiated objects and practices examined across astronomy, historical criticism, anthropology, psychology, biology, phenomenology, Earth system science, statistics, and technical systems.</w:t>
      </w:r>
    </w:p>
    <w:p w14:paraId="7DD52426" w14:textId="77777777" w:rsidR="00F93551" w:rsidRDefault="00DD7D58">
      <w:pPr>
        <w:pStyle w:val="MajorHeading"/>
      </w:pPr>
      <w:bookmarkStart w:id="34" w:name="toc_bibliography"/>
      <w:r>
        <w:t>Bibliography</w:t>
      </w:r>
      <w:bookmarkEnd w:id="34"/>
    </w:p>
    <w:p w14:paraId="74D8B4C5" w14:textId="77777777" w:rsidR="00F93551" w:rsidRDefault="00DD7D58">
      <w:pPr>
        <w:pStyle w:val="BibliographyEntry"/>
      </w:pPr>
      <w:r>
        <w:t xml:space="preserve">Abū Maʿshar. </w:t>
      </w:r>
      <w:r>
        <w:rPr>
          <w:i/>
        </w:rPr>
        <w:t>The Great Introduction to Astrology</w:t>
      </w:r>
      <w:r>
        <w:t>. Edited and translated by Keiji Yamamoto and Charles Burnett, 2 vols. Leiden: Brill, 2019.</w:t>
      </w:r>
    </w:p>
    <w:p w14:paraId="389BEA38" w14:textId="77777777" w:rsidR="00F93551" w:rsidRDefault="00DD7D58">
      <w:pPr>
        <w:pStyle w:val="BibliographyEntry"/>
      </w:pPr>
      <w:r>
        <w:t xml:space="preserve">Adamson, Peter. </w:t>
      </w:r>
      <w:r>
        <w:rPr>
          <w:i/>
        </w:rPr>
        <w:t>Philosophy in the Islamic World: A History of Philosophy without Any Gaps</w:t>
      </w:r>
      <w:r>
        <w:t>. Vol. 3. Oxford: Oxford University Press, 2016.</w:t>
      </w:r>
    </w:p>
    <w:p w14:paraId="50753B89" w14:textId="77777777" w:rsidR="00F93551" w:rsidRDefault="00DD7D58">
      <w:pPr>
        <w:pStyle w:val="BibliographyEntry"/>
      </w:pPr>
      <w:r>
        <w:t xml:space="preserve">Agricola, Georgius. </w:t>
      </w:r>
      <w:r>
        <w:rPr>
          <w:i/>
        </w:rPr>
        <w:t>De Re Metallica</w:t>
      </w:r>
      <w:r>
        <w:t>. Translated by Herbert Clark Hoover and Lou Henry Hoover. New York: Dover, 1950.</w:t>
      </w:r>
    </w:p>
    <w:p w14:paraId="3C79E4C4" w14:textId="77777777" w:rsidR="00F93551" w:rsidRDefault="00DD7D58">
      <w:pPr>
        <w:pStyle w:val="BibliographyEntry"/>
      </w:pPr>
      <w:r>
        <w:t xml:space="preserve">Aho, James A. </w:t>
      </w:r>
      <w:r>
        <w:rPr>
          <w:i/>
        </w:rPr>
        <w:t>Confession and Bookkeeping: The Religious, Moral, and Rhetorical Roots of Modern Accounting</w:t>
      </w:r>
      <w:r>
        <w:t>. Albany: State University of New York Press, 2005.</w:t>
      </w:r>
    </w:p>
    <w:p w14:paraId="2B49FF8F" w14:textId="77777777" w:rsidR="00F93551" w:rsidRDefault="00DD7D58">
      <w:pPr>
        <w:pStyle w:val="BibliographyEntry"/>
      </w:pPr>
      <w:r>
        <w:t xml:space="preserve">Akopyan, Ovanes. </w:t>
      </w:r>
      <w:r>
        <w:rPr>
          <w:i/>
        </w:rPr>
        <w:t>Debating the Stars in the Italian Renaissance: Giovanni Pico della Mirandola's Disputationes adversus astrologiam divinatricem and Its Reception</w:t>
      </w:r>
      <w:r>
        <w:t>. Leiden: Brill, 2021.</w:t>
      </w:r>
    </w:p>
    <w:p w14:paraId="50DDC7F2" w14:textId="77777777" w:rsidR="00F93551" w:rsidRDefault="00DD7D58">
      <w:pPr>
        <w:pStyle w:val="BibliographyEntry"/>
      </w:pPr>
      <w:r>
        <w:t xml:space="preserve">Al-Bīrūnī. </w:t>
      </w:r>
      <w:r>
        <w:rPr>
          <w:i/>
        </w:rPr>
        <w:t>The Book of Instruction in the Elements of the Art of Astrology</w:t>
      </w:r>
      <w:r>
        <w:t>. Translated by R. Ramsay Wright. London: Luzac, 1934.</w:t>
      </w:r>
    </w:p>
    <w:p w14:paraId="674C7530" w14:textId="77777777" w:rsidR="00F93551" w:rsidRDefault="00DD7D58">
      <w:pPr>
        <w:pStyle w:val="BibliographyEntry"/>
      </w:pPr>
      <w:r>
        <w:t xml:space="preserve">al-Ṭūsī, Naṣīr al-Dīn. </w:t>
      </w:r>
      <w:r>
        <w:rPr>
          <w:i/>
        </w:rPr>
        <w:t>Memoir on Astronomy (al-Tadhkira fī ʿilm al-hayʾa)</w:t>
      </w:r>
      <w:r>
        <w:t>. Translated by F. Jamil Ragep, 2 vols. New York: Springer, 1993.</w:t>
      </w:r>
    </w:p>
    <w:p w14:paraId="7B38B050" w14:textId="77777777" w:rsidR="00F93551" w:rsidRDefault="00DD7D58">
      <w:pPr>
        <w:pStyle w:val="BibliographyEntry"/>
      </w:pPr>
      <w:r>
        <w:t xml:space="preserve">Alder, Ken. </w:t>
      </w:r>
      <w:r>
        <w:rPr>
          <w:i/>
        </w:rPr>
        <w:t>The Measure of All Things: The Seven-Year Odyssey and Hidden Error That Transformed the World</w:t>
      </w:r>
      <w:r>
        <w:t>. New York: Free Press, 2002.</w:t>
      </w:r>
    </w:p>
    <w:p w14:paraId="48D0F342" w14:textId="77777777" w:rsidR="00F93551" w:rsidRDefault="00DD7D58">
      <w:pPr>
        <w:pStyle w:val="BibliographyEntry"/>
      </w:pPr>
      <w:r>
        <w:t xml:space="preserve">Alexander, Peter. </w:t>
      </w:r>
      <w:r>
        <w:rPr>
          <w:i/>
        </w:rPr>
        <w:t>Ideas, Qualities and Corpuscles: Locke and Boyle on the External World</w:t>
      </w:r>
      <w:r>
        <w:t>. Cambridge: Cambridge University Press, 1985.</w:t>
      </w:r>
    </w:p>
    <w:p w14:paraId="1311111B" w14:textId="77777777" w:rsidR="00F93551" w:rsidRDefault="00DD7D58">
      <w:pPr>
        <w:pStyle w:val="BibliographyEntry"/>
      </w:pPr>
      <w:r>
        <w:t xml:space="preserve">Alighieri, Dante. </w:t>
      </w:r>
      <w:r>
        <w:rPr>
          <w:i/>
        </w:rPr>
        <w:t>The Divine Comedy</w:t>
      </w:r>
      <w:r>
        <w:t xml:space="preserve">. Vol. 3, </w:t>
      </w:r>
      <w:r>
        <w:rPr>
          <w:i/>
        </w:rPr>
        <w:t>Paradiso</w:t>
      </w:r>
      <w:r>
        <w:t>. Translated with commentary by Charles S. Singleton. Princeton: Princeton University Press, 1975.</w:t>
      </w:r>
    </w:p>
    <w:p w14:paraId="10CA0264" w14:textId="77777777" w:rsidR="00F93551" w:rsidRDefault="00DD7D58">
      <w:pPr>
        <w:pStyle w:val="BibliographyEntry"/>
      </w:pPr>
      <w:r>
        <w:t xml:space="preserve">Allison, Henry E. </w:t>
      </w:r>
      <w:r>
        <w:rPr>
          <w:i/>
        </w:rPr>
        <w:t>Kant's Transcendental Idealism: An Interpretation and Defense</w:t>
      </w:r>
      <w:r>
        <w:t>. Rev. ed. New Haven: Yale University Press, 2004.</w:t>
      </w:r>
    </w:p>
    <w:p w14:paraId="30CA780B" w14:textId="77777777" w:rsidR="00F93551" w:rsidRDefault="00DD7D58">
      <w:pPr>
        <w:pStyle w:val="BibliographyEntry"/>
      </w:pPr>
      <w:r>
        <w:t xml:space="preserve">Amoore, Louise. </w:t>
      </w:r>
      <w:r>
        <w:rPr>
          <w:i/>
        </w:rPr>
        <w:t>Cloud Ethics: Algorithms and the Attributes of Ourselves and Others</w:t>
      </w:r>
      <w:r>
        <w:t>. Durham, NC: Duke University Press, 2020.</w:t>
      </w:r>
    </w:p>
    <w:p w14:paraId="626BFCEF" w14:textId="77777777" w:rsidR="00F93551" w:rsidRDefault="00DD7D58">
      <w:pPr>
        <w:pStyle w:val="BibliographyEntry"/>
      </w:pPr>
      <w:r>
        <w:t xml:space="preserve">Anders, Günther. “On Promethean Shame.” In Christopher John Müller, </w:t>
      </w:r>
      <w:r>
        <w:rPr>
          <w:i/>
        </w:rPr>
        <w:t>Prometheanism: Technology, Digital Culture and Human Obsolescence</w:t>
      </w:r>
      <w:r>
        <w:t>, 29–96. Lanham, MD: Rowman &amp; Littlefield International, 2016.</w:t>
      </w:r>
    </w:p>
    <w:p w14:paraId="63D34CD7" w14:textId="77777777" w:rsidR="00F93551" w:rsidRDefault="00DD7D58">
      <w:pPr>
        <w:pStyle w:val="BibliographyEntry"/>
      </w:pPr>
      <w:r>
        <w:t xml:space="preserve">Andrewes, William J. H., ed. </w:t>
      </w:r>
      <w:r>
        <w:rPr>
          <w:i/>
        </w:rPr>
        <w:t>The Quest for Longitude</w:t>
      </w:r>
      <w:r>
        <w:t>. Cambridge, MA: Collection of Historical Scientific Instruments, Harvard University, 1996.</w:t>
      </w:r>
    </w:p>
    <w:p w14:paraId="3C37C326" w14:textId="77777777" w:rsidR="00F93551" w:rsidRDefault="00DD7D58">
      <w:pPr>
        <w:pStyle w:val="BibliographyEntry"/>
      </w:pPr>
      <w:r>
        <w:t xml:space="preserve">Anstey, Peter R. </w:t>
      </w:r>
      <w:r>
        <w:rPr>
          <w:i/>
        </w:rPr>
        <w:t>John Locke and Natural Philosophy</w:t>
      </w:r>
      <w:r>
        <w:t>. Oxford: Oxford University Press, 2011.</w:t>
      </w:r>
    </w:p>
    <w:p w14:paraId="424669FD" w14:textId="77777777" w:rsidR="00F93551" w:rsidRDefault="00DD7D58">
      <w:pPr>
        <w:pStyle w:val="BibliographyEntry"/>
      </w:pPr>
      <w:r>
        <w:t xml:space="preserve">Anstey, Peter R. </w:t>
      </w:r>
      <w:r>
        <w:rPr>
          <w:i/>
        </w:rPr>
        <w:t>The Philosophy of Robert Boyle</w:t>
      </w:r>
      <w:r>
        <w:t>. London: Routledge, 2000.</w:t>
      </w:r>
    </w:p>
    <w:p w14:paraId="225CD8F1" w14:textId="77777777" w:rsidR="00F93551" w:rsidRDefault="00DD7D58">
      <w:pPr>
        <w:pStyle w:val="BibliographyEntry"/>
      </w:pPr>
      <w:r>
        <w:t xml:space="preserve">Aristotle. </w:t>
      </w:r>
      <w:r>
        <w:rPr>
          <w:i/>
        </w:rPr>
        <w:t>Physics</w:t>
      </w:r>
      <w:r>
        <w:t xml:space="preserve">. In </w:t>
      </w:r>
      <w:r>
        <w:rPr>
          <w:i/>
        </w:rPr>
        <w:t>The Complete Works of Aristotle: The Revised Oxford Translation</w:t>
      </w:r>
      <w:r>
        <w:t>. Edited by Jonathan Barnes, vol. 1. Princeton, NJ: Princeton University Press, 1984.</w:t>
      </w:r>
    </w:p>
    <w:p w14:paraId="5EFB5AB5" w14:textId="77777777" w:rsidR="00F93551" w:rsidRDefault="00DD7D58">
      <w:pPr>
        <w:pStyle w:val="BibliographyEntry"/>
      </w:pPr>
      <w:r>
        <w:t xml:space="preserve">Assmann, Jan. </w:t>
      </w:r>
      <w:r>
        <w:rPr>
          <w:i/>
        </w:rPr>
        <w:t>The Mind of Egypt: History and Meaning in the Time of the Pharaohs</w:t>
      </w:r>
      <w:r>
        <w:t>. Translated by Andrew Jenkins. New York: Metropolitan Books, 2002.</w:t>
      </w:r>
    </w:p>
    <w:p w14:paraId="6BD3C4B1" w14:textId="77777777" w:rsidR="00F93551" w:rsidRDefault="00DD7D58">
      <w:pPr>
        <w:pStyle w:val="BibliographyEntry"/>
      </w:pPr>
      <w:r>
        <w:t xml:space="preserve">Assmann, Jan. </w:t>
      </w:r>
      <w:r>
        <w:rPr>
          <w:i/>
        </w:rPr>
        <w:t>The Search for God in Ancient Egypt</w:t>
      </w:r>
      <w:r>
        <w:t>. Translated by David Lorton. Ithaca, NY: Cornell University Press, 2001.</w:t>
      </w:r>
    </w:p>
    <w:p w14:paraId="362DAC91" w14:textId="77777777" w:rsidR="00F93551" w:rsidRDefault="00DD7D58">
      <w:pPr>
        <w:pStyle w:val="BibliographyEntry"/>
      </w:pPr>
      <w:r>
        <w:t xml:space="preserve">Avicenna. </w:t>
      </w:r>
      <w:r>
        <w:rPr>
          <w:i/>
        </w:rPr>
        <w:t>The Metaphysics of The Healing</w:t>
      </w:r>
      <w:r>
        <w:t>. Translated by Michael E. Marmura. Provo, UT: Brigham Young University Press, 2005.</w:t>
      </w:r>
    </w:p>
    <w:p w14:paraId="114210AB" w14:textId="77777777" w:rsidR="00F93551" w:rsidRDefault="00DD7D58">
      <w:pPr>
        <w:pStyle w:val="BibliographyEntry"/>
      </w:pPr>
      <w:r>
        <w:t xml:space="preserve">Ayers, Michael. </w:t>
      </w:r>
      <w:r>
        <w:rPr>
          <w:i/>
        </w:rPr>
        <w:t>Locke: Epistemology and Ontology</w:t>
      </w:r>
      <w:r>
        <w:t>. 2 vols. London: Routledge, 1991.</w:t>
      </w:r>
    </w:p>
    <w:p w14:paraId="2E86295E" w14:textId="77777777" w:rsidR="00F93551" w:rsidRDefault="00DD7D58">
      <w:pPr>
        <w:pStyle w:val="BibliographyEntry"/>
      </w:pPr>
      <w:r>
        <w:t xml:space="preserve">Bacon, Francis. </w:t>
      </w:r>
      <w:r>
        <w:rPr>
          <w:i/>
        </w:rPr>
        <w:t>Instauratio Magna</w:t>
      </w:r>
      <w:r>
        <w:t>. London: John Bill, 1620.</w:t>
      </w:r>
    </w:p>
    <w:p w14:paraId="6BEDCC4B" w14:textId="77777777" w:rsidR="00F93551" w:rsidRDefault="00DD7D58">
      <w:pPr>
        <w:pStyle w:val="BibliographyEntry"/>
      </w:pPr>
      <w:r>
        <w:t xml:space="preserve">Bacon, Francis. “The Great Instauration.” In </w:t>
      </w:r>
      <w:r>
        <w:rPr>
          <w:i/>
        </w:rPr>
        <w:t>New Atlantis and The Great Instauration</w:t>
      </w:r>
      <w:r>
        <w:t>. Edited by Jerry Weinberger. Rev. ed., 13–34. Wheeling, IL: Harlan Davidson, 1989.</w:t>
      </w:r>
    </w:p>
    <w:p w14:paraId="1CC34E96" w14:textId="77777777" w:rsidR="00F93551" w:rsidRDefault="00DD7D58">
      <w:pPr>
        <w:pStyle w:val="BibliographyEntry"/>
      </w:pPr>
      <w:r>
        <w:t xml:space="preserve">Bacon, Francis. </w:t>
      </w:r>
      <w:r>
        <w:rPr>
          <w:i/>
        </w:rPr>
        <w:t>The New Organon</w:t>
      </w:r>
      <w:r>
        <w:t>. Edited by Lisa Jardine and Michael Silverthorne. Cambridge: Cambridge University Press, 2000.</w:t>
      </w:r>
    </w:p>
    <w:p w14:paraId="0BAA955B" w14:textId="77777777" w:rsidR="00F93551" w:rsidRDefault="00DD7D58">
      <w:pPr>
        <w:pStyle w:val="BibliographyEntry"/>
      </w:pPr>
      <w:r>
        <w:t xml:space="preserve">Ballentine, Debra Scoggins. </w:t>
      </w:r>
      <w:r>
        <w:rPr>
          <w:i/>
        </w:rPr>
        <w:t>The Conflict Myth and the Biblical Tradition</w:t>
      </w:r>
      <w:r>
        <w:t>. New York: Oxford University Press, 2015.</w:t>
      </w:r>
    </w:p>
    <w:p w14:paraId="2A3074C3" w14:textId="77777777" w:rsidR="00F93551" w:rsidRDefault="00DD7D58">
      <w:pPr>
        <w:pStyle w:val="BibliographyEntry"/>
      </w:pPr>
      <w:r>
        <w:t xml:space="preserve">Barton, Tamysn. </w:t>
      </w:r>
      <w:r>
        <w:rPr>
          <w:i/>
        </w:rPr>
        <w:t>Ancient Astrology</w:t>
      </w:r>
      <w:r>
        <w:t>. London and New York: Routledge, 1994.</w:t>
      </w:r>
    </w:p>
    <w:p w14:paraId="1FFC393B" w14:textId="77777777" w:rsidR="00F93551" w:rsidRDefault="00DD7D58">
      <w:pPr>
        <w:pStyle w:val="BibliographyEntry"/>
      </w:pPr>
      <w:r>
        <w:t xml:space="preserve">Bell, Catherine. </w:t>
      </w:r>
      <w:r>
        <w:rPr>
          <w:i/>
        </w:rPr>
        <w:t>Ritual Theory, Ritual Practice</w:t>
      </w:r>
      <w:r>
        <w:t>. New York: Oxford University Press, 1992.</w:t>
      </w:r>
    </w:p>
    <w:p w14:paraId="2A2C3E7D" w14:textId="77777777" w:rsidR="00F93551" w:rsidRDefault="00DD7D58">
      <w:pPr>
        <w:pStyle w:val="BibliographyEntry"/>
      </w:pPr>
      <w:r>
        <w:t xml:space="preserve">Belmonte, Juan Antonio, and José Lull, eds. </w:t>
      </w:r>
      <w:r>
        <w:rPr>
          <w:i/>
        </w:rPr>
        <w:t>Astronomy of Ancient Egypt: A Cultural Perspective</w:t>
      </w:r>
      <w:r>
        <w:t>. Cham: Springer, 2023.</w:t>
      </w:r>
    </w:p>
    <w:p w14:paraId="7E6601C5" w14:textId="77777777" w:rsidR="00F93551" w:rsidRDefault="00DD7D58">
      <w:pPr>
        <w:pStyle w:val="BibliographyEntry"/>
      </w:pPr>
      <w:r>
        <w:t xml:space="preserve">Biagioli, Mario. </w:t>
      </w:r>
      <w:r>
        <w:rPr>
          <w:i/>
        </w:rPr>
        <w:t>Galileo’s Instruments of Credit: Telescopes, Images, Secrecy</w:t>
      </w:r>
      <w:r>
        <w:t>. Chicago: University of Chicago Press, 2006.</w:t>
      </w:r>
    </w:p>
    <w:p w14:paraId="2A5EE3E5" w14:textId="77777777" w:rsidR="00F93551" w:rsidRDefault="00DD7D58">
      <w:pPr>
        <w:pStyle w:val="BibliographyEntry"/>
      </w:pPr>
      <w:r>
        <w:t xml:space="preserve">Bleichmar, Daniela. </w:t>
      </w:r>
      <w:r>
        <w:rPr>
          <w:i/>
        </w:rPr>
        <w:t>Visible Empire: Botanical Expeditions and Visual Culture in the Hispanic Enlightenment</w:t>
      </w:r>
      <w:r>
        <w:t>. Chicago: University of Chicago Press, 2012.</w:t>
      </w:r>
    </w:p>
    <w:p w14:paraId="15598F73" w14:textId="77777777" w:rsidR="00F93551" w:rsidRDefault="00DD7D58">
      <w:pPr>
        <w:pStyle w:val="BibliographyEntry"/>
      </w:pPr>
      <w:r>
        <w:t xml:space="preserve">Blumenberg, Hans. </w:t>
      </w:r>
      <w:r>
        <w:rPr>
          <w:i/>
        </w:rPr>
        <w:t>The Genesis of the Copernican World</w:t>
      </w:r>
      <w:r>
        <w:t>. Translated by Robert M. Wallace. Cambridge, MA: MIT Press, 1987.</w:t>
      </w:r>
    </w:p>
    <w:p w14:paraId="27E0FEA7" w14:textId="77777777" w:rsidR="00F93551" w:rsidRDefault="00DD7D58">
      <w:pPr>
        <w:pStyle w:val="BibliographyEntry"/>
      </w:pPr>
      <w:r>
        <w:t xml:space="preserve">Blumenberg, Hans. </w:t>
      </w:r>
      <w:r>
        <w:rPr>
          <w:i/>
        </w:rPr>
        <w:t>The Legitimacy of the Modern Age</w:t>
      </w:r>
      <w:r>
        <w:t>. Translated by Robert M. Wallace. Cambridge, MA: MIT Press, 1983.</w:t>
      </w:r>
    </w:p>
    <w:p w14:paraId="7D961844" w14:textId="77777777" w:rsidR="00F93551" w:rsidRDefault="00DD7D58">
      <w:pPr>
        <w:pStyle w:val="BibliographyEntry"/>
      </w:pPr>
      <w:r>
        <w:t xml:space="preserve">Böhme, Jakob. </w:t>
      </w:r>
      <w:r>
        <w:rPr>
          <w:i/>
        </w:rPr>
        <w:t>The Signature of All Things</w:t>
      </w:r>
      <w:r>
        <w:t>. Santa Cruz, CA: Evinity Publishing, 2008.</w:t>
      </w:r>
    </w:p>
    <w:p w14:paraId="022DF379" w14:textId="77777777" w:rsidR="00F93551" w:rsidRDefault="00DD7D58">
      <w:pPr>
        <w:pStyle w:val="BibliographyEntry"/>
      </w:pPr>
      <w:r>
        <w:t xml:space="preserve">Boner, Patrick J. </w:t>
      </w:r>
      <w:r>
        <w:rPr>
          <w:i/>
        </w:rPr>
        <w:t>Kepler’s Cosmological Synthesis: Astrology, Mechanism and the Soul</w:t>
      </w:r>
      <w:r>
        <w:t>. Leiden: Brill, 2013.</w:t>
      </w:r>
    </w:p>
    <w:p w14:paraId="37E22BB8" w14:textId="77777777" w:rsidR="00F93551" w:rsidRDefault="00DD7D58">
      <w:pPr>
        <w:pStyle w:val="BibliographyEntry"/>
      </w:pPr>
      <w:r>
        <w:t xml:space="preserve">Bourke, Joanna. </w:t>
      </w:r>
      <w:r>
        <w:rPr>
          <w:i/>
        </w:rPr>
        <w:t>The Story of Pain: From Prayer to Painkillers</w:t>
      </w:r>
      <w:r>
        <w:t>. Oxford: Oxford University Press, 2014.</w:t>
      </w:r>
    </w:p>
    <w:p w14:paraId="7AB4059D" w14:textId="77777777" w:rsidR="00F93551" w:rsidRDefault="00DD7D58">
      <w:pPr>
        <w:pStyle w:val="BibliographyEntry"/>
      </w:pPr>
      <w:r>
        <w:t xml:space="preserve">Bowker, Geoffrey C., and Susan Leigh Star. </w:t>
      </w:r>
      <w:r>
        <w:rPr>
          <w:i/>
        </w:rPr>
        <w:t>Sorting Things Out: Classification and Its Consequences</w:t>
      </w:r>
      <w:r>
        <w:t>. Cambridge, MA: MIT Press, 1999.</w:t>
      </w:r>
    </w:p>
    <w:p w14:paraId="67484BB9" w14:textId="77777777" w:rsidR="00F93551" w:rsidRDefault="00DD7D58">
      <w:pPr>
        <w:pStyle w:val="BibliographyEntry"/>
      </w:pPr>
      <w:r>
        <w:t xml:space="preserve">Boyle, Deborah. </w:t>
      </w:r>
      <w:r>
        <w:rPr>
          <w:i/>
        </w:rPr>
        <w:t>The Well-Ordered Universe: The Philosophy of Margaret Cavendish</w:t>
      </w:r>
      <w:r>
        <w:t>. New York: Oxford University Press, 2018.</w:t>
      </w:r>
    </w:p>
    <w:p w14:paraId="5B8DE36E" w14:textId="77777777" w:rsidR="00F93551" w:rsidRDefault="00DD7D58">
      <w:pPr>
        <w:pStyle w:val="BibliographyEntry"/>
      </w:pPr>
      <w:r>
        <w:t xml:space="preserve">Boyle, Robert. </w:t>
      </w:r>
      <w:r>
        <w:rPr>
          <w:i/>
        </w:rPr>
        <w:t>A Continuation of New Experiments Physico-Mechanical, Touching the Spring and Weight of the Air</w:t>
      </w:r>
      <w:r>
        <w:t>. Oxford, 1669.</w:t>
      </w:r>
    </w:p>
    <w:p w14:paraId="6D5ACA06" w14:textId="77777777" w:rsidR="00F93551" w:rsidRDefault="00DD7D58">
      <w:pPr>
        <w:pStyle w:val="BibliographyEntry"/>
      </w:pPr>
      <w:r>
        <w:t xml:space="preserve">Boyle, Robert. </w:t>
      </w:r>
      <w:r>
        <w:rPr>
          <w:i/>
        </w:rPr>
        <w:t>A Free Enquiry into the Vulgarly Received Notion of Nature</w:t>
      </w:r>
      <w:r>
        <w:t xml:space="preserve">. In </w:t>
      </w:r>
      <w:r>
        <w:rPr>
          <w:i/>
        </w:rPr>
        <w:t>The Works of Robert Boyle</w:t>
      </w:r>
      <w:r>
        <w:t>. Edited by Michael Hunter and Edward B. Davis, vol. 10. London: Pickering &amp; Chatto, 2000.</w:t>
      </w:r>
    </w:p>
    <w:p w14:paraId="4F054AEE" w14:textId="77777777" w:rsidR="00F93551" w:rsidRDefault="00DD7D58">
      <w:pPr>
        <w:pStyle w:val="BibliographyEntry"/>
      </w:pPr>
      <w:r>
        <w:t xml:space="preserve">Boyle, Robert. </w:t>
      </w:r>
      <w:r>
        <w:rPr>
          <w:i/>
        </w:rPr>
        <w:t>New Experiments Physico-Mechanical, Touching the Spring of the Air</w:t>
      </w:r>
      <w:r>
        <w:t>. Oxford, 1660.</w:t>
      </w:r>
    </w:p>
    <w:p w14:paraId="191864F4" w14:textId="77777777" w:rsidR="00F93551" w:rsidRDefault="00DD7D58">
      <w:pPr>
        <w:pStyle w:val="BibliographyEntry"/>
      </w:pPr>
      <w:r>
        <w:t xml:space="preserve">Boyle, Robert. </w:t>
      </w:r>
      <w:r>
        <w:rPr>
          <w:i/>
        </w:rPr>
        <w:t>The Origin of Forms and Qualities according to the Corpuscular Philosophy</w:t>
      </w:r>
      <w:r>
        <w:t xml:space="preserve">. In </w:t>
      </w:r>
      <w:r>
        <w:rPr>
          <w:i/>
        </w:rPr>
        <w:t>The Works of Robert Boyle</w:t>
      </w:r>
      <w:r>
        <w:t>. Edited by Michael Hunter and Edward B. Davis, vol. 5. London: Pickering &amp; Chatto, 1999–2000.</w:t>
      </w:r>
    </w:p>
    <w:p w14:paraId="57E5ABF9" w14:textId="77777777" w:rsidR="00F93551" w:rsidRDefault="00DD7D58">
      <w:pPr>
        <w:pStyle w:val="BibliographyEntry"/>
      </w:pPr>
      <w:r>
        <w:t xml:space="preserve">Bradshaw, Paul F., and Maxwell E. Johnson. </w:t>
      </w:r>
      <w:r>
        <w:rPr>
          <w:i/>
        </w:rPr>
        <w:t>The Origins of Feasts, Fasts and Seasons in Early Christianity</w:t>
      </w:r>
      <w:r>
        <w:t>. London: SPCK; Collegeville, MN: Liturgical Press, 2011.</w:t>
      </w:r>
    </w:p>
    <w:p w14:paraId="2103464D" w14:textId="77777777" w:rsidR="00F93551" w:rsidRDefault="00DD7D58">
      <w:pPr>
        <w:pStyle w:val="BibliographyEntry"/>
      </w:pPr>
      <w:r>
        <w:t xml:space="preserve">Brady, Bernadette. </w:t>
      </w:r>
      <w:r>
        <w:rPr>
          <w:i/>
        </w:rPr>
        <w:t>Astrology: A Place in Chaos</w:t>
      </w:r>
      <w:r>
        <w:t>. Bournemouth: Wessex Astrologer, 2006.</w:t>
      </w:r>
    </w:p>
    <w:p w14:paraId="15ACBF75" w14:textId="77777777" w:rsidR="00F93551" w:rsidRDefault="00DD7D58">
      <w:pPr>
        <w:pStyle w:val="BibliographyEntry"/>
      </w:pPr>
      <w:r>
        <w:t xml:space="preserve">Brague, Rémi. </w:t>
      </w:r>
      <w:r>
        <w:rPr>
          <w:i/>
        </w:rPr>
        <w:t>The Wisdom of the World: The Human Experience of the Universe in Western Thought</w:t>
      </w:r>
      <w:r>
        <w:t>. Translated by Teresa Lavender Fagan. Chicago: University of Chicago Press, 2004.</w:t>
      </w:r>
    </w:p>
    <w:p w14:paraId="1F39A9EC" w14:textId="77777777" w:rsidR="00F93551" w:rsidRDefault="00DD7D58">
      <w:pPr>
        <w:pStyle w:val="BibliographyEntry"/>
      </w:pPr>
      <w:r>
        <w:t xml:space="preserve">Bratton, Benjamin H. </w:t>
      </w:r>
      <w:r>
        <w:rPr>
          <w:i/>
        </w:rPr>
        <w:t>The Stack: On Software and Sovereignty</w:t>
      </w:r>
      <w:r>
        <w:t>. Cambridge, MA: MIT Press, 2015.</w:t>
      </w:r>
    </w:p>
    <w:p w14:paraId="023881FA" w14:textId="77777777" w:rsidR="00F93551" w:rsidRDefault="00DD7D58">
      <w:pPr>
        <w:pStyle w:val="BibliographyEntry"/>
      </w:pPr>
      <w:r>
        <w:t xml:space="preserve">Brentari, Carlo. </w:t>
      </w:r>
      <w:r>
        <w:rPr>
          <w:i/>
        </w:rPr>
        <w:t>Jakob von Uexküll: The Discovery of the Umwelt between Biosemiotics and Theoretical Biology</w:t>
      </w:r>
      <w:r>
        <w:t>. Dordrecht: Springer, 2015.</w:t>
      </w:r>
    </w:p>
    <w:p w14:paraId="4CDF12FC" w14:textId="77777777" w:rsidR="00F93551" w:rsidRDefault="00DD7D58">
      <w:pPr>
        <w:pStyle w:val="BibliographyEntry"/>
      </w:pPr>
      <w:r>
        <w:t xml:space="preserve">Brotton, Jerry. </w:t>
      </w:r>
      <w:r>
        <w:rPr>
          <w:i/>
        </w:rPr>
        <w:t>Trading Territories: Mapping the Early Modern World</w:t>
      </w:r>
      <w:r>
        <w:t>. Ithaca, NY: Cornell University Press, 1998.</w:t>
      </w:r>
    </w:p>
    <w:p w14:paraId="24E82C1C" w14:textId="77777777" w:rsidR="00F93551" w:rsidRDefault="00DD7D58">
      <w:pPr>
        <w:pStyle w:val="BibliographyEntry"/>
      </w:pPr>
      <w:r>
        <w:t xml:space="preserve">Brueggemann, Walter. </w:t>
      </w:r>
      <w:r>
        <w:rPr>
          <w:i/>
        </w:rPr>
        <w:t>Genesis</w:t>
      </w:r>
      <w:r>
        <w:t>. Interpretation. Atlanta: John Knox Press, 1982.</w:t>
      </w:r>
    </w:p>
    <w:p w14:paraId="79F1017D" w14:textId="77777777" w:rsidR="00F93551" w:rsidRDefault="00DD7D58">
      <w:pPr>
        <w:pStyle w:val="BibliographyEntry"/>
      </w:pPr>
      <w:r>
        <w:t xml:space="preserve">Bruno, Giordano. </w:t>
      </w:r>
      <w:r>
        <w:rPr>
          <w:i/>
        </w:rPr>
        <w:t>Cause, Principle and Unity and Essays on Magic</w:t>
      </w:r>
      <w:r>
        <w:t>. Edited and translated by Robert de Lucca and Richard J. Blackwell. Cambridge: Cambridge University Press, 1998.</w:t>
      </w:r>
    </w:p>
    <w:p w14:paraId="2DD31804" w14:textId="77777777" w:rsidR="00F93551" w:rsidRDefault="00DD7D58">
      <w:pPr>
        <w:pStyle w:val="BibliographyEntry"/>
      </w:pPr>
      <w:r>
        <w:t xml:space="preserve">Bruno, Giordano. </w:t>
      </w:r>
      <w:r>
        <w:rPr>
          <w:i/>
        </w:rPr>
        <w:t>On the Infinite, the Universe and the Worlds</w:t>
      </w:r>
      <w:r>
        <w:t>. Translated by Scott Gosnell. USA: Huginn, Munnin &amp; Co., 2014.</w:t>
      </w:r>
    </w:p>
    <w:p w14:paraId="164D11D2" w14:textId="77777777" w:rsidR="00F93551" w:rsidRDefault="00DD7D58">
      <w:pPr>
        <w:pStyle w:val="BibliographyEntry"/>
      </w:pPr>
      <w:r>
        <w:t xml:space="preserve">Buchanan, Brett. </w:t>
      </w:r>
      <w:r>
        <w:rPr>
          <w:i/>
        </w:rPr>
        <w:t>Onto-Ethologies: The Animal Environments of Uexküll, Heidegger, Merleau-Ponty, and Deleuze</w:t>
      </w:r>
      <w:r>
        <w:t>. Albany: State University of New York Press, 2008.</w:t>
      </w:r>
    </w:p>
    <w:p w14:paraId="25B159E4" w14:textId="77777777" w:rsidR="00F93551" w:rsidRDefault="00DD7D58">
      <w:pPr>
        <w:pStyle w:val="BibliographyEntry"/>
      </w:pPr>
      <w:r>
        <w:t xml:space="preserve">Burnett, Charles. </w:t>
      </w:r>
      <w:r>
        <w:rPr>
          <w:i/>
        </w:rPr>
        <w:t>Arabic into Latin in the Middle Ages: The Translators and Their Intellectual and Social Context</w:t>
      </w:r>
      <w:r>
        <w:t>. Farnham: Ashgate, 2009.</w:t>
      </w:r>
    </w:p>
    <w:p w14:paraId="1FD246F0" w14:textId="77777777" w:rsidR="00F93551" w:rsidRDefault="00DD7D58">
      <w:pPr>
        <w:pStyle w:val="BibliographyEntry"/>
      </w:pPr>
      <w:r>
        <w:t xml:space="preserve">Buttimer, Anne. “Beyond Humboldtian Science and Goethe's Way of Science.” </w:t>
      </w:r>
      <w:r>
        <w:rPr>
          <w:i/>
        </w:rPr>
        <w:t>Erdkunde</w:t>
      </w:r>
      <w:r>
        <w:t xml:space="preserve"> 55, no. 2 (2001): 105–20.</w:t>
      </w:r>
    </w:p>
    <w:p w14:paraId="60F8271F" w14:textId="77777777" w:rsidR="00F93551" w:rsidRDefault="00DD7D58">
      <w:pPr>
        <w:pStyle w:val="BibliographyEntry"/>
      </w:pPr>
      <w:r>
        <w:t xml:space="preserve">Bynum, Caroline Walker. </w:t>
      </w:r>
      <w:r>
        <w:rPr>
          <w:i/>
        </w:rPr>
        <w:t>Christian Materiality: An Essay on Religion in Late Medieval Europe</w:t>
      </w:r>
      <w:r>
        <w:t>. New York: Zone Books, 2011.</w:t>
      </w:r>
    </w:p>
    <w:p w14:paraId="2B01CA79" w14:textId="77777777" w:rsidR="00F93551" w:rsidRDefault="00DD7D58">
      <w:pPr>
        <w:pStyle w:val="BibliographyEntry"/>
      </w:pPr>
      <w:r>
        <w:t xml:space="preserve">Campion, Nicholas. </w:t>
      </w:r>
      <w:r>
        <w:rPr>
          <w:i/>
        </w:rPr>
        <w:t>A History of Western Astrology</w:t>
      </w:r>
      <w:r>
        <w:t xml:space="preserve">. Vol. 2, </w:t>
      </w:r>
      <w:r>
        <w:rPr>
          <w:i/>
        </w:rPr>
        <w:t>The Medieval and Modern Worlds</w:t>
      </w:r>
      <w:r>
        <w:t>. London: Continuum, 2009.</w:t>
      </w:r>
    </w:p>
    <w:p w14:paraId="7EC1413F" w14:textId="77777777" w:rsidR="00F93551" w:rsidRDefault="00DD7D58">
      <w:pPr>
        <w:pStyle w:val="BibliographyEntry"/>
      </w:pPr>
      <w:r>
        <w:t xml:space="preserve">Campion, Nicholas. </w:t>
      </w:r>
      <w:r>
        <w:rPr>
          <w:i/>
        </w:rPr>
        <w:t>Astrology and Popular Religion in the Modern West: Prophecy, Cosmology and the New Age Movement</w:t>
      </w:r>
      <w:r>
        <w:t>. Farnham, UK: Ashgate, 2012; repr., Abingdon: Routledge, 2016.</w:t>
      </w:r>
    </w:p>
    <w:p w14:paraId="56F0FE0E" w14:textId="77777777" w:rsidR="00F93551" w:rsidRDefault="00DD7D58">
      <w:pPr>
        <w:pStyle w:val="BibliographyEntry"/>
      </w:pPr>
      <w:r>
        <w:t xml:space="preserve">Canguilhem, Georges. </w:t>
      </w:r>
      <w:r>
        <w:rPr>
          <w:i/>
        </w:rPr>
        <w:t>Knowledge of Life</w:t>
      </w:r>
      <w:r>
        <w:t>. Edited by Paola Marrati and Todd Meyers. Translated by Stefanos Geroulanos and Daniela Ginsburg. New York: Fordham University Press, 2008.</w:t>
      </w:r>
    </w:p>
    <w:p w14:paraId="764F35C6" w14:textId="77777777" w:rsidR="00F93551" w:rsidRDefault="00DD7D58">
      <w:pPr>
        <w:pStyle w:val="BibliographyEntry"/>
      </w:pPr>
      <w:r>
        <w:t xml:space="preserve">Canguilhem, Georges. “Machine and Organism.” In </w:t>
      </w:r>
      <w:r>
        <w:rPr>
          <w:i/>
        </w:rPr>
        <w:t>Knowledge of Life</w:t>
      </w:r>
      <w:r>
        <w:t>. Translated by Stefanos Geroulanos and Daniela Ginsburg, 75–97. New York: Fordham University Press, 2008.</w:t>
      </w:r>
    </w:p>
    <w:p w14:paraId="57CEF333" w14:textId="77777777" w:rsidR="00F93551" w:rsidRDefault="00DD7D58">
      <w:pPr>
        <w:pStyle w:val="BibliographyEntry"/>
      </w:pPr>
      <w:r>
        <w:t xml:space="preserve">Canguilhem, Georges. </w:t>
      </w:r>
      <w:r>
        <w:rPr>
          <w:i/>
        </w:rPr>
        <w:t>The Normal and the Pathological</w:t>
      </w:r>
      <w:r>
        <w:t>. Translated by Carolyn R. Fawcett in collaboration with Robert S. Cohen. New York: Zone Books, 1991.</w:t>
      </w:r>
    </w:p>
    <w:p w14:paraId="3954D88C" w14:textId="77777777" w:rsidR="00F93551" w:rsidRDefault="00DD7D58">
      <w:pPr>
        <w:pStyle w:val="BibliographyEntry"/>
      </w:pPr>
      <w:r>
        <w:t xml:space="preserve">Cannon, Susan Faye. </w:t>
      </w:r>
      <w:r>
        <w:rPr>
          <w:i/>
        </w:rPr>
        <w:t>Science in Culture: The Early Victorian Period</w:t>
      </w:r>
      <w:r>
        <w:t>. New York: Science History Publications, 1978.</w:t>
      </w:r>
    </w:p>
    <w:p w14:paraId="070457B7" w14:textId="77777777" w:rsidR="00F93551" w:rsidRDefault="00DD7D58">
      <w:pPr>
        <w:pStyle w:val="BibliographyEntry"/>
      </w:pPr>
      <w:r>
        <w:t xml:space="preserve">Carlson, Shawn. “A Double-Blind Test of Astrology.” </w:t>
      </w:r>
      <w:r>
        <w:rPr>
          <w:i/>
        </w:rPr>
        <w:t>Nature</w:t>
      </w:r>
      <w:r>
        <w:t xml:space="preserve"> 318 (December 5, 1985): 419–25, https://doi.org/10.1038/318419a0.</w:t>
      </w:r>
    </w:p>
    <w:p w14:paraId="4CA5CDB0" w14:textId="77777777" w:rsidR="00F93551" w:rsidRDefault="00DD7D58">
      <w:pPr>
        <w:pStyle w:val="BibliographyEntry"/>
      </w:pPr>
      <w:r>
        <w:t xml:space="preserve">Cassirer, Ernst. </w:t>
      </w:r>
      <w:r>
        <w:rPr>
          <w:i/>
        </w:rPr>
        <w:t>The Philosophy of Symbolic Forms</w:t>
      </w:r>
      <w:r>
        <w:t xml:space="preserve">. Vol. 2, </w:t>
      </w:r>
      <w:r>
        <w:rPr>
          <w:i/>
        </w:rPr>
        <w:t>Mythical Thought</w:t>
      </w:r>
      <w:r>
        <w:t>. Translated by Ralph Manheim. New Haven: Yale University Press, 1955.</w:t>
      </w:r>
    </w:p>
    <w:p w14:paraId="0FD0BA59" w14:textId="77777777" w:rsidR="00F93551" w:rsidRDefault="00DD7D58">
      <w:pPr>
        <w:pStyle w:val="BibliographyEntry"/>
      </w:pPr>
      <w:r>
        <w:t xml:space="preserve">Cavendish, Margaret. </w:t>
      </w:r>
      <w:r>
        <w:rPr>
          <w:i/>
        </w:rPr>
        <w:t>Observations upon Experimental Philosophy</w:t>
      </w:r>
      <w:r>
        <w:t>. Edited by Eileen O’Neill. Cambridge: Cambridge University Press, 2001.</w:t>
      </w:r>
    </w:p>
    <w:p w14:paraId="5589A0E7" w14:textId="77777777" w:rsidR="00F93551" w:rsidRDefault="00DD7D58">
      <w:pPr>
        <w:pStyle w:val="BibliographyEntry"/>
      </w:pPr>
      <w:r>
        <w:t xml:space="preserve">Cavendish, Margaret. </w:t>
      </w:r>
      <w:r>
        <w:rPr>
          <w:i/>
        </w:rPr>
        <w:t>The Description of a New World, Called The Blazing World</w:t>
      </w:r>
      <w:r>
        <w:t xml:space="preserve">. In </w:t>
      </w:r>
      <w:r>
        <w:rPr>
          <w:i/>
        </w:rPr>
        <w:t>The Blazing World and Other Writings</w:t>
      </w:r>
      <w:r>
        <w:t>. Edited by Kate Lilley. London: Penguin, 1992.</w:t>
      </w:r>
    </w:p>
    <w:p w14:paraId="1BEE9D14" w14:textId="77777777" w:rsidR="00F93551" w:rsidRDefault="00DD7D58">
      <w:pPr>
        <w:pStyle w:val="BibliographyEntry"/>
      </w:pPr>
      <w:r>
        <w:t xml:space="preserve">Chakrabarty, Dipesh. </w:t>
      </w:r>
      <w:r>
        <w:rPr>
          <w:i/>
        </w:rPr>
        <w:t>The Climate of History in a Planetary Age</w:t>
      </w:r>
      <w:r>
        <w:t>. Chicago: University of Chicago Press, 2021.</w:t>
      </w:r>
    </w:p>
    <w:p w14:paraId="2C0CD5F8" w14:textId="77777777" w:rsidR="00F93551" w:rsidRDefault="00DD7D58">
      <w:pPr>
        <w:pStyle w:val="BibliographyEntry"/>
      </w:pPr>
      <w:r>
        <w:t xml:space="preserve">Conway, Anne. </w:t>
      </w:r>
      <w:r>
        <w:rPr>
          <w:i/>
        </w:rPr>
        <w:t>The Principles of the Most Ancient and Modern Philosophy</w:t>
      </w:r>
      <w:r>
        <w:t>. Edited and translated by Allison P. Coudert and Taylor Corse. Cambridge: Cambridge University Press, 1996.</w:t>
      </w:r>
    </w:p>
    <w:p w14:paraId="03794C6F" w14:textId="77777777" w:rsidR="00F93551" w:rsidRDefault="00DD7D58">
      <w:pPr>
        <w:pStyle w:val="BibliographyEntry"/>
      </w:pPr>
      <w:r>
        <w:t xml:space="preserve">Coogan, Michael D., and Mark S. Smith, eds. and trans. </w:t>
      </w:r>
      <w:r>
        <w:rPr>
          <w:i/>
        </w:rPr>
        <w:t>Stories from Ancient Canaan</w:t>
      </w:r>
      <w:r>
        <w:t>. 2nd ed. Louisville, KY: Westminster John Knox Press, 2012.</w:t>
      </w:r>
    </w:p>
    <w:p w14:paraId="5F7600C9" w14:textId="77777777" w:rsidR="00F93551" w:rsidRDefault="00DD7D58">
      <w:pPr>
        <w:pStyle w:val="BibliographyEntry"/>
      </w:pPr>
      <w:r>
        <w:t xml:space="preserve">Copenhaver, Brian P., ed. and trans. </w:t>
      </w:r>
      <w:r>
        <w:rPr>
          <w:i/>
        </w:rPr>
        <w:t>Hermetica: The Greek Corpus Hermeticum and the Latin Asclepius in a New English Translation, with Notes and Introduction</w:t>
      </w:r>
      <w:r>
        <w:t>. Cambridge: Cambridge University Press, 1992.</w:t>
      </w:r>
    </w:p>
    <w:p w14:paraId="4D08FD47" w14:textId="77777777" w:rsidR="00F93551" w:rsidRDefault="00DD7D58">
      <w:pPr>
        <w:pStyle w:val="BibliographyEntry"/>
      </w:pPr>
      <w:r>
        <w:t xml:space="preserve">Copenhaver, Brian P. </w:t>
      </w:r>
      <w:r>
        <w:rPr>
          <w:i/>
        </w:rPr>
        <w:t>Magic in Western Culture: From Antiquity to the Enlightenment</w:t>
      </w:r>
      <w:r>
        <w:t>. Cambridge: Cambridge University Press, 2015.</w:t>
      </w:r>
    </w:p>
    <w:p w14:paraId="6CE979F6" w14:textId="77777777" w:rsidR="00F93551" w:rsidRDefault="00DD7D58">
      <w:pPr>
        <w:pStyle w:val="BibliographyEntry"/>
      </w:pPr>
      <w:r>
        <w:t xml:space="preserve">Copernicus, Nicolaus. </w:t>
      </w:r>
      <w:r>
        <w:rPr>
          <w:i/>
        </w:rPr>
        <w:t>De revolutionibus orbium coelestium</w:t>
      </w:r>
      <w:r>
        <w:t>. Nuremberg: Johannes Petreius, 1543.</w:t>
      </w:r>
    </w:p>
    <w:p w14:paraId="53F8C528" w14:textId="77777777" w:rsidR="00F93551" w:rsidRDefault="00DD7D58">
      <w:pPr>
        <w:pStyle w:val="BibliographyEntry"/>
      </w:pPr>
      <w:r>
        <w:t xml:space="preserve">Copernicus, Nicolaus. </w:t>
      </w:r>
      <w:r>
        <w:rPr>
          <w:i/>
        </w:rPr>
        <w:t>On the Revolutions of the Heavenly Spheres</w:t>
      </w:r>
      <w:r>
        <w:t>. Vancouver: Pythagoras Publishing, 2012.</w:t>
      </w:r>
    </w:p>
    <w:p w14:paraId="09B073DD" w14:textId="77777777" w:rsidR="00F93551" w:rsidRDefault="00DD7D58">
      <w:pPr>
        <w:pStyle w:val="BibliographyEntry"/>
      </w:pPr>
      <w:r>
        <w:t xml:space="preserve">Cornelius, Geoffrey. </w:t>
      </w:r>
      <w:r>
        <w:rPr>
          <w:i/>
        </w:rPr>
        <w:t>The Moment of Astrology: Origins in Divination</w:t>
      </w:r>
      <w:r>
        <w:t>. London: Arkana, 1994.</w:t>
      </w:r>
    </w:p>
    <w:p w14:paraId="5159A114" w14:textId="77777777" w:rsidR="00F93551" w:rsidRDefault="00DD7D58">
      <w:pPr>
        <w:pStyle w:val="BibliographyEntry"/>
      </w:pPr>
      <w:r>
        <w:t xml:space="preserve">Crawford, Kate. </w:t>
      </w:r>
      <w:r>
        <w:rPr>
          <w:i/>
        </w:rPr>
        <w:t>Atlas of AI: Power, Politics, and the Planetary Costs of Artificial Intelligence</w:t>
      </w:r>
      <w:r>
        <w:t>. New Haven, CT: Yale University Press, 2021.</w:t>
      </w:r>
    </w:p>
    <w:p w14:paraId="76855427" w14:textId="77777777" w:rsidR="00F93551" w:rsidRDefault="00DD7D58">
      <w:pPr>
        <w:pStyle w:val="BibliographyEntry"/>
      </w:pPr>
      <w:r>
        <w:t xml:space="preserve">Crosby, Alfred W. </w:t>
      </w:r>
      <w:r>
        <w:rPr>
          <w:i/>
        </w:rPr>
        <w:t>The Measure of Reality: Quantification and Western Society, 1250–1600</w:t>
      </w:r>
      <w:r>
        <w:t>. Cambridge: Cambridge University Press, 1997.</w:t>
      </w:r>
    </w:p>
    <w:p w14:paraId="73FA5ED7" w14:textId="77777777" w:rsidR="00F93551" w:rsidRDefault="00DD7D58">
      <w:pPr>
        <w:pStyle w:val="BibliographyEntry"/>
      </w:pPr>
      <w:r>
        <w:t xml:space="preserve">Culianu, Ioan P. </w:t>
      </w:r>
      <w:r>
        <w:rPr>
          <w:i/>
        </w:rPr>
        <w:t>Eros and Magic in the Renaissance</w:t>
      </w:r>
      <w:r>
        <w:t>. Translated by Margaret Cook. Chicago: University of Chicago Press, 1987.</w:t>
      </w:r>
    </w:p>
    <w:p w14:paraId="671555EA" w14:textId="77777777" w:rsidR="00F93551" w:rsidRDefault="00DD7D58">
      <w:pPr>
        <w:pStyle w:val="BibliographyEntry"/>
      </w:pPr>
      <w:r>
        <w:t xml:space="preserve">Curd, Patricia, ed. </w:t>
      </w:r>
      <w:r>
        <w:rPr>
          <w:i/>
        </w:rPr>
        <w:t>A Presocratics Reader: Selected Fragments and Testimonia</w:t>
      </w:r>
      <w:r>
        <w:t>. 2nd ed. Translated by Richard D. McKirahan Jr. Indianapolis: Hackett, 2011.</w:t>
      </w:r>
    </w:p>
    <w:p w14:paraId="388DDCEE" w14:textId="77777777" w:rsidR="00F93551" w:rsidRDefault="00DD7D58">
      <w:pPr>
        <w:pStyle w:val="BibliographyEntry"/>
      </w:pPr>
      <w:r>
        <w:t xml:space="preserve">Dalley, Stephanie, trans. </w:t>
      </w:r>
      <w:r>
        <w:rPr>
          <w:i/>
        </w:rPr>
        <w:t>Myths from Mesopotamia: Creation, the Flood, Gilgamesh, and Others</w:t>
      </w:r>
      <w:r>
        <w:t>. Rev. ed. Oxford: Oxford University Press, 2000.</w:t>
      </w:r>
    </w:p>
    <w:p w14:paraId="35617805" w14:textId="77777777" w:rsidR="00F93551" w:rsidRDefault="00DD7D58">
      <w:pPr>
        <w:pStyle w:val="BibliographyEntry"/>
      </w:pPr>
      <w:r>
        <w:t xml:space="preserve">Darwin, Charles. </w:t>
      </w:r>
      <w:r>
        <w:rPr>
          <w:i/>
        </w:rPr>
        <w:t>On the Origin of Species by Means of Natural Selection</w:t>
      </w:r>
      <w:r>
        <w:t>. London: John Murray, 1859.</w:t>
      </w:r>
    </w:p>
    <w:p w14:paraId="77461E52" w14:textId="77777777" w:rsidR="00F93551" w:rsidRDefault="00DD7D58">
      <w:pPr>
        <w:pStyle w:val="BibliographyEntry"/>
      </w:pPr>
      <w:r>
        <w:t xml:space="preserve">Daston, Lorraine, and Peter Galison. </w:t>
      </w:r>
      <w:r>
        <w:rPr>
          <w:i/>
        </w:rPr>
        <w:t>Objectivity</w:t>
      </w:r>
      <w:r>
        <w:t>. New York: Zone Books, 2007.</w:t>
      </w:r>
    </w:p>
    <w:p w14:paraId="58062D11" w14:textId="77777777" w:rsidR="00F93551" w:rsidRDefault="00DD7D58">
      <w:pPr>
        <w:pStyle w:val="BibliographyEntry"/>
      </w:pPr>
      <w:r>
        <w:t xml:space="preserve">Daum, Andreas W. </w:t>
      </w:r>
      <w:r>
        <w:rPr>
          <w:i/>
        </w:rPr>
        <w:t>Alexander von Humboldt: A Concise Biography</w:t>
      </w:r>
      <w:r>
        <w:t>. Translated by Robert Savage. Princeton: Princeton University Press, 2024.</w:t>
      </w:r>
    </w:p>
    <w:p w14:paraId="7FFBD9FC" w14:textId="77777777" w:rsidR="00F93551" w:rsidRDefault="00DD7D58">
      <w:pPr>
        <w:pStyle w:val="BibliographyEntry"/>
      </w:pPr>
      <w:r>
        <w:t xml:space="preserve">Davies, Surekha. </w:t>
      </w:r>
      <w:r>
        <w:rPr>
          <w:i/>
        </w:rPr>
        <w:t>Renaissance Ethnography and the Invention of the Human: New Worlds, Maps and Monsters</w:t>
      </w:r>
      <w:r>
        <w:t>. Cambridge: Cambridge University Press, 2016.</w:t>
      </w:r>
    </w:p>
    <w:p w14:paraId="7BE69F90" w14:textId="77777777" w:rsidR="00F93551" w:rsidRDefault="00DD7D58">
      <w:pPr>
        <w:pStyle w:val="BibliographyEntry"/>
      </w:pPr>
      <w:r>
        <w:t xml:space="preserve">Davis, Natalie Zemon. </w:t>
      </w:r>
      <w:r>
        <w:rPr>
          <w:i/>
        </w:rPr>
        <w:t>Women on the Margins: Three Seventeenth-Century Lives</w:t>
      </w:r>
      <w:r>
        <w:t>. Cambridge, MA: Harvard University Press, 1995.</w:t>
      </w:r>
    </w:p>
    <w:p w14:paraId="598463CD" w14:textId="77777777" w:rsidR="00F93551" w:rsidRDefault="00DD7D58">
      <w:pPr>
        <w:pStyle w:val="BibliographyEntry"/>
      </w:pPr>
      <w:r>
        <w:t xml:space="preserve">Dear, Peter. </w:t>
      </w:r>
      <w:r>
        <w:rPr>
          <w:i/>
        </w:rPr>
        <w:t>Discipline and Experience: The Mathematical Way in the Scientific Revolution</w:t>
      </w:r>
      <w:r>
        <w:t>. Chicago: University of Chicago Press, 1995.</w:t>
      </w:r>
    </w:p>
    <w:p w14:paraId="46F59F7E" w14:textId="77777777" w:rsidR="00F93551" w:rsidRDefault="00DD7D58">
      <w:pPr>
        <w:pStyle w:val="BibliographyEntry"/>
      </w:pPr>
      <w:r>
        <w:t xml:space="preserve">Des Chene, Dennis. </w:t>
      </w:r>
      <w:r>
        <w:rPr>
          <w:i/>
        </w:rPr>
        <w:t>Spirits and Clocks: Machine and Organism in Descartes</w:t>
      </w:r>
      <w:r>
        <w:t>. Ithaca, NY: Cornell University Press, 2001.</w:t>
      </w:r>
    </w:p>
    <w:p w14:paraId="57F46D74" w14:textId="77777777" w:rsidR="00F93551" w:rsidRDefault="00DD7D58">
      <w:pPr>
        <w:pStyle w:val="BibliographyEntry"/>
      </w:pPr>
      <w:r>
        <w:t xml:space="preserve">Descartes, René. </w:t>
      </w:r>
      <w:r>
        <w:rPr>
          <w:i/>
        </w:rPr>
        <w:t>Discourse on Method</w:t>
      </w:r>
      <w:r>
        <w:t xml:space="preserve">. In </w:t>
      </w:r>
      <w:r>
        <w:rPr>
          <w:i/>
        </w:rPr>
        <w:t>The Philosophical Writings of Descartes</w:t>
      </w:r>
      <w:r>
        <w:t>. Translated by John Cottingham, Robert Stoothoff, and Dugald Murdoch, vol. 1. Cambridge: Cambridge University Press, 1985.</w:t>
      </w:r>
    </w:p>
    <w:p w14:paraId="5717DC52" w14:textId="77777777" w:rsidR="00F93551" w:rsidRDefault="00DD7D58">
      <w:pPr>
        <w:pStyle w:val="BibliographyEntry"/>
      </w:pPr>
      <w:r>
        <w:t xml:space="preserve">Descartes, René. </w:t>
      </w:r>
      <w:r>
        <w:rPr>
          <w:i/>
        </w:rPr>
        <w:t>Principles of Philosophy</w:t>
      </w:r>
      <w:r>
        <w:t>. Translated by Valentine Rodger Miller and Reese P. Miller. Dordrecht: D. Reidel, 1982.</w:t>
      </w:r>
    </w:p>
    <w:p w14:paraId="496C262E" w14:textId="77777777" w:rsidR="00F93551" w:rsidRDefault="00DD7D58">
      <w:pPr>
        <w:pStyle w:val="BibliographyEntry"/>
      </w:pPr>
      <w:r>
        <w:t xml:space="preserve">Descartes, René. “The World.” In </w:t>
      </w:r>
      <w:r>
        <w:rPr>
          <w:i/>
        </w:rPr>
        <w:t>The World and Other Writings</w:t>
      </w:r>
      <w:r>
        <w:t>. Edited and translated by Stephen Gaukroger, 17–36. Cambridge: Cambridge University Press, 1998.</w:t>
      </w:r>
    </w:p>
    <w:p w14:paraId="55019E3B" w14:textId="77777777" w:rsidR="00F93551" w:rsidRDefault="00DD7D58">
      <w:pPr>
        <w:pStyle w:val="BibliographyEntry"/>
      </w:pPr>
      <w:r>
        <w:t xml:space="preserve">Descola, Philippe. </w:t>
      </w:r>
      <w:r>
        <w:rPr>
          <w:i/>
        </w:rPr>
        <w:t>Beyond Nature and Culture</w:t>
      </w:r>
      <w:r>
        <w:t>. Translated by Janet Lloyd. Chicago: University of Chicago Press, 2013.</w:t>
      </w:r>
    </w:p>
    <w:p w14:paraId="3A203060" w14:textId="77777777" w:rsidR="00F93551" w:rsidRDefault="00DD7D58">
      <w:pPr>
        <w:pStyle w:val="BibliographyEntry"/>
      </w:pPr>
      <w:r>
        <w:t xml:space="preserve">Desrosières, Alain. </w:t>
      </w:r>
      <w:r>
        <w:rPr>
          <w:i/>
        </w:rPr>
        <w:t>The Politics of Large Numbers: A History of Statistical Reasoning</w:t>
      </w:r>
      <w:r>
        <w:t>. Translated by Camille Naish. Cambridge, MA: Harvard University Press, 1998.</w:t>
      </w:r>
    </w:p>
    <w:p w14:paraId="7FEC9EC6" w14:textId="77777777" w:rsidR="00F93551" w:rsidRDefault="00DD7D58">
      <w:pPr>
        <w:pStyle w:val="BibliographyEntry"/>
      </w:pPr>
      <w:r>
        <w:t xml:space="preserve">Dix, Gregory, ed. and trans. </w:t>
      </w:r>
      <w:r>
        <w:rPr>
          <w:i/>
        </w:rPr>
        <w:t>The Treatise on the Apostolic Tradition of St Hippolytus of Rome</w:t>
      </w:r>
      <w:r>
        <w:t>. London: SPCK, 1937.</w:t>
      </w:r>
    </w:p>
    <w:p w14:paraId="33941235" w14:textId="77777777" w:rsidR="00F93551" w:rsidRDefault="00DD7D58">
      <w:pPr>
        <w:pStyle w:val="BibliographyEntry"/>
      </w:pPr>
      <w:r>
        <w:t xml:space="preserve">Dobbs, Betty Jo Teeter. </w:t>
      </w:r>
      <w:r>
        <w:rPr>
          <w:i/>
        </w:rPr>
        <w:t>The Foundations of Newton’s Alchemy; or, “The Hunting of the Greene Lyon”</w:t>
      </w:r>
      <w:r>
        <w:t>. Cambridge: Cambridge University Press, 1975.</w:t>
      </w:r>
    </w:p>
    <w:p w14:paraId="528B53E5" w14:textId="77777777" w:rsidR="00F93551" w:rsidRDefault="00DD7D58">
      <w:pPr>
        <w:pStyle w:val="BibliographyEntry"/>
      </w:pPr>
      <w:r>
        <w:t xml:space="preserve">Doolittle, W. Ford. </w:t>
      </w:r>
      <w:r>
        <w:rPr>
          <w:i/>
        </w:rPr>
        <w:t>Darwinizing Gaia: Natural Selection and Multispecies Community Evolution</w:t>
      </w:r>
      <w:r>
        <w:t>. Cambridge, MA: MIT Press, 2024.</w:t>
      </w:r>
    </w:p>
    <w:p w14:paraId="461E4D76" w14:textId="77777777" w:rsidR="00F93551" w:rsidRDefault="00DD7D58">
      <w:pPr>
        <w:pStyle w:val="BibliographyEntry"/>
      </w:pPr>
      <w:r>
        <w:t xml:space="preserve">Duffy, Eamon. </w:t>
      </w:r>
      <w:r>
        <w:rPr>
          <w:i/>
        </w:rPr>
        <w:t>The Stripping of the Altars: Traditional Religion in England, c. 1400–c. 1580</w:t>
      </w:r>
      <w:r>
        <w:t>. 2nd ed. New Haven: Yale University Press, 2005.</w:t>
      </w:r>
    </w:p>
    <w:p w14:paraId="138E7678" w14:textId="77777777" w:rsidR="00F93551" w:rsidRDefault="00DD7D58">
      <w:pPr>
        <w:pStyle w:val="BibliographyEntry"/>
      </w:pPr>
      <w:r>
        <w:t xml:space="preserve">Durandus, William. </w:t>
      </w:r>
      <w:r>
        <w:rPr>
          <w:i/>
        </w:rPr>
        <w:t>The Symbolism of Churches and Church Ornaments: A Translation of the First Book of the Rationale Divinorum Officiorum</w:t>
      </w:r>
      <w:r>
        <w:t>. Translated by John Mason Neale and Benjamin Webb. Leeds: T. W. Green, 1843.</w:t>
      </w:r>
    </w:p>
    <w:p w14:paraId="5B63A1D3" w14:textId="77777777" w:rsidR="00F93551" w:rsidRDefault="00DD7D58">
      <w:pPr>
        <w:pStyle w:val="BibliographyEntry"/>
      </w:pPr>
      <w:r>
        <w:t xml:space="preserve">Edwards, Paul N. </w:t>
      </w:r>
      <w:r>
        <w:rPr>
          <w:i/>
        </w:rPr>
        <w:t>A Vast Machine: Computer Models, Climate Data, and the Politics of Global Warming</w:t>
      </w:r>
      <w:r>
        <w:t>. Cambridge, MA: MIT Press, 2010.</w:t>
      </w:r>
    </w:p>
    <w:p w14:paraId="1843F964" w14:textId="77777777" w:rsidR="00F93551" w:rsidRDefault="00DD7D58">
      <w:pPr>
        <w:pStyle w:val="BibliographyEntry"/>
      </w:pPr>
      <w:r>
        <w:t xml:space="preserve">Eire, Carlos M. N. </w:t>
      </w:r>
      <w:r>
        <w:rPr>
          <w:i/>
        </w:rPr>
        <w:t>War Against the Idols: The Reformation of Worship from Erasmus to Calvin</w:t>
      </w:r>
      <w:r>
        <w:t>. Cambridge: Cambridge University Press, 1986.</w:t>
      </w:r>
    </w:p>
    <w:p w14:paraId="02C32DB9" w14:textId="77777777" w:rsidR="00F93551" w:rsidRDefault="00DD7D58">
      <w:pPr>
        <w:pStyle w:val="BibliographyEntry"/>
      </w:pPr>
      <w:r>
        <w:t xml:space="preserve">Eliade, Mircea. </w:t>
      </w:r>
      <w:r>
        <w:rPr>
          <w:i/>
        </w:rPr>
        <w:t>The Sacred and the Profane: The Nature of Religion</w:t>
      </w:r>
      <w:r>
        <w:t>. Translated by Willard R. Trask. New York: Harcourt, Brace, 1959.</w:t>
      </w:r>
    </w:p>
    <w:p w14:paraId="14BDD51F" w14:textId="77777777" w:rsidR="00F93551" w:rsidRDefault="00DD7D58">
      <w:pPr>
        <w:pStyle w:val="BibliographyEntry"/>
      </w:pPr>
      <w:r>
        <w:t xml:space="preserve">Ellenberger, Henri F. </w:t>
      </w:r>
      <w:r>
        <w:rPr>
          <w:i/>
        </w:rPr>
        <w:t>The Discovery of the Unconscious: The History and Evolution of Dynamic Psychiatry</w:t>
      </w:r>
      <w:r>
        <w:t>. New York: Basic Books, 1970.</w:t>
      </w:r>
    </w:p>
    <w:p w14:paraId="51A5C19B" w14:textId="77777777" w:rsidR="00F93551" w:rsidRDefault="00DD7D58">
      <w:pPr>
        <w:pStyle w:val="BibliographyEntry"/>
      </w:pPr>
      <w:r>
        <w:t xml:space="preserve">Etheridge, Kay. </w:t>
      </w:r>
      <w:r>
        <w:rPr>
          <w:i/>
        </w:rPr>
        <w:t>The Flowering of Ecology: Maria Sibylla Merian’s Caterpillar Book</w:t>
      </w:r>
      <w:r>
        <w:t>. Leiden: Brill, 2021.</w:t>
      </w:r>
    </w:p>
    <w:p w14:paraId="5F0142C1" w14:textId="77777777" w:rsidR="00F93551" w:rsidRDefault="00DD7D58">
      <w:pPr>
        <w:pStyle w:val="BibliographyEntry"/>
      </w:pPr>
      <w:r>
        <w:t xml:space="preserve">Eubanks, Virginia. </w:t>
      </w:r>
      <w:r>
        <w:rPr>
          <w:i/>
        </w:rPr>
        <w:t>Automating Inequality: How High-Tech Tools Profile, Police, and Punish the Poor</w:t>
      </w:r>
      <w:r>
        <w:t>. New York: St. Martin’s Press, 2018.</w:t>
      </w:r>
    </w:p>
    <w:p w14:paraId="4E6AD216" w14:textId="77777777" w:rsidR="00F93551" w:rsidRDefault="00DD7D58">
      <w:pPr>
        <w:pStyle w:val="BibliographyEntry"/>
      </w:pPr>
      <w:r>
        <w:t xml:space="preserve">Evans, James. </w:t>
      </w:r>
      <w:r>
        <w:rPr>
          <w:i/>
        </w:rPr>
        <w:t>The History and Practice of Ancient Astronomy</w:t>
      </w:r>
      <w:r>
        <w:t>. New York: Oxford University Press, 1998.</w:t>
      </w:r>
    </w:p>
    <w:p w14:paraId="730A6603" w14:textId="77777777" w:rsidR="00F93551" w:rsidRDefault="00DD7D58">
      <w:pPr>
        <w:pStyle w:val="BibliographyEntry"/>
      </w:pPr>
      <w:r>
        <w:t xml:space="preserve">Fassler, Margot E. </w:t>
      </w:r>
      <w:r>
        <w:rPr>
          <w:i/>
        </w:rPr>
        <w:t>The Virgin of Chartres: Making History through Liturgy and the Arts</w:t>
      </w:r>
      <w:r>
        <w:t>. New Haven: Yale University Press, 2010.</w:t>
      </w:r>
    </w:p>
    <w:p w14:paraId="70F880FD" w14:textId="77777777" w:rsidR="00F93551" w:rsidRDefault="00DD7D58">
      <w:pPr>
        <w:pStyle w:val="BibliographyEntry"/>
      </w:pPr>
      <w:r>
        <w:t xml:space="preserve">Ficino, Marsilio. </w:t>
      </w:r>
      <w:r>
        <w:rPr>
          <w:i/>
        </w:rPr>
        <w:t>Three Books on Life</w:t>
      </w:r>
      <w:r>
        <w:t>. Edited and translated by Carol V. Kaske and John R. Clark. Binghamton, NY: Medieval &amp; Renaissance Texts &amp; Studies, 1989.</w:t>
      </w:r>
    </w:p>
    <w:p w14:paraId="08796C84" w14:textId="77777777" w:rsidR="00F93551" w:rsidRDefault="00DD7D58">
      <w:pPr>
        <w:pStyle w:val="BibliographyEntry"/>
      </w:pPr>
      <w:r>
        <w:t xml:space="preserve">Forer, Bertram R. “The Fallacy of Personal Validation: A Classroom Demonstration of Gullibility.” </w:t>
      </w:r>
      <w:r>
        <w:rPr>
          <w:i/>
        </w:rPr>
        <w:t>Journal of Abnormal and Social Psychology</w:t>
      </w:r>
      <w:r>
        <w:t xml:space="preserve"> 44, no. 1 (1949): 118–23, https://doi.org/10.1037/h0059240.</w:t>
      </w:r>
    </w:p>
    <w:p w14:paraId="3544A825" w14:textId="77777777" w:rsidR="00F93551" w:rsidRDefault="00DD7D58">
      <w:pPr>
        <w:pStyle w:val="BibliographyEntry"/>
      </w:pPr>
      <w:r>
        <w:t xml:space="preserve">Foucault, Michel. </w:t>
      </w:r>
      <w:r>
        <w:rPr>
          <w:i/>
        </w:rPr>
        <w:t>Security, Territory, Population: Lectures at the Collège de France, 1977–1978</w:t>
      </w:r>
      <w:r>
        <w:t>. Edited by Michel Senellart. Translated by Graham Burchell. New York: Picador, 2009.</w:t>
      </w:r>
    </w:p>
    <w:p w14:paraId="25F36304" w14:textId="77777777" w:rsidR="00F93551" w:rsidRDefault="00DD7D58">
      <w:pPr>
        <w:pStyle w:val="BibliographyEntry"/>
      </w:pPr>
      <w:r>
        <w:t xml:space="preserve">Freedberg, David. </w:t>
      </w:r>
      <w:r>
        <w:rPr>
          <w:i/>
        </w:rPr>
        <w:t>The Eye of the Lynx: Galileo, His Friends, and the Beginnings of Modern Natural History</w:t>
      </w:r>
      <w:r>
        <w:t>. Chicago: University of Chicago Press, 2002.</w:t>
      </w:r>
    </w:p>
    <w:p w14:paraId="052A668D" w14:textId="77777777" w:rsidR="00F93551" w:rsidRDefault="00DD7D58">
      <w:pPr>
        <w:pStyle w:val="BibliographyEntry"/>
      </w:pPr>
      <w:r>
        <w:t xml:space="preserve">Freud, Sigmund. </w:t>
      </w:r>
      <w:r>
        <w:rPr>
          <w:i/>
        </w:rPr>
        <w:t>Beyond the Pleasure Principle</w:t>
      </w:r>
      <w:r>
        <w:t>. Translated by James Strachey. New York: W. W. Norton, 1961.</w:t>
      </w:r>
    </w:p>
    <w:p w14:paraId="46ACD762" w14:textId="77777777" w:rsidR="00F93551" w:rsidRDefault="00DD7D58">
      <w:pPr>
        <w:pStyle w:val="BibliographyEntry"/>
      </w:pPr>
      <w:r>
        <w:t xml:space="preserve">Freud, Sigmund. </w:t>
      </w:r>
      <w:r>
        <w:rPr>
          <w:i/>
        </w:rPr>
        <w:t>Civilization and Its Discontents</w:t>
      </w:r>
      <w:r>
        <w:t>. Translated by James Strachey. New York: W. W. Norton, 1961.</w:t>
      </w:r>
    </w:p>
    <w:p w14:paraId="6FCFB23A" w14:textId="77777777" w:rsidR="00F93551" w:rsidRDefault="00DD7D58">
      <w:pPr>
        <w:pStyle w:val="BibliographyEntry"/>
      </w:pPr>
      <w:r>
        <w:t xml:space="preserve">Freud, Sigmund. “Instincts and Their Vicissitudes,” “Repression,” and “The Unconscious.” In </w:t>
      </w:r>
      <w:r>
        <w:rPr>
          <w:i/>
        </w:rPr>
        <w:t>On Metapsychology: The Theory of Psychoanalysis</w:t>
      </w:r>
      <w:r>
        <w:t>. Translated by James Strachey. Edited by Angela Richards, 105–206. London: Penguin, 1991.</w:t>
      </w:r>
    </w:p>
    <w:p w14:paraId="0DF53CEE" w14:textId="77777777" w:rsidR="00F93551" w:rsidRDefault="00DD7D58">
      <w:pPr>
        <w:pStyle w:val="BibliographyEntry"/>
      </w:pPr>
      <w:r>
        <w:t xml:space="preserve">Freud, Sigmund. </w:t>
      </w:r>
      <w:r>
        <w:rPr>
          <w:i/>
        </w:rPr>
        <w:t>The Ego and the Id</w:t>
      </w:r>
      <w:r>
        <w:t>. Translated by Joan Riviere. Revised by James Strachey. New York: W. W. Norton, 1989.</w:t>
      </w:r>
    </w:p>
    <w:p w14:paraId="142F32A2" w14:textId="77777777" w:rsidR="00F93551" w:rsidRDefault="00DD7D58">
      <w:pPr>
        <w:pStyle w:val="BibliographyEntry"/>
      </w:pPr>
      <w:r>
        <w:t xml:space="preserve">Freud, Sigmund. </w:t>
      </w:r>
      <w:r>
        <w:rPr>
          <w:i/>
        </w:rPr>
        <w:t>The Interpretation of Dreams</w:t>
      </w:r>
      <w:r>
        <w:t>. Translated by James Strachey. New York: Basic Books, 2010.</w:t>
      </w:r>
    </w:p>
    <w:p w14:paraId="71B61EDB" w14:textId="77777777" w:rsidR="00F93551" w:rsidRDefault="00DD7D58">
      <w:pPr>
        <w:pStyle w:val="BibliographyEntry"/>
      </w:pPr>
      <w:r>
        <w:t xml:space="preserve">Friedman, Michael. </w:t>
      </w:r>
      <w:r>
        <w:rPr>
          <w:i/>
        </w:rPr>
        <w:t>Kant and the Exact Sciences</w:t>
      </w:r>
      <w:r>
        <w:t>. Cambridge, MA: Harvard University Press, 1992.</w:t>
      </w:r>
    </w:p>
    <w:p w14:paraId="72CAA5A0" w14:textId="77777777" w:rsidR="00F93551" w:rsidRDefault="00DD7D58">
      <w:pPr>
        <w:pStyle w:val="BibliographyEntry"/>
      </w:pPr>
      <w:r>
        <w:t xml:space="preserve">Galilei, Galileo. </w:t>
      </w:r>
      <w:r>
        <w:rPr>
          <w:i/>
        </w:rPr>
        <w:t>Sidereus Nuncius</w:t>
      </w:r>
      <w:r>
        <w:t>. Venice, 1610.</w:t>
      </w:r>
    </w:p>
    <w:p w14:paraId="6340E4E2" w14:textId="77777777" w:rsidR="00F93551" w:rsidRDefault="00DD7D58">
      <w:pPr>
        <w:pStyle w:val="BibliographyEntry"/>
      </w:pPr>
      <w:r>
        <w:t xml:space="preserve">Galilei, Galileo. “The Assayer.” In </w:t>
      </w:r>
      <w:r>
        <w:rPr>
          <w:i/>
        </w:rPr>
        <w:t>Discoveries and Opinions of Galileo</w:t>
      </w:r>
      <w:r>
        <w:t>. Translated by Stillman Drake, 229–80. New York: Doubleday Anchor, 1957.</w:t>
      </w:r>
    </w:p>
    <w:p w14:paraId="4B999262" w14:textId="77777777" w:rsidR="00F93551" w:rsidRDefault="00DD7D58">
      <w:pPr>
        <w:pStyle w:val="BibliographyEntry"/>
      </w:pPr>
      <w:r>
        <w:t xml:space="preserve">Galilei, Galileo. “The Starry Messenger.” In </w:t>
      </w:r>
      <w:r>
        <w:rPr>
          <w:i/>
        </w:rPr>
        <w:t>Discoveries and Opinions of Galileo</w:t>
      </w:r>
      <w:r>
        <w:t>. Translated by Stillman Drake, 21–58. New York: Doubleday Anchor, 1957.</w:t>
      </w:r>
    </w:p>
    <w:p w14:paraId="5D91A319" w14:textId="77777777" w:rsidR="00F93551" w:rsidRDefault="00DD7D58">
      <w:pPr>
        <w:pStyle w:val="BibliographyEntry"/>
      </w:pPr>
      <w:r>
        <w:t xml:space="preserve">Garber, Daniel. </w:t>
      </w:r>
      <w:r>
        <w:rPr>
          <w:i/>
        </w:rPr>
        <w:t>Descartes’ Metaphysical Physics</w:t>
      </w:r>
      <w:r>
        <w:t>. Chicago: University of Chicago Press, 1992.</w:t>
      </w:r>
    </w:p>
    <w:p w14:paraId="372AECB2" w14:textId="77777777" w:rsidR="00F93551" w:rsidRDefault="00DD7D58">
      <w:pPr>
        <w:pStyle w:val="BibliographyEntry"/>
      </w:pPr>
      <w:r>
        <w:t xml:space="preserve">Garrett, Don. </w:t>
      </w:r>
      <w:r>
        <w:rPr>
          <w:i/>
        </w:rPr>
        <w:t>Cognition and Commitment in Hume's Philosophy</w:t>
      </w:r>
      <w:r>
        <w:t>. New York: Oxford University Press, 1997.</w:t>
      </w:r>
    </w:p>
    <w:p w14:paraId="04C730C0" w14:textId="77777777" w:rsidR="00F93551" w:rsidRDefault="00DD7D58">
      <w:pPr>
        <w:pStyle w:val="BibliographyEntry"/>
      </w:pPr>
      <w:r>
        <w:t xml:space="preserve">Gaukroger, Stephen. </w:t>
      </w:r>
      <w:r>
        <w:rPr>
          <w:i/>
        </w:rPr>
        <w:t>Francis Bacon and the Transformation of Early-Modern Philosophy</w:t>
      </w:r>
      <w:r>
        <w:t>. Cambridge: Cambridge University Press, 2001.</w:t>
      </w:r>
    </w:p>
    <w:p w14:paraId="68A5DF2F" w14:textId="77777777" w:rsidR="00F93551" w:rsidRDefault="00DD7D58">
      <w:pPr>
        <w:pStyle w:val="BibliographyEntry"/>
      </w:pPr>
      <w:r>
        <w:t xml:space="preserve">Gauquelin, Michel. </w:t>
      </w:r>
      <w:r>
        <w:rPr>
          <w:i/>
        </w:rPr>
        <w:t>Birth-Times: A Scientific Investigation of the Secrets of Astrology</w:t>
      </w:r>
      <w:r>
        <w:t>. Translated by Sarah Matthews. New York: Hill and Wang, 1983.</w:t>
      </w:r>
    </w:p>
    <w:p w14:paraId="3E6FF912" w14:textId="77777777" w:rsidR="00F93551" w:rsidRDefault="00DD7D58">
      <w:pPr>
        <w:pStyle w:val="BibliographyEntry"/>
      </w:pPr>
      <w:r>
        <w:t xml:space="preserve">Gauquelin, Michel. </w:t>
      </w:r>
      <w:r>
        <w:rPr>
          <w:i/>
        </w:rPr>
        <w:t>The Cosmic Clocks: From Astrology to a Modern Science</w:t>
      </w:r>
      <w:r>
        <w:t>. Chicago: Henry Regnery, 1967.</w:t>
      </w:r>
    </w:p>
    <w:p w14:paraId="68B31010" w14:textId="77777777" w:rsidR="00F93551" w:rsidRDefault="00DD7D58">
      <w:pPr>
        <w:pStyle w:val="BibliographyEntry"/>
      </w:pPr>
      <w:r>
        <w:t xml:space="preserve">Gauquelin, Michel. </w:t>
      </w:r>
      <w:r>
        <w:rPr>
          <w:i/>
        </w:rPr>
        <w:t>The Scientific Basis of Astrology</w:t>
      </w:r>
      <w:r>
        <w:t>. New York: Stein and Day, 1969.</w:t>
      </w:r>
    </w:p>
    <w:p w14:paraId="387C1E90" w14:textId="77777777" w:rsidR="00F93551" w:rsidRDefault="00DD7D58">
      <w:pPr>
        <w:pStyle w:val="BibliographyEntry"/>
      </w:pPr>
      <w:r>
        <w:t xml:space="preserve">Giegerich, Wolfgang. </w:t>
      </w:r>
      <w:r>
        <w:rPr>
          <w:i/>
        </w:rPr>
        <w:t>The Soul's Logical Life: Towards a Rigorous Notion of Psychology</w:t>
      </w:r>
      <w:r>
        <w:t>. Frankfurt am Main: Peter Lang, 1998.</w:t>
      </w:r>
    </w:p>
    <w:p w14:paraId="0CAD519B" w14:textId="77777777" w:rsidR="00F93551" w:rsidRDefault="00DD7D58">
      <w:pPr>
        <w:pStyle w:val="BibliographyEntry"/>
      </w:pPr>
      <w:r>
        <w:t xml:space="preserve">Gingerich, Owen. </w:t>
      </w:r>
      <w:r>
        <w:rPr>
          <w:i/>
        </w:rPr>
        <w:t>The Book Nobody Read: Chasing the Revolutions of Nicolaus Copernicus</w:t>
      </w:r>
      <w:r>
        <w:t>. London: Penguin, 2017.</w:t>
      </w:r>
    </w:p>
    <w:p w14:paraId="7020723C" w14:textId="77777777" w:rsidR="00F93551" w:rsidRDefault="00DD7D58">
      <w:pPr>
        <w:pStyle w:val="BibliographyEntry"/>
      </w:pPr>
      <w:r>
        <w:t xml:space="preserve">Goldstein, Kurt. </w:t>
      </w:r>
      <w:r>
        <w:rPr>
          <w:i/>
        </w:rPr>
        <w:t>The Organism: A Holistic Approach to Biology Derived from Pathological Data in Man</w:t>
      </w:r>
      <w:r>
        <w:t>. New York: American Book Company, 1939.</w:t>
      </w:r>
    </w:p>
    <w:p w14:paraId="27CB5A37" w14:textId="77777777" w:rsidR="00F93551" w:rsidRDefault="00DD7D58">
      <w:pPr>
        <w:pStyle w:val="BibliographyEntry"/>
      </w:pPr>
      <w:r>
        <w:t xml:space="preserve">Gould, Stephen Jay. </w:t>
      </w:r>
      <w:r>
        <w:rPr>
          <w:i/>
        </w:rPr>
        <w:t>Time's Arrow, Time's Cycle: Myth and Metaphor in the Discovery of Geological Time</w:t>
      </w:r>
      <w:r>
        <w:t>. Cambridge, MA: Harvard University Press, 1987.</w:t>
      </w:r>
    </w:p>
    <w:p w14:paraId="3F50B18B" w14:textId="77777777" w:rsidR="00F93551" w:rsidRDefault="00DD7D58">
      <w:pPr>
        <w:pStyle w:val="BibliographyEntry"/>
      </w:pPr>
      <w:r>
        <w:t xml:space="preserve">Grant, Edward. </w:t>
      </w:r>
      <w:r>
        <w:rPr>
          <w:i/>
        </w:rPr>
        <w:t>Planets, Stars, and Orbs: The Medieval Cosmos, 1200–1687</w:t>
      </w:r>
      <w:r>
        <w:t>. Cambridge: Cambridge University Press, 1994.</w:t>
      </w:r>
    </w:p>
    <w:p w14:paraId="15B7F8DE" w14:textId="77777777" w:rsidR="00F93551" w:rsidRDefault="00DD7D58">
      <w:pPr>
        <w:pStyle w:val="BibliographyEntry"/>
      </w:pPr>
      <w:r>
        <w:t xml:space="preserve">Green, Jeffrey Wolf. </w:t>
      </w:r>
      <w:r>
        <w:rPr>
          <w:i/>
        </w:rPr>
        <w:t>Pluto: The Evolutionary Journey of the Soul</w:t>
      </w:r>
      <w:r>
        <w:t>. Vol. 1, 2nd rev. ed. Bournemouth: Wessex Astrologer, 2011.</w:t>
      </w:r>
    </w:p>
    <w:p w14:paraId="4DD3082E" w14:textId="77777777" w:rsidR="00F93551" w:rsidRDefault="00DD7D58">
      <w:pPr>
        <w:pStyle w:val="BibliographyEntry"/>
      </w:pPr>
      <w:r>
        <w:t xml:space="preserve">Greenbaum, Dorian Gieseler. </w:t>
      </w:r>
      <w:r>
        <w:rPr>
          <w:i/>
        </w:rPr>
        <w:t>The Daimon in Hellenistic Astrology: Origins and Influence</w:t>
      </w:r>
      <w:r>
        <w:t>. Ancient Magic and Divination 11. Leiden and Boston: Brill, 2016.</w:t>
      </w:r>
    </w:p>
    <w:p w14:paraId="33EDBB02" w14:textId="77777777" w:rsidR="00F93551" w:rsidRDefault="00DD7D58">
      <w:pPr>
        <w:pStyle w:val="BibliographyEntry"/>
      </w:pPr>
      <w:r>
        <w:t xml:space="preserve">Gregory, Brad S. </w:t>
      </w:r>
      <w:r>
        <w:rPr>
          <w:i/>
        </w:rPr>
        <w:t>Salvation at Stake: Christian Martyrdom in Early Modern Europe</w:t>
      </w:r>
      <w:r>
        <w:t>. Cambridge, MA: Harvard University Press, 1999.</w:t>
      </w:r>
    </w:p>
    <w:p w14:paraId="422BFD97" w14:textId="77777777" w:rsidR="00F93551" w:rsidRDefault="00DD7D58">
      <w:pPr>
        <w:pStyle w:val="BibliographyEntry"/>
      </w:pPr>
      <w:r>
        <w:t xml:space="preserve">Gutas, Dimitri. </w:t>
      </w:r>
      <w:r>
        <w:rPr>
          <w:i/>
        </w:rPr>
        <w:t>Greek Thought, Arabic Culture: The Graeco-Arabic Translation Movement in Baghdad and Early ʿAbbāsid Society (2nd–4th/8th–10th Centuries)</w:t>
      </w:r>
      <w:r>
        <w:t>. London: Routledge, 1998.</w:t>
      </w:r>
    </w:p>
    <w:p w14:paraId="2CAC56BC" w14:textId="77777777" w:rsidR="00F93551" w:rsidRDefault="00DD7D58">
      <w:pPr>
        <w:pStyle w:val="BibliographyEntry"/>
      </w:pPr>
      <w:r>
        <w:t xml:space="preserve">Hacking, Ian. </w:t>
      </w:r>
      <w:r>
        <w:rPr>
          <w:i/>
        </w:rPr>
        <w:t>The Taming of Chance</w:t>
      </w:r>
      <w:r>
        <w:t>. Cambridge: Cambridge University Press, 1990.</w:t>
      </w:r>
    </w:p>
    <w:p w14:paraId="6A882BB5" w14:textId="77777777" w:rsidR="00F93551" w:rsidRDefault="00DD7D58">
      <w:pPr>
        <w:pStyle w:val="BibliographyEntry"/>
      </w:pPr>
      <w:r>
        <w:t xml:space="preserve">Hadot, Pierre. </w:t>
      </w:r>
      <w:r>
        <w:rPr>
          <w:i/>
        </w:rPr>
        <w:t>Philosophy as a Way of Life: Spiritual Exercises from Socrates to Foucault</w:t>
      </w:r>
      <w:r>
        <w:t>. Edited by Arnold I. Davidson. Translated by Michael Chase. Oxford: Blackwell, 1995.</w:t>
      </w:r>
    </w:p>
    <w:p w14:paraId="0501AE8D" w14:textId="77777777" w:rsidR="00F93551" w:rsidRDefault="00DD7D58">
      <w:pPr>
        <w:pStyle w:val="BibliographyEntry"/>
      </w:pPr>
      <w:r>
        <w:t xml:space="preserve">Hadot, Pierre. </w:t>
      </w:r>
      <w:r>
        <w:rPr>
          <w:i/>
        </w:rPr>
        <w:t>The Veil of Isis: An Essay on the History of the Idea of Nature</w:t>
      </w:r>
      <w:r>
        <w:t>. Translated by Michael Chase. Cambridge, MA: Harvard University Press, 2006.</w:t>
      </w:r>
    </w:p>
    <w:p w14:paraId="2C920B00" w14:textId="77777777" w:rsidR="00F93551" w:rsidRDefault="00DD7D58">
      <w:pPr>
        <w:pStyle w:val="BibliographyEntry"/>
      </w:pPr>
      <w:r>
        <w:t xml:space="preserve">Hadot, Pierre. </w:t>
      </w:r>
      <w:r>
        <w:rPr>
          <w:i/>
        </w:rPr>
        <w:t>What Is Ancient Philosophy?</w:t>
      </w:r>
      <w:r>
        <w:t>. Translated by Michael Chase. Cambridge, MA: Belknap Press of Harvard University Press, 2002.</w:t>
      </w:r>
    </w:p>
    <w:p w14:paraId="79BCC62E" w14:textId="77777777" w:rsidR="00F93551" w:rsidRDefault="00DD7D58">
      <w:pPr>
        <w:pStyle w:val="BibliographyEntry"/>
      </w:pPr>
      <w:r>
        <w:t xml:space="preserve">Hanegraaff, Wouter J. </w:t>
      </w:r>
      <w:r>
        <w:rPr>
          <w:i/>
        </w:rPr>
        <w:t>Esotericism and the Academy: Rejected Knowledge in Western Culture</w:t>
      </w:r>
      <w:r>
        <w:t>. Cambridge: Cambridge University Press, 2012.</w:t>
      </w:r>
    </w:p>
    <w:p w14:paraId="5A0BC1FA" w14:textId="77777777" w:rsidR="00F93551" w:rsidRDefault="00DD7D58">
      <w:pPr>
        <w:pStyle w:val="BibliographyEntry"/>
      </w:pPr>
      <w:r>
        <w:t xml:space="preserve">Hannah, Robert. </w:t>
      </w:r>
      <w:r>
        <w:rPr>
          <w:i/>
        </w:rPr>
        <w:t>Greek and Roman Calendars: Constructions of Time in the Classical World</w:t>
      </w:r>
      <w:r>
        <w:t>. London: Duckworth, 2005.</w:t>
      </w:r>
    </w:p>
    <w:p w14:paraId="101D89FC" w14:textId="77777777" w:rsidR="00F93551" w:rsidRDefault="00DD7D58">
      <w:pPr>
        <w:pStyle w:val="BibliographyEntry"/>
      </w:pPr>
      <w:r>
        <w:t xml:space="preserve">Harrison, Peter. </w:t>
      </w:r>
      <w:r>
        <w:rPr>
          <w:i/>
        </w:rPr>
        <w:t>The Fall of Man and the Foundations of Science</w:t>
      </w:r>
      <w:r>
        <w:t>. Cambridge: Cambridge University Press, 2007.</w:t>
      </w:r>
    </w:p>
    <w:p w14:paraId="58434D2E" w14:textId="77777777" w:rsidR="00F93551" w:rsidRDefault="00DD7D58">
      <w:pPr>
        <w:pStyle w:val="BibliographyEntry"/>
      </w:pPr>
      <w:r>
        <w:t xml:space="preserve">Hartmann, Peter, Martin Reuter, and Helmuth Nyborg. “The Relationship between Date of Birth and Individual Differences in Personality and General Intelligence: A Large-Scale Study.” </w:t>
      </w:r>
      <w:r>
        <w:rPr>
          <w:i/>
        </w:rPr>
        <w:t>Personality and Individual Differences</w:t>
      </w:r>
      <w:r>
        <w:t xml:space="preserve"> 40, no. 7 (2006): 1349–62, https://doi.org/10.1016/j.paid.2005.11.017.</w:t>
      </w:r>
    </w:p>
    <w:p w14:paraId="28F4C63D" w14:textId="77777777" w:rsidR="00F93551" w:rsidRDefault="00DD7D58">
      <w:pPr>
        <w:pStyle w:val="BibliographyEntry"/>
      </w:pPr>
      <w:r>
        <w:t xml:space="preserve">Hegedus, Tim. </w:t>
      </w:r>
      <w:r>
        <w:rPr>
          <w:i/>
        </w:rPr>
        <w:t>Early Christianity and Ancient Astrology</w:t>
      </w:r>
      <w:r>
        <w:t>. Patristic Studies 6. New York: Peter Lang, 2007.</w:t>
      </w:r>
    </w:p>
    <w:p w14:paraId="5165D48C" w14:textId="77777777" w:rsidR="00F93551" w:rsidRDefault="00DD7D58">
      <w:pPr>
        <w:pStyle w:val="BibliographyEntry"/>
      </w:pPr>
      <w:r>
        <w:t xml:space="preserve">Heilen, Stephan. “Vettius Valens.” In </w:t>
      </w:r>
      <w:r>
        <w:rPr>
          <w:i/>
        </w:rPr>
        <w:t>The Encyclopedia of Ancient History</w:t>
      </w:r>
      <w:r>
        <w:t>. Edited by Roger S. Bagnall et al. Malden, MA: Wiley-Blackwell, 2012.</w:t>
      </w:r>
    </w:p>
    <w:p w14:paraId="4A97D627" w14:textId="77777777" w:rsidR="00F93551" w:rsidRDefault="00DD7D58">
      <w:pPr>
        <w:pStyle w:val="BibliographyEntry"/>
      </w:pPr>
      <w:r>
        <w:t xml:space="preserve">Hooke, Robert. </w:t>
      </w:r>
      <w:r>
        <w:rPr>
          <w:i/>
        </w:rPr>
        <w:t>Micrographia: Or Some Physiological Descriptions of Minute Bodies Made by Magnifying Glasses</w:t>
      </w:r>
      <w:r>
        <w:t>. London: Royal Society, 1665.</w:t>
      </w:r>
    </w:p>
    <w:p w14:paraId="3DFF6119" w14:textId="77777777" w:rsidR="00F93551" w:rsidRDefault="00DD7D58">
      <w:pPr>
        <w:pStyle w:val="BibliographyEntry"/>
      </w:pPr>
      <w:r>
        <w:t xml:space="preserve">Huffman, Carl A. </w:t>
      </w:r>
      <w:r>
        <w:rPr>
          <w:i/>
        </w:rPr>
        <w:t>Philolaus of Croton: Pythagorean and Presocratic</w:t>
      </w:r>
      <w:r>
        <w:t>. Cambridge: Cambridge University Press, 1993.</w:t>
      </w:r>
    </w:p>
    <w:p w14:paraId="093CC823" w14:textId="77777777" w:rsidR="00F93551" w:rsidRDefault="00DD7D58">
      <w:pPr>
        <w:pStyle w:val="BibliographyEntry"/>
      </w:pPr>
      <w:r>
        <w:t xml:space="preserve">Hughes, Thomas P. </w:t>
      </w:r>
      <w:r>
        <w:rPr>
          <w:i/>
        </w:rPr>
        <w:t>Networks of Power: Electrification in Western Society, 1880–1930</w:t>
      </w:r>
      <w:r>
        <w:t>. Baltimore: Johns Hopkins University Press, 1993.</w:t>
      </w:r>
    </w:p>
    <w:p w14:paraId="7BD6A833" w14:textId="77777777" w:rsidR="00F93551" w:rsidRDefault="00DD7D58">
      <w:pPr>
        <w:pStyle w:val="BibliographyEntry"/>
      </w:pPr>
      <w:r>
        <w:t xml:space="preserve">Hui, Yuk. </w:t>
      </w:r>
      <w:r>
        <w:rPr>
          <w:i/>
        </w:rPr>
        <w:t>Art and Cosmotechnics</w:t>
      </w:r>
      <w:r>
        <w:t>. Minneapolis: University of Minnesota Press, 2021.</w:t>
      </w:r>
    </w:p>
    <w:p w14:paraId="74FFA349" w14:textId="77777777" w:rsidR="00F93551" w:rsidRDefault="00DD7D58">
      <w:pPr>
        <w:pStyle w:val="BibliographyEntry"/>
      </w:pPr>
      <w:r>
        <w:t xml:space="preserve">Hui, Yuk. </w:t>
      </w:r>
      <w:r>
        <w:rPr>
          <w:i/>
        </w:rPr>
        <w:t>The Question Concerning Technology in China: An Essay in Cosmotechnics</w:t>
      </w:r>
      <w:r>
        <w:t>. Falmouth, UK: Urbanomic, 2016.</w:t>
      </w:r>
    </w:p>
    <w:p w14:paraId="0E2823FB" w14:textId="77777777" w:rsidR="00F93551" w:rsidRDefault="00DD7D58">
      <w:pPr>
        <w:pStyle w:val="BibliographyEntry"/>
      </w:pPr>
      <w:r>
        <w:t xml:space="preserve">Humboldt, Alexander von. </w:t>
      </w:r>
      <w:r>
        <w:rPr>
          <w:i/>
        </w:rPr>
        <w:t>Cosmos: A Sketch of a Physical Description of the Universe</w:t>
      </w:r>
      <w:r>
        <w:t>. Translated by E. C. Otté, 5 vols. New York: Harper, 1850–59.</w:t>
      </w:r>
    </w:p>
    <w:p w14:paraId="34F8FC6C" w14:textId="77777777" w:rsidR="00F93551" w:rsidRDefault="00DD7D58">
      <w:pPr>
        <w:pStyle w:val="BibliographyEntry"/>
      </w:pPr>
      <w:r>
        <w:t xml:space="preserve">Humboldt, Alexander von. “Des lignes isothermes et de la distribution de la chaleur sur le globe.” </w:t>
      </w:r>
      <w:r>
        <w:rPr>
          <w:i/>
        </w:rPr>
        <w:t>Annales de chimie et de physique</w:t>
      </w:r>
      <w:r>
        <w:t xml:space="preserve"> 5 (1817): 102–11.</w:t>
      </w:r>
    </w:p>
    <w:p w14:paraId="4EF88377" w14:textId="77777777" w:rsidR="00F93551" w:rsidRDefault="00DD7D58">
      <w:pPr>
        <w:pStyle w:val="BibliographyEntry"/>
      </w:pPr>
      <w:r>
        <w:t xml:space="preserve">Humboldt, Alexander von. </w:t>
      </w:r>
      <w:r>
        <w:rPr>
          <w:i/>
        </w:rPr>
        <w:t>Personal Narrative of a Journey to the Equinoctial Regions of the New Continent</w:t>
      </w:r>
      <w:r>
        <w:t>. Abridged and translated by Jason Wilson. London: Penguin, 1995.</w:t>
      </w:r>
    </w:p>
    <w:p w14:paraId="2ED849F8" w14:textId="77777777" w:rsidR="00F93551" w:rsidRDefault="00DD7D58">
      <w:pPr>
        <w:pStyle w:val="BibliographyEntry"/>
      </w:pPr>
      <w:r>
        <w:t xml:space="preserve">Humboldt, Alexander von. </w:t>
      </w:r>
      <w:r>
        <w:rPr>
          <w:i/>
        </w:rPr>
        <w:t>Political Essay on the Island of Cuba: A Critical Edition</w:t>
      </w:r>
      <w:r>
        <w:t>. Edited and translated by Vera M. Kutzinski and Ottmar Ette. Chicago: University of Chicago Press, 2011.</w:t>
      </w:r>
    </w:p>
    <w:p w14:paraId="3A9A6B7D" w14:textId="77777777" w:rsidR="00F93551" w:rsidRDefault="00DD7D58">
      <w:pPr>
        <w:pStyle w:val="BibliographyEntry"/>
      </w:pPr>
      <w:r>
        <w:t xml:space="preserve">Humboldt, Alexander von. </w:t>
      </w:r>
      <w:r>
        <w:rPr>
          <w:i/>
        </w:rPr>
        <w:t>Political Essay on the Kingdom of New Spain: A Critical Edition</w:t>
      </w:r>
      <w:r>
        <w:t>. Edited and translated by Vera M. Kutzinski and Ottmar Ette, 2 vols. Chicago: University of Chicago Press, 2019.</w:t>
      </w:r>
    </w:p>
    <w:p w14:paraId="511A5D52" w14:textId="77777777" w:rsidR="00F93551" w:rsidRDefault="00DD7D58">
      <w:pPr>
        <w:pStyle w:val="BibliographyEntry"/>
      </w:pPr>
      <w:r>
        <w:t xml:space="preserve">Humboldt, Alexander von. </w:t>
      </w:r>
      <w:r>
        <w:rPr>
          <w:i/>
        </w:rPr>
        <w:t>Views of Nature</w:t>
      </w:r>
      <w:r>
        <w:t>. Translated by Mark W. Person. Edited by Stephen T. Jackson and Laura Dassow Walls. Chicago: University of Chicago Press, 2014.</w:t>
      </w:r>
    </w:p>
    <w:p w14:paraId="7B7AF47E" w14:textId="77777777" w:rsidR="00F93551" w:rsidRDefault="00DD7D58">
      <w:pPr>
        <w:pStyle w:val="BibliographyEntry"/>
      </w:pPr>
      <w:r>
        <w:t xml:space="preserve">Humboldt, Alexander von. </w:t>
      </w:r>
      <w:r>
        <w:rPr>
          <w:i/>
        </w:rPr>
        <w:t>Views of the Cordilleras and Monuments of the Indigenous Peoples of the Americas: A Critical Edition</w:t>
      </w:r>
      <w:r>
        <w:t>. Edited and translated by Vera M. Kutzinski and Ottmar Ette. Chicago: University of Chicago Press, 2012.</w:t>
      </w:r>
    </w:p>
    <w:p w14:paraId="37028095" w14:textId="77777777" w:rsidR="00F93551" w:rsidRDefault="00DD7D58">
      <w:pPr>
        <w:pStyle w:val="BibliographyEntry"/>
      </w:pPr>
      <w:r>
        <w:t xml:space="preserve">Humboldt, Alexander von, and Aimé Bonpland. </w:t>
      </w:r>
      <w:r>
        <w:rPr>
          <w:i/>
        </w:rPr>
        <w:t>Essay on the Geography of Plants</w:t>
      </w:r>
      <w:r>
        <w:t>. Translated by Sylvie Romanowski. Edited by Stephen T. Jackson. Chicago: University of Chicago Press, 2009.</w:t>
      </w:r>
    </w:p>
    <w:p w14:paraId="760BA2E0" w14:textId="77777777" w:rsidR="00F93551" w:rsidRDefault="00DD7D58">
      <w:pPr>
        <w:pStyle w:val="BibliographyEntry"/>
      </w:pPr>
      <w:r>
        <w:t xml:space="preserve">Hume, David. </w:t>
      </w:r>
      <w:r>
        <w:rPr>
          <w:i/>
        </w:rPr>
        <w:t>An Enquiry Concerning Human Understanding</w:t>
      </w:r>
      <w:r>
        <w:t>. Edited by Tom L. Beauchamp. Oxford: Oxford University Press, 1999.</w:t>
      </w:r>
    </w:p>
    <w:p w14:paraId="377467E8" w14:textId="77777777" w:rsidR="00F93551" w:rsidRDefault="00DD7D58">
      <w:pPr>
        <w:pStyle w:val="BibliographyEntry"/>
      </w:pPr>
      <w:r>
        <w:t xml:space="preserve">Hunger, Hermann. </w:t>
      </w:r>
      <w:r>
        <w:rPr>
          <w:i/>
        </w:rPr>
        <w:t>Astronomical Diaries and Related Texts from Babylonia</w:t>
      </w:r>
      <w:r>
        <w:t xml:space="preserve">. Vol. 7, </w:t>
      </w:r>
      <w:r>
        <w:rPr>
          <w:i/>
        </w:rPr>
        <w:t>Almanacs and Normal Star Almanacs</w:t>
      </w:r>
      <w:r>
        <w:t>. Vienna: Austrian Academy of Sciences Press, 2014.</w:t>
      </w:r>
    </w:p>
    <w:p w14:paraId="07C304EE" w14:textId="77777777" w:rsidR="00F93551" w:rsidRDefault="00DD7D58">
      <w:pPr>
        <w:pStyle w:val="BibliographyEntry"/>
      </w:pPr>
      <w:r>
        <w:t xml:space="preserve">Hunger, Hermann, and David Pingree. </w:t>
      </w:r>
      <w:r>
        <w:rPr>
          <w:i/>
        </w:rPr>
        <w:t>Astral Sciences in Mesopotamia</w:t>
      </w:r>
      <w:r>
        <w:t>. Leiden: Brill, 1999.</w:t>
      </w:r>
    </w:p>
    <w:p w14:paraId="5FA0C32D" w14:textId="77777777" w:rsidR="00F93551" w:rsidRDefault="00DD7D58">
      <w:pPr>
        <w:pStyle w:val="BibliographyEntry"/>
      </w:pPr>
      <w:r>
        <w:t xml:space="preserve">Hunger, Hermann, and John M. Steele. </w:t>
      </w:r>
      <w:r>
        <w:rPr>
          <w:i/>
        </w:rPr>
        <w:t>The Babylonian Astronomical Compendium MUL.APIN</w:t>
      </w:r>
      <w:r>
        <w:t>. London: Routledge, 2019.</w:t>
      </w:r>
    </w:p>
    <w:p w14:paraId="356C6F56" w14:textId="77777777" w:rsidR="00F93551" w:rsidRDefault="00DD7D58">
      <w:pPr>
        <w:pStyle w:val="BibliographyEntry"/>
      </w:pPr>
      <w:r>
        <w:t xml:space="preserve">Hutton, James. “Theory of the Earth; or an Investigation of the Laws Observable in the Composition, Dissolution, and Restoration of Land upon the Globe.” </w:t>
      </w:r>
      <w:r>
        <w:rPr>
          <w:i/>
        </w:rPr>
        <w:t>Transactions of the Royal Society of Edinburgh</w:t>
      </w:r>
      <w:r>
        <w:t xml:space="preserve"> 1 (1788): 209–304.</w:t>
      </w:r>
    </w:p>
    <w:p w14:paraId="1BF815DA" w14:textId="77777777" w:rsidR="00F93551" w:rsidRDefault="00DD7D58">
      <w:pPr>
        <w:pStyle w:val="BibliographyEntry"/>
      </w:pPr>
      <w:r>
        <w:t xml:space="preserve">Hutton, Sarah. </w:t>
      </w:r>
      <w:r>
        <w:rPr>
          <w:i/>
        </w:rPr>
        <w:t>Anne Conway: A Woman Philosopher</w:t>
      </w:r>
      <w:r>
        <w:t>. Cambridge: Cambridge University Press, 2004.</w:t>
      </w:r>
    </w:p>
    <w:p w14:paraId="176B1D58" w14:textId="77777777" w:rsidR="00F93551" w:rsidRDefault="00DD7D58">
      <w:pPr>
        <w:pStyle w:val="BibliographyEntry"/>
      </w:pPr>
      <w:r>
        <w:t xml:space="preserve">Hyde, Maggie. </w:t>
      </w:r>
      <w:r>
        <w:rPr>
          <w:i/>
        </w:rPr>
        <w:t>Jung and Astrology</w:t>
      </w:r>
      <w:r>
        <w:t>. London: Aquarian, 1992.</w:t>
      </w:r>
    </w:p>
    <w:p w14:paraId="035187F2" w14:textId="77777777" w:rsidR="00F93551" w:rsidRDefault="00DD7D58">
      <w:pPr>
        <w:pStyle w:val="BibliographyEntry"/>
      </w:pPr>
      <w:r>
        <w:t xml:space="preserve">Iliffe, Rob. </w:t>
      </w:r>
      <w:r>
        <w:rPr>
          <w:i/>
        </w:rPr>
        <w:t>Priest of Nature: The Religious Worlds of Isaac Newton</w:t>
      </w:r>
      <w:r>
        <w:t>. New York: Oxford University Press, 2017.</w:t>
      </w:r>
    </w:p>
    <w:p w14:paraId="69D9139F" w14:textId="77777777" w:rsidR="00F93551" w:rsidRDefault="00DD7D58">
      <w:pPr>
        <w:pStyle w:val="BibliographyEntry"/>
      </w:pPr>
      <w:r>
        <w:t xml:space="preserve">Intergovernmental Panel on Climate Change. </w:t>
      </w:r>
      <w:r>
        <w:rPr>
          <w:i/>
        </w:rPr>
        <w:t>Climate Change 2023: Synthesis Report—Summary for Policymakers</w:t>
      </w:r>
      <w:r>
        <w:t>. Geneva: IPCC, 2023.</w:t>
      </w:r>
    </w:p>
    <w:p w14:paraId="47D2AA42" w14:textId="77777777" w:rsidR="00F93551" w:rsidRDefault="00DD7D58">
      <w:pPr>
        <w:pStyle w:val="BibliographyEntry"/>
      </w:pPr>
      <w:r>
        <w:t xml:space="preserve">Jacobsen, Thorkild. </w:t>
      </w:r>
      <w:r>
        <w:rPr>
          <w:i/>
        </w:rPr>
        <w:t>The Treasures of Darkness: A History of Mesopotamian Religion</w:t>
      </w:r>
      <w:r>
        <w:t>. New Haven: Yale University Press, 1976.</w:t>
      </w:r>
    </w:p>
    <w:p w14:paraId="77DA7B3E" w14:textId="77777777" w:rsidR="00F93551" w:rsidRDefault="00DD7D58">
      <w:pPr>
        <w:pStyle w:val="BibliographyEntry"/>
      </w:pPr>
      <w:r>
        <w:t xml:space="preserve">Janiak, Andrew. </w:t>
      </w:r>
      <w:r>
        <w:rPr>
          <w:i/>
        </w:rPr>
        <w:t>Newton as Philosopher</w:t>
      </w:r>
      <w:r>
        <w:t>. Cambridge: Cambridge University Press, 2008.</w:t>
      </w:r>
    </w:p>
    <w:p w14:paraId="13B6EE7D" w14:textId="77777777" w:rsidR="00F93551" w:rsidRDefault="00DD7D58">
      <w:pPr>
        <w:pStyle w:val="BibliographyEntry"/>
      </w:pPr>
      <w:r>
        <w:t xml:space="preserve">Janiak, Andrew, ed. </w:t>
      </w:r>
      <w:r>
        <w:rPr>
          <w:i/>
        </w:rPr>
        <w:t>Isaac Newton: Philosophical Writings</w:t>
      </w:r>
      <w:r>
        <w:t>. Cambridge: Cambridge University Press, 2004.</w:t>
      </w:r>
    </w:p>
    <w:p w14:paraId="6BE7F9B7" w14:textId="77777777" w:rsidR="00F93551" w:rsidRDefault="00DD7D58">
      <w:pPr>
        <w:pStyle w:val="BibliographyEntry"/>
      </w:pPr>
      <w:r>
        <w:t xml:space="preserve">Jardine, Nicholas, James A. Secord, and Emma C. Spary, eds. </w:t>
      </w:r>
      <w:r>
        <w:rPr>
          <w:i/>
        </w:rPr>
        <w:t>Cultures of Natural History</w:t>
      </w:r>
      <w:r>
        <w:t>. Cambridge: Cambridge University Press, 1996.</w:t>
      </w:r>
    </w:p>
    <w:p w14:paraId="3D63C62F" w14:textId="77777777" w:rsidR="00F93551" w:rsidRDefault="00DD7D58">
      <w:pPr>
        <w:pStyle w:val="BibliographyEntry"/>
      </w:pPr>
      <w:r>
        <w:t xml:space="preserve">Jonas, Hans. </w:t>
      </w:r>
      <w:r>
        <w:rPr>
          <w:i/>
        </w:rPr>
        <w:t>The Phenomenon of Life: Toward a Philosophical Biology</w:t>
      </w:r>
      <w:r>
        <w:t>. Evanston, IL: Northwestern University Press, 2001.</w:t>
      </w:r>
    </w:p>
    <w:p w14:paraId="37B6D7B6" w14:textId="77777777" w:rsidR="00F93551" w:rsidRDefault="00DD7D58">
      <w:pPr>
        <w:pStyle w:val="BibliographyEntry"/>
      </w:pPr>
      <w:r>
        <w:t xml:space="preserve">Jung, C. G. </w:t>
      </w:r>
      <w:r>
        <w:rPr>
          <w:i/>
        </w:rPr>
        <w:t>Psychological Types; or, The Psychology of Individuation</w:t>
      </w:r>
      <w:r>
        <w:t>. Translated by H. Godwin Baynes. New York: Harcourt, Brace, 1923.</w:t>
      </w:r>
    </w:p>
    <w:p w14:paraId="7C7E2466" w14:textId="77777777" w:rsidR="00F93551" w:rsidRDefault="00DD7D58">
      <w:pPr>
        <w:pStyle w:val="BibliographyEntry"/>
      </w:pPr>
      <w:r>
        <w:t xml:space="preserve">Jung, C. G. </w:t>
      </w:r>
      <w:r>
        <w:rPr>
          <w:i/>
        </w:rPr>
        <w:t>Psychology and Alchemy</w:t>
      </w:r>
      <w:r>
        <w:t>. 2nd ed. Translated by R. F. C. Hull. Princeton: Princeton University Press, 1968.</w:t>
      </w:r>
    </w:p>
    <w:p w14:paraId="0E47619B" w14:textId="77777777" w:rsidR="00F93551" w:rsidRDefault="00DD7D58">
      <w:pPr>
        <w:pStyle w:val="BibliographyEntry"/>
      </w:pPr>
      <w:r>
        <w:t xml:space="preserve">Jung, C. G. </w:t>
      </w:r>
      <w:r>
        <w:rPr>
          <w:i/>
        </w:rPr>
        <w:t>Psychology of the Unconscious</w:t>
      </w:r>
      <w:r>
        <w:t>. Translated by Beatrice M. Hinkle. New York: Moffat, Yard, 1916.</w:t>
      </w:r>
    </w:p>
    <w:p w14:paraId="63783738" w14:textId="77777777" w:rsidR="00F93551" w:rsidRDefault="00DD7D58">
      <w:pPr>
        <w:pStyle w:val="BibliographyEntry"/>
      </w:pPr>
      <w:r>
        <w:t xml:space="preserve">Jung, C. G. </w:t>
      </w:r>
      <w:r>
        <w:rPr>
          <w:i/>
        </w:rPr>
        <w:t>Synchronicity: An Acausal Connecting Principle</w:t>
      </w:r>
      <w:r>
        <w:t>. Translated by R. F. C. Hull. Princeton: Princeton University Press, 1973.</w:t>
      </w:r>
    </w:p>
    <w:p w14:paraId="15EB5D3A" w14:textId="77777777" w:rsidR="00F93551" w:rsidRDefault="00DD7D58">
      <w:pPr>
        <w:pStyle w:val="BibliographyEntry"/>
      </w:pPr>
      <w:r>
        <w:t xml:space="preserve">Jung, C. G. </w:t>
      </w:r>
      <w:r>
        <w:rPr>
          <w:i/>
        </w:rPr>
        <w:t>The Archetypes and the Collective Unconscious</w:t>
      </w:r>
      <w:r>
        <w:t>. 2nd ed. Translated by R. F. C. Hull. Princeton: Princeton University Press, 1969.</w:t>
      </w:r>
    </w:p>
    <w:p w14:paraId="0164338B" w14:textId="77777777" w:rsidR="00F93551" w:rsidRDefault="00DD7D58">
      <w:pPr>
        <w:pStyle w:val="BibliographyEntry"/>
      </w:pPr>
      <w:r>
        <w:t xml:space="preserve">Kant, Immanuel. </w:t>
      </w:r>
      <w:r>
        <w:rPr>
          <w:i/>
        </w:rPr>
        <w:t>Critique of Pure Reason</w:t>
      </w:r>
      <w:r>
        <w:t>. Translated and edited by Paul Guyer and Allen W. Wood. Cambridge: Cambridge University Press, 1998.</w:t>
      </w:r>
    </w:p>
    <w:p w14:paraId="7C1A1B2F" w14:textId="77777777" w:rsidR="00F93551" w:rsidRDefault="00DD7D58">
      <w:pPr>
        <w:pStyle w:val="BibliographyEntry"/>
      </w:pPr>
      <w:r>
        <w:t xml:space="preserve">Kant, Immanuel. </w:t>
      </w:r>
      <w:r>
        <w:rPr>
          <w:i/>
        </w:rPr>
        <w:t>Critique of the Power of Judgment</w:t>
      </w:r>
      <w:r>
        <w:t>. Edited by Paul Guyer. Translated by Paul Guyer and Eric Matthews. Cambridge: Cambridge University Press, 2000.</w:t>
      </w:r>
    </w:p>
    <w:p w14:paraId="1091C30E" w14:textId="77777777" w:rsidR="00F93551" w:rsidRDefault="00DD7D58">
      <w:pPr>
        <w:pStyle w:val="BibliographyEntry"/>
      </w:pPr>
      <w:r>
        <w:t xml:space="preserve">Karant-Nunn, Susan C. </w:t>
      </w:r>
      <w:r>
        <w:rPr>
          <w:i/>
        </w:rPr>
        <w:t>The Reformation of Ritual: An Interpretation of Early Modern Germany</w:t>
      </w:r>
      <w:r>
        <w:t>. London: Routledge, 1997.</w:t>
      </w:r>
    </w:p>
    <w:p w14:paraId="42F49B2B" w14:textId="77777777" w:rsidR="00F93551" w:rsidRDefault="00DD7D58">
      <w:pPr>
        <w:pStyle w:val="BibliographyEntry"/>
      </w:pPr>
      <w:r>
        <w:t xml:space="preserve">Kemp, Barry J. </w:t>
      </w:r>
      <w:r>
        <w:rPr>
          <w:i/>
        </w:rPr>
        <w:t>Ancient Egypt: Anatomy of a Civilization</w:t>
      </w:r>
      <w:r>
        <w:t>. 3rd ed. London: Routledge, 2018.</w:t>
      </w:r>
    </w:p>
    <w:p w14:paraId="3CF1AB78" w14:textId="77777777" w:rsidR="00F93551" w:rsidRDefault="00DD7D58">
      <w:pPr>
        <w:pStyle w:val="BibliographyEntry"/>
      </w:pPr>
      <w:r>
        <w:t xml:space="preserve">Kepler, Johannes. </w:t>
      </w:r>
      <w:r>
        <w:rPr>
          <w:i/>
        </w:rPr>
        <w:t>New Astronomy</w:t>
      </w:r>
      <w:r>
        <w:t>. Translated by William H. Donahue. Cambridge: Cambridge University Press, 1992.</w:t>
      </w:r>
    </w:p>
    <w:p w14:paraId="1E4BF52F" w14:textId="77777777" w:rsidR="00F93551" w:rsidRDefault="00DD7D58">
      <w:pPr>
        <w:pStyle w:val="BibliographyEntry"/>
      </w:pPr>
      <w:r>
        <w:t xml:space="preserve">Kepler, Johannes. </w:t>
      </w:r>
      <w:r>
        <w:rPr>
          <w:i/>
        </w:rPr>
        <w:t>The Harmony of the World</w:t>
      </w:r>
      <w:r>
        <w:t>. Translated by E. J. Aiton, A. M. Duncan, and J. V. Field. Philadelphia: American Philosophical Society, 1997.</w:t>
      </w:r>
    </w:p>
    <w:p w14:paraId="6309D6B3" w14:textId="77777777" w:rsidR="00F93551" w:rsidRDefault="00DD7D58">
      <w:pPr>
        <w:pStyle w:val="BibliographyEntry"/>
      </w:pPr>
      <w:r>
        <w:t xml:space="preserve">Kepler, Johannes. </w:t>
      </w:r>
      <w:r>
        <w:rPr>
          <w:i/>
        </w:rPr>
        <w:t>The Secret of the Universe: Mysterium Cosmographicum</w:t>
      </w:r>
      <w:r>
        <w:t>. Translated by A. M. Duncan. Introduction and commentary by E. J. Aiton. New York: Abaris Books, 1981.</w:t>
      </w:r>
    </w:p>
    <w:p w14:paraId="0B7E8DF0" w14:textId="77777777" w:rsidR="00F93551" w:rsidRDefault="00DD7D58">
      <w:pPr>
        <w:pStyle w:val="BibliographyEntry"/>
      </w:pPr>
      <w:r>
        <w:t xml:space="preserve">King, David A. </w:t>
      </w:r>
      <w:r>
        <w:rPr>
          <w:i/>
        </w:rPr>
        <w:t>In Synchrony with the Heavens: Studies in Astronomical Timekeeping and Instrumentation in Medieval Islamic Civilization</w:t>
      </w:r>
      <w:r>
        <w:t>. Vol. 1. Leiden: Brill, 2004.</w:t>
      </w:r>
    </w:p>
    <w:p w14:paraId="1117DBCD" w14:textId="77777777" w:rsidR="00F93551" w:rsidRDefault="00DD7D58">
      <w:pPr>
        <w:pStyle w:val="BibliographyEntry"/>
      </w:pPr>
      <w:r>
        <w:t xml:space="preserve">Kooten, George H. van. </w:t>
      </w:r>
      <w:r>
        <w:rPr>
          <w:i/>
        </w:rPr>
        <w:t>Cosmic Christology in Paul and the Pauline School: Colossians and Ephesians in the Context of Graeco-Roman Cosmology</w:t>
      </w:r>
      <w:r>
        <w:t>. Tübingen: Mohr Siebeck, 2003.</w:t>
      </w:r>
    </w:p>
    <w:p w14:paraId="5B57F002" w14:textId="77777777" w:rsidR="00F93551" w:rsidRDefault="00DD7D58">
      <w:pPr>
        <w:pStyle w:val="BibliographyEntry"/>
      </w:pPr>
      <w:r>
        <w:t xml:space="preserve">Koyré, Alexandre. </w:t>
      </w:r>
      <w:r>
        <w:rPr>
          <w:i/>
        </w:rPr>
        <w:t>From the Closed World to the Infinite Universe</w:t>
      </w:r>
      <w:r>
        <w:t>. Baltimore: Johns Hopkins Press, 1957.</w:t>
      </w:r>
    </w:p>
    <w:p w14:paraId="579F60D4" w14:textId="77777777" w:rsidR="00F93551" w:rsidRDefault="00DD7D58">
      <w:pPr>
        <w:pStyle w:val="BibliographyEntry"/>
      </w:pPr>
      <w:r>
        <w:t xml:space="preserve">Kuehni, Rolf G., and Andreas Schwarz. </w:t>
      </w:r>
      <w:r>
        <w:rPr>
          <w:i/>
        </w:rPr>
        <w:t>Color Ordered: A Survey of Color Systems from Antiquity to the Present</w:t>
      </w:r>
      <w:r>
        <w:t>. Oxford: Oxford University Press, 2008.</w:t>
      </w:r>
    </w:p>
    <w:p w14:paraId="185298A2" w14:textId="77777777" w:rsidR="00F93551" w:rsidRDefault="00DD7D58">
      <w:pPr>
        <w:pStyle w:val="BibliographyEntry"/>
      </w:pPr>
      <w:r>
        <w:t xml:space="preserve">Kula, Witold. </w:t>
      </w:r>
      <w:r>
        <w:rPr>
          <w:i/>
        </w:rPr>
        <w:t>Measures and Men</w:t>
      </w:r>
      <w:r>
        <w:t>. Translated by R. Szreter. Princeton: Princeton University Press, 1986.</w:t>
      </w:r>
    </w:p>
    <w:p w14:paraId="33B63CBE" w14:textId="77777777" w:rsidR="00F93551" w:rsidRDefault="00DD7D58">
      <w:pPr>
        <w:pStyle w:val="BibliographyEntry"/>
      </w:pPr>
      <w:r>
        <w:t xml:space="preserve">Kurgan, Laura. </w:t>
      </w:r>
      <w:r>
        <w:rPr>
          <w:i/>
        </w:rPr>
        <w:t>Close Up at a Distance: Mapping, Technology, and Politics</w:t>
      </w:r>
      <w:r>
        <w:t>. Brooklyn, NY: Zone Books, 2013.</w:t>
      </w:r>
    </w:p>
    <w:p w14:paraId="71452035" w14:textId="77777777" w:rsidR="00F93551" w:rsidRDefault="00DD7D58">
      <w:pPr>
        <w:pStyle w:val="BibliographyEntry"/>
      </w:pPr>
      <w:r>
        <w:t xml:space="preserve">Kusukawa, Sachiko. </w:t>
      </w:r>
      <w:r>
        <w:rPr>
          <w:i/>
        </w:rPr>
        <w:t>Picturing the Book of Nature: Image, Text, and Argument in Sixteenth-Century Human Anatomy and Medical Botany</w:t>
      </w:r>
      <w:r>
        <w:t>. Chicago: University of Chicago Press, 2012.</w:t>
      </w:r>
    </w:p>
    <w:p w14:paraId="03F193A2" w14:textId="77777777" w:rsidR="00F93551" w:rsidRDefault="00DD7D58">
      <w:pPr>
        <w:pStyle w:val="BibliographyEntry"/>
      </w:pPr>
      <w:r>
        <w:t xml:space="preserve">Lenton, Tim, and Andrew Watson. </w:t>
      </w:r>
      <w:r>
        <w:rPr>
          <w:i/>
        </w:rPr>
        <w:t>Revolutions That Made the Earth</w:t>
      </w:r>
      <w:r>
        <w:t>. Oxford: Oxford University Press, 2011.</w:t>
      </w:r>
    </w:p>
    <w:p w14:paraId="65B9636C" w14:textId="77777777" w:rsidR="00F93551" w:rsidRDefault="00DD7D58">
      <w:pPr>
        <w:pStyle w:val="BibliographyEntry"/>
      </w:pPr>
      <w:r>
        <w:t xml:space="preserve">Levenson, Jon D. </w:t>
      </w:r>
      <w:r>
        <w:rPr>
          <w:i/>
        </w:rPr>
        <w:t>Creation and the Persistence of Evil: The Jewish Drama of Divine Omnipotence</w:t>
      </w:r>
      <w:r>
        <w:t>. Princeton, NJ: Princeton University Press, 1988; paperback ed. with new preface, 1994.</w:t>
      </w:r>
    </w:p>
    <w:p w14:paraId="14282192" w14:textId="77777777" w:rsidR="00F93551" w:rsidRDefault="00DD7D58">
      <w:pPr>
        <w:pStyle w:val="BibliographyEntry"/>
      </w:pPr>
      <w:r>
        <w:t xml:space="preserve">Lewis, C. S. </w:t>
      </w:r>
      <w:r>
        <w:rPr>
          <w:i/>
        </w:rPr>
        <w:t>The Discarded Image: An Introduction to Medieval and Renaissance Literature</w:t>
      </w:r>
      <w:r>
        <w:t>. Cambridge: Cambridge University Press, 1964.</w:t>
      </w:r>
    </w:p>
    <w:p w14:paraId="629C90C4" w14:textId="77777777" w:rsidR="00F93551" w:rsidRDefault="00DD7D58">
      <w:pPr>
        <w:pStyle w:val="BibliographyEntry"/>
      </w:pPr>
      <w:r>
        <w:t xml:space="preserve">Lichtheim, Miriam. </w:t>
      </w:r>
      <w:r>
        <w:rPr>
          <w:i/>
        </w:rPr>
        <w:t>Ancient Egyptian Literature: A Book of Readings</w:t>
      </w:r>
      <w:r>
        <w:t xml:space="preserve">. Vol. 1, </w:t>
      </w:r>
      <w:r>
        <w:rPr>
          <w:i/>
        </w:rPr>
        <w:t>The Old and Middle Kingdoms</w:t>
      </w:r>
      <w:r>
        <w:t>. Berkeley: University of California Press, 1973.</w:t>
      </w:r>
    </w:p>
    <w:p w14:paraId="2B6A87EB" w14:textId="77777777" w:rsidR="00F93551" w:rsidRDefault="00DD7D58">
      <w:pPr>
        <w:pStyle w:val="BibliographyEntry"/>
      </w:pPr>
      <w:r>
        <w:t xml:space="preserve">Lloyd, G. E. R. </w:t>
      </w:r>
      <w:r>
        <w:rPr>
          <w:i/>
        </w:rPr>
        <w:t>Early Greek Science: Thales to Aristotle</w:t>
      </w:r>
      <w:r>
        <w:t>. London: Chatto &amp; Windus, 1970.</w:t>
      </w:r>
    </w:p>
    <w:p w14:paraId="30ED1E9C" w14:textId="77777777" w:rsidR="00F93551" w:rsidRDefault="00DD7D58">
      <w:pPr>
        <w:pStyle w:val="BibliographyEntry"/>
      </w:pPr>
      <w:r>
        <w:t xml:space="preserve">Locke, John. </w:t>
      </w:r>
      <w:r>
        <w:rPr>
          <w:i/>
        </w:rPr>
        <w:t>An Essay Concerning Human Understanding</w:t>
      </w:r>
      <w:r>
        <w:t>. Edited by Alexander Campbell Fraser, 2 vols. New York: Dover, 1959.</w:t>
      </w:r>
    </w:p>
    <w:p w14:paraId="13BC1127" w14:textId="77777777" w:rsidR="00F93551" w:rsidRDefault="00DD7D58">
      <w:pPr>
        <w:pStyle w:val="BibliographyEntry"/>
      </w:pPr>
      <w:r>
        <w:t xml:space="preserve">Long, A. A., and D. N. Sedley. </w:t>
      </w:r>
      <w:r>
        <w:rPr>
          <w:i/>
        </w:rPr>
        <w:t>The Hellenistic Philosophers</w:t>
      </w:r>
      <w:r>
        <w:t xml:space="preserve">. Vol. 1, </w:t>
      </w:r>
      <w:r>
        <w:rPr>
          <w:i/>
        </w:rPr>
        <w:t>Translations of the Principal Sources with Philosophical Commentary</w:t>
      </w:r>
      <w:r>
        <w:t>. Cambridge: Cambridge University Press, 1987.</w:t>
      </w:r>
    </w:p>
    <w:p w14:paraId="30EACDC6" w14:textId="77777777" w:rsidR="00F93551" w:rsidRDefault="00DD7D58">
      <w:pPr>
        <w:pStyle w:val="BibliographyEntry"/>
      </w:pPr>
      <w:r>
        <w:t xml:space="preserve">Long, Pamela O. </w:t>
      </w:r>
      <w:r>
        <w:rPr>
          <w:i/>
        </w:rPr>
        <w:t>Artisan/Practitioners and the Rise of the New Sciences, 1400–1600</w:t>
      </w:r>
      <w:r>
        <w:t>. Corvallis: Oregon State University Press, 2011.</w:t>
      </w:r>
    </w:p>
    <w:p w14:paraId="3AE4FF25" w14:textId="77777777" w:rsidR="00F93551" w:rsidRDefault="00DD7D58">
      <w:pPr>
        <w:pStyle w:val="BibliographyEntry"/>
      </w:pPr>
      <w:r>
        <w:t xml:space="preserve">Lovelock, James E., and Lynn Margulis. “Atmospheric Homeostasis by and for the Biosphere: The Gaia Hypothesis.” </w:t>
      </w:r>
      <w:r>
        <w:rPr>
          <w:i/>
        </w:rPr>
        <w:t>Tellus</w:t>
      </w:r>
      <w:r>
        <w:t xml:space="preserve"> 26, nos. 1–2 (1974): 2–10.</w:t>
      </w:r>
    </w:p>
    <w:p w14:paraId="7E1CFC97" w14:textId="77777777" w:rsidR="00F93551" w:rsidRDefault="00DD7D58">
      <w:pPr>
        <w:pStyle w:val="BibliographyEntry"/>
      </w:pPr>
      <w:r>
        <w:t xml:space="preserve">Lowengard, Sarah. </w:t>
      </w:r>
      <w:r>
        <w:rPr>
          <w:i/>
        </w:rPr>
        <w:t>The Creation of Color in Eighteenth-Century Europe</w:t>
      </w:r>
      <w:r>
        <w:t>. New York: Columbia University Press, 2006.</w:t>
      </w:r>
    </w:p>
    <w:p w14:paraId="39131801" w14:textId="77777777" w:rsidR="00F93551" w:rsidRDefault="00DD7D58">
      <w:pPr>
        <w:pStyle w:val="BibliographyEntry"/>
      </w:pPr>
      <w:r>
        <w:t xml:space="preserve">Luther, Martin. </w:t>
      </w:r>
      <w:r>
        <w:rPr>
          <w:i/>
        </w:rPr>
        <w:t>Luther’s Works</w:t>
      </w:r>
      <w:r>
        <w:t xml:space="preserve">. Vol. 37, </w:t>
      </w:r>
      <w:r>
        <w:rPr>
          <w:i/>
        </w:rPr>
        <w:t>Word and Sacrament III</w:t>
      </w:r>
      <w:r>
        <w:t>. Edited by Robert H. Fischer. Philadelphia: Muhlenberg Press, 1961.</w:t>
      </w:r>
    </w:p>
    <w:p w14:paraId="2C8CAE9D" w14:textId="77777777" w:rsidR="00F93551" w:rsidRDefault="00DD7D58">
      <w:pPr>
        <w:pStyle w:val="BibliographyEntry"/>
      </w:pPr>
      <w:r>
        <w:t xml:space="preserve">Luther, Martin. </w:t>
      </w:r>
      <w:r>
        <w:rPr>
          <w:i/>
        </w:rPr>
        <w:t>The Babylonian Captivity of the Church, 1520</w:t>
      </w:r>
      <w:r>
        <w:t>. Edited and translated by Erik H. Herrmann and Paul W. Robinson. Minneapolis: Fortress Press, 2016.</w:t>
      </w:r>
    </w:p>
    <w:p w14:paraId="2C13851E" w14:textId="77777777" w:rsidR="00F93551" w:rsidRDefault="00DD7D58">
      <w:pPr>
        <w:pStyle w:val="BibliographyEntry"/>
      </w:pPr>
      <w:r>
        <w:t xml:space="preserve">Lyell, Charles. </w:t>
      </w:r>
      <w:r>
        <w:rPr>
          <w:i/>
        </w:rPr>
        <w:t>Principles of Geology</w:t>
      </w:r>
      <w:r>
        <w:t>. 3 vols. London: John Murray, 1830–33.</w:t>
      </w:r>
    </w:p>
    <w:p w14:paraId="03E69FB3" w14:textId="77777777" w:rsidR="00F93551" w:rsidRDefault="00DD7D58">
      <w:pPr>
        <w:pStyle w:val="BibliographyEntry"/>
      </w:pPr>
      <w:r>
        <w:t xml:space="preserve">Mâle, Émile. </w:t>
      </w:r>
      <w:r>
        <w:rPr>
          <w:i/>
        </w:rPr>
        <w:t>The Gothic Image: Religious Art in France of the Thirteenth Century</w:t>
      </w:r>
      <w:r>
        <w:t>. Translated by Dora Nussey. New York: Harper, 1958.</w:t>
      </w:r>
    </w:p>
    <w:p w14:paraId="41895AA9" w14:textId="77777777" w:rsidR="00F93551" w:rsidRDefault="00DD7D58">
      <w:pPr>
        <w:pStyle w:val="BibliographyEntry"/>
      </w:pPr>
      <w:r>
        <w:t xml:space="preserve">Macy, Gary. “The Medieval Inheritance.” In </w:t>
      </w:r>
      <w:r>
        <w:rPr>
          <w:i/>
        </w:rPr>
        <w:t>A Companion to the Eucharist in the Reformation</w:t>
      </w:r>
      <w:r>
        <w:t>, edited by Lee Palmer Wandel, 15–37. Leiden: Brill, 2014.</w:t>
      </w:r>
    </w:p>
    <w:p w14:paraId="4D67EDEB" w14:textId="77777777" w:rsidR="00F93551" w:rsidRDefault="00DD7D58">
      <w:pPr>
        <w:pStyle w:val="BibliographyEntry"/>
      </w:pPr>
      <w:r>
        <w:t xml:space="preserve">Malm, Andreas. </w:t>
      </w:r>
      <w:r>
        <w:rPr>
          <w:i/>
        </w:rPr>
        <w:t>Fossil Capital: The Rise of Steam Power and the Roots of Global Warming</w:t>
      </w:r>
      <w:r>
        <w:t>. London: Verso, 2016.</w:t>
      </w:r>
    </w:p>
    <w:p w14:paraId="271F391F" w14:textId="77777777" w:rsidR="00F93551" w:rsidRDefault="00DD7D58">
      <w:pPr>
        <w:pStyle w:val="BibliographyEntry"/>
      </w:pPr>
      <w:r>
        <w:t xml:space="preserve">Manilius. </w:t>
      </w:r>
      <w:r>
        <w:rPr>
          <w:i/>
        </w:rPr>
        <w:t>Astronomica</w:t>
      </w:r>
      <w:r>
        <w:t>. Edited and translated by G. P. Goold. Cambridge, MA: Harvard University Press, 1977.</w:t>
      </w:r>
    </w:p>
    <w:p w14:paraId="73DF318D" w14:textId="77777777" w:rsidR="00F93551" w:rsidRDefault="00DD7D58">
      <w:pPr>
        <w:pStyle w:val="BibliographyEntry"/>
      </w:pPr>
      <w:r>
        <w:t xml:space="preserve">Margulis, Lynn. </w:t>
      </w:r>
      <w:r>
        <w:rPr>
          <w:i/>
        </w:rPr>
        <w:t>The Symbiotic Planet: A New Look at Evolution</w:t>
      </w:r>
      <w:r>
        <w:t>. London: Phoenix, 1999.</w:t>
      </w:r>
    </w:p>
    <w:p w14:paraId="547CDF83" w14:textId="77777777" w:rsidR="00F93551" w:rsidRDefault="00DD7D58">
      <w:pPr>
        <w:pStyle w:val="BibliographyEntry"/>
      </w:pPr>
      <w:r>
        <w:t xml:space="preserve">Merchant, Carolyn. </w:t>
      </w:r>
      <w:r>
        <w:rPr>
          <w:i/>
        </w:rPr>
        <w:t>The Death of Nature: Women, Ecology, and the Scientific Revolution</w:t>
      </w:r>
      <w:r>
        <w:t>. San Francisco: Harper &amp; Row, 1980.</w:t>
      </w:r>
    </w:p>
    <w:p w14:paraId="55979701" w14:textId="77777777" w:rsidR="00F93551" w:rsidRDefault="00DD7D58">
      <w:pPr>
        <w:pStyle w:val="BibliographyEntry"/>
      </w:pPr>
      <w:r>
        <w:t xml:space="preserve">Merian, Maria Sibylla. </w:t>
      </w:r>
      <w:r>
        <w:rPr>
          <w:i/>
        </w:rPr>
        <w:t>Metamorphosis insectorum Surinamensium</w:t>
      </w:r>
      <w:r>
        <w:t>. Amsterdam, 1705.</w:t>
      </w:r>
    </w:p>
    <w:p w14:paraId="3388E937" w14:textId="77777777" w:rsidR="00F93551" w:rsidRDefault="00DD7D58">
      <w:pPr>
        <w:pStyle w:val="BibliographyEntry"/>
      </w:pPr>
      <w:r>
        <w:t xml:space="preserve">Merleau-Ponty, Maurice. </w:t>
      </w:r>
      <w:r>
        <w:rPr>
          <w:i/>
        </w:rPr>
        <w:t>Nature: Course Notes from the Collège de France</w:t>
      </w:r>
      <w:r>
        <w:t>. Compiled by Dominique Séglard. Translated by Robert Vallier. Evanston, IL: Northwestern University Press, 2003.</w:t>
      </w:r>
    </w:p>
    <w:p w14:paraId="2667B361" w14:textId="77777777" w:rsidR="00F93551" w:rsidRDefault="00DD7D58">
      <w:pPr>
        <w:pStyle w:val="BibliographyEntry"/>
      </w:pPr>
      <w:r>
        <w:t xml:space="preserve">Merleau-Ponty, Maurice. </w:t>
      </w:r>
      <w:r>
        <w:rPr>
          <w:i/>
        </w:rPr>
        <w:t>Phenomenology of Perception</w:t>
      </w:r>
      <w:r>
        <w:t>. Translated by Colin Smith. 2nd ed. London: Routledge, 2002.</w:t>
      </w:r>
    </w:p>
    <w:p w14:paraId="73596641" w14:textId="77777777" w:rsidR="00F93551" w:rsidRDefault="00DD7D58">
      <w:pPr>
        <w:pStyle w:val="BibliographyEntry"/>
      </w:pPr>
      <w:r>
        <w:t xml:space="preserve">Merleau-Ponty, Maurice. </w:t>
      </w:r>
      <w:r>
        <w:rPr>
          <w:i/>
        </w:rPr>
        <w:t>The Structure of Behavior</w:t>
      </w:r>
      <w:r>
        <w:t>. Translated by Alden L. Fisher. Pittsburgh: Duquesne University Press, 1983.</w:t>
      </w:r>
    </w:p>
    <w:p w14:paraId="47B4B988" w14:textId="77777777" w:rsidR="00F93551" w:rsidRDefault="00DD7D58">
      <w:pPr>
        <w:pStyle w:val="BibliographyEntry"/>
      </w:pPr>
      <w:r>
        <w:t xml:space="preserve">Merleau-Ponty, Maurice. </w:t>
      </w:r>
      <w:r>
        <w:rPr>
          <w:i/>
        </w:rPr>
        <w:t>The Visible and the Invisible</w:t>
      </w:r>
      <w:r>
        <w:t>. Edited by Claude Lefort. Translated by Alphonso Lingis. Evanston, IL: Northwestern University Press, 1968.</w:t>
      </w:r>
    </w:p>
    <w:p w14:paraId="7B3E823A" w14:textId="77777777" w:rsidR="00F93551" w:rsidRDefault="00DD7D58">
      <w:pPr>
        <w:pStyle w:val="BibliographyEntry"/>
      </w:pPr>
      <w:r>
        <w:t xml:space="preserve">Moore, Gregory. </w:t>
      </w:r>
      <w:r>
        <w:rPr>
          <w:i/>
        </w:rPr>
        <w:t>Nietzsche, Biology and Metaphor</w:t>
      </w:r>
      <w:r>
        <w:t>. Cambridge: Cambridge University Press, 2002.</w:t>
      </w:r>
    </w:p>
    <w:p w14:paraId="2816D386" w14:textId="77777777" w:rsidR="00F93551" w:rsidRDefault="00DD7D58">
      <w:pPr>
        <w:pStyle w:val="BibliographyEntry"/>
      </w:pPr>
      <w:r>
        <w:t xml:space="preserve">Moore, R. I. </w:t>
      </w:r>
      <w:r>
        <w:rPr>
          <w:i/>
        </w:rPr>
        <w:t>The Formation of a Persecuting Society: Authority and Deviance in Western Europe, 950–1250</w:t>
      </w:r>
      <w:r>
        <w:t>. 2nd ed. Malden, MA: Blackwell, 2007.</w:t>
      </w:r>
    </w:p>
    <w:p w14:paraId="0EBD7740" w14:textId="77777777" w:rsidR="00F93551" w:rsidRDefault="00DD7D58">
      <w:pPr>
        <w:pStyle w:val="BibliographyEntry"/>
      </w:pPr>
      <w:r>
        <w:t xml:space="preserve">More, Henry. </w:t>
      </w:r>
      <w:r>
        <w:rPr>
          <w:i/>
        </w:rPr>
        <w:t>The Immortality of the Soul</w:t>
      </w:r>
      <w:r>
        <w:t>. Edited by Alexander Jacob. Dordrecht: Martinus Nijhoff, 1987.</w:t>
      </w:r>
    </w:p>
    <w:p w14:paraId="1594953D" w14:textId="77777777" w:rsidR="00F93551" w:rsidRDefault="00DD7D58">
      <w:pPr>
        <w:pStyle w:val="BibliographyEntry"/>
      </w:pPr>
      <w:r>
        <w:t xml:space="preserve">Mumford, Lewis. </w:t>
      </w:r>
      <w:r>
        <w:rPr>
          <w:i/>
        </w:rPr>
        <w:t>Technics and Civilization</w:t>
      </w:r>
      <w:r>
        <w:t>. New York: Harcourt, Brace, 1934.</w:t>
      </w:r>
    </w:p>
    <w:p w14:paraId="002E077A" w14:textId="77777777" w:rsidR="00F93551" w:rsidRDefault="00DD7D58">
      <w:pPr>
        <w:pStyle w:val="BibliographyEntry"/>
      </w:pPr>
      <w:r>
        <w:t xml:space="preserve">NASA. “Apollo 8’s Iconic Earthrise.” </w:t>
      </w:r>
      <w:r>
        <w:rPr>
          <w:i/>
        </w:rPr>
        <w:t>NASA Science</w:t>
      </w:r>
      <w:r>
        <w:t>. https://science.nasa.gov/resource/apollo-8s-iconic-earthrise/.</w:t>
      </w:r>
    </w:p>
    <w:p w14:paraId="00E17D49" w14:textId="77777777" w:rsidR="00F93551" w:rsidRDefault="00DD7D58">
      <w:pPr>
        <w:pStyle w:val="BibliographyEntry"/>
      </w:pPr>
      <w:r>
        <w:t xml:space="preserve">National Institute of Standards and Technology. </w:t>
      </w:r>
      <w:r>
        <w:rPr>
          <w:i/>
        </w:rPr>
        <w:t>Artificial Intelligence Risk Management Framework: Generative Artificial Intelligence Profile</w:t>
      </w:r>
      <w:r>
        <w:t>. NIST AI 600-1. Gaithersburg, MD: National Institute of Standards and Technology, July 2024.</w:t>
      </w:r>
    </w:p>
    <w:p w14:paraId="65900235" w14:textId="77777777" w:rsidR="00F93551" w:rsidRDefault="00DD7D58">
      <w:pPr>
        <w:pStyle w:val="BibliographyEntry"/>
      </w:pPr>
      <w:r>
        <w:t xml:space="preserve">Neri, Janice. </w:t>
      </w:r>
      <w:r>
        <w:rPr>
          <w:i/>
        </w:rPr>
        <w:t>The Insect and the Image: Visualizing Nature in Early Modern Europe, 1500–1700</w:t>
      </w:r>
      <w:r>
        <w:t>. Minneapolis: University of Minnesota Press, 2011.</w:t>
      </w:r>
    </w:p>
    <w:p w14:paraId="60B1854E" w14:textId="77777777" w:rsidR="00F93551" w:rsidRDefault="00DD7D58">
      <w:pPr>
        <w:pStyle w:val="BibliographyEntry"/>
      </w:pPr>
      <w:r>
        <w:t xml:space="preserve">Neugebauer, Otto, and H. B. Van Hoesen. </w:t>
      </w:r>
      <w:r>
        <w:rPr>
          <w:i/>
        </w:rPr>
        <w:t>Greek Horoscopes</w:t>
      </w:r>
      <w:r>
        <w:t>. Philadelphia: American Philosophical Society, 1959; repr. 1987.</w:t>
      </w:r>
    </w:p>
    <w:p w14:paraId="1553DC87" w14:textId="77777777" w:rsidR="00F93551" w:rsidRDefault="00DD7D58">
      <w:pPr>
        <w:pStyle w:val="BibliographyEntry"/>
      </w:pPr>
      <w:r>
        <w:t xml:space="preserve">Newman, William R. </w:t>
      </w:r>
      <w:r>
        <w:rPr>
          <w:i/>
        </w:rPr>
        <w:t>Atoms and Alchemy: Chymistry and the Experimental Origins of the Scientific Revolution</w:t>
      </w:r>
      <w:r>
        <w:t>. Chicago: University of Chicago Press, 2006.</w:t>
      </w:r>
    </w:p>
    <w:p w14:paraId="4D3FDCB1" w14:textId="77777777" w:rsidR="00F93551" w:rsidRDefault="00DD7D58">
      <w:pPr>
        <w:pStyle w:val="BibliographyEntry"/>
      </w:pPr>
      <w:r>
        <w:t xml:space="preserve">Newton, Isaac. </w:t>
      </w:r>
      <w:r>
        <w:rPr>
          <w:i/>
        </w:rPr>
        <w:t>Opticks; or, A Treatise of the Reflections, Refractions, Inflections and Colours of Light</w:t>
      </w:r>
      <w:r>
        <w:t>. 4th ed. London, 1730.</w:t>
      </w:r>
    </w:p>
    <w:p w14:paraId="26024E3D" w14:textId="77777777" w:rsidR="00F93551" w:rsidRDefault="00DD7D58">
      <w:pPr>
        <w:pStyle w:val="BibliographyEntry"/>
      </w:pPr>
      <w:r>
        <w:t xml:space="preserve">Newton, Isaac. </w:t>
      </w:r>
      <w:r>
        <w:rPr>
          <w:i/>
        </w:rPr>
        <w:t>The Mathematical Principles of Natural Philosophy</w:t>
      </w:r>
      <w:r>
        <w:t>. Translated by Andrew Motte. Revised by Florian Cajori. New York: Daniel Adee, 1846.</w:t>
      </w:r>
    </w:p>
    <w:p w14:paraId="41804F21" w14:textId="77777777" w:rsidR="00F93551" w:rsidRDefault="00DD7D58">
      <w:pPr>
        <w:pStyle w:val="BibliographyEntry"/>
      </w:pPr>
      <w:r>
        <w:t xml:space="preserve">Nicolai, Roel. </w:t>
      </w:r>
      <w:r>
        <w:rPr>
          <w:i/>
        </w:rPr>
        <w:t>The Enigma of the Origin of Portolan Charts: A Geodetic Analysis of the Hypothesis of a Medieval Origin</w:t>
      </w:r>
      <w:r>
        <w:t>. Leiden: Brill, 2016.</w:t>
      </w:r>
    </w:p>
    <w:p w14:paraId="72687E13" w14:textId="77777777" w:rsidR="00F93551" w:rsidRDefault="00DD7D58">
      <w:pPr>
        <w:pStyle w:val="BibliographyEntry"/>
      </w:pPr>
      <w:r>
        <w:t xml:space="preserve">Nietzsche, Friedrich. </w:t>
      </w:r>
      <w:r>
        <w:rPr>
          <w:i/>
        </w:rPr>
        <w:t>Beyond Good and Evil</w:t>
      </w:r>
      <w:r>
        <w:t>. Translated by Walter Kaufmann. New York: Vintage, 1966.</w:t>
      </w:r>
    </w:p>
    <w:p w14:paraId="2DB99DFB" w14:textId="77777777" w:rsidR="00F93551" w:rsidRDefault="00DD7D58">
      <w:pPr>
        <w:pStyle w:val="BibliographyEntry"/>
      </w:pPr>
      <w:r>
        <w:t xml:space="preserve">Nietzsche, Friedrich. </w:t>
      </w:r>
      <w:r>
        <w:rPr>
          <w:i/>
        </w:rPr>
        <w:t>On the Genealogy of Morality</w:t>
      </w:r>
      <w:r>
        <w:t>. Edited by Keith Ansell-Pearson. Translated by Carol Diethe. Rev. ed. Cambridge: Cambridge University Press, 2006.</w:t>
      </w:r>
    </w:p>
    <w:p w14:paraId="44EE826C" w14:textId="77777777" w:rsidR="00F93551" w:rsidRDefault="00DD7D58">
      <w:pPr>
        <w:pStyle w:val="BibliographyEntry"/>
      </w:pPr>
      <w:r>
        <w:t xml:space="preserve">Nietzsche, Friedrich. </w:t>
      </w:r>
      <w:r>
        <w:rPr>
          <w:i/>
        </w:rPr>
        <w:t>The Gay Science</w:t>
      </w:r>
      <w:r>
        <w:t>. Translated by Walter Kaufmann. New York: Vintage, 1974.</w:t>
      </w:r>
    </w:p>
    <w:p w14:paraId="0D0E33B7" w14:textId="77777777" w:rsidR="00F93551" w:rsidRDefault="00DD7D58">
      <w:pPr>
        <w:pStyle w:val="BibliographyEntry"/>
      </w:pPr>
      <w:r>
        <w:t xml:space="preserve">Noble, Safiya Umoja. </w:t>
      </w:r>
      <w:r>
        <w:rPr>
          <w:i/>
        </w:rPr>
        <w:t>Algorithms of Oppression: How Search Engines Reinforce Racism</w:t>
      </w:r>
      <w:r>
        <w:t>. New York: New York University Press, 2018.</w:t>
      </w:r>
    </w:p>
    <w:p w14:paraId="74E2BC15" w14:textId="77777777" w:rsidR="00F93551" w:rsidRDefault="00DD7D58">
      <w:pPr>
        <w:pStyle w:val="BibliographyEntry"/>
      </w:pPr>
      <w:r>
        <w:t xml:space="preserve">Nummedal, Tara. </w:t>
      </w:r>
      <w:r>
        <w:rPr>
          <w:i/>
        </w:rPr>
        <w:t>Alchemy and Authority in the Holy Roman Empire</w:t>
      </w:r>
      <w:r>
        <w:t>. Chicago: University of Chicago Press, 2007.</w:t>
      </w:r>
    </w:p>
    <w:p w14:paraId="39567235" w14:textId="77777777" w:rsidR="00F93551" w:rsidRDefault="00DD7D58">
      <w:pPr>
        <w:pStyle w:val="BibliographyEntry"/>
      </w:pPr>
      <w:r>
        <w:t xml:space="preserve">Nummedal, Tara E. </w:t>
      </w:r>
      <w:r>
        <w:rPr>
          <w:i/>
        </w:rPr>
        <w:t>Anna Zieglerin and the Lion’s Blood: Alchemy and End Times in Reformation Germany</w:t>
      </w:r>
      <w:r>
        <w:t>. Philadelphia: University of Pennsylvania Press, 2019.</w:t>
      </w:r>
    </w:p>
    <w:p w14:paraId="44682967" w14:textId="77777777" w:rsidR="00F93551" w:rsidRDefault="00DD7D58">
      <w:pPr>
        <w:pStyle w:val="BibliographyEntry"/>
      </w:pPr>
      <w:r>
        <w:t xml:space="preserve">Ockham, William of. </w:t>
      </w:r>
      <w:r>
        <w:rPr>
          <w:i/>
        </w:rPr>
        <w:t>Quodlibetal Questions</w:t>
      </w:r>
      <w:r>
        <w:t>. Vols. 1–2. Translated by Alfred J. Freddoso and Francis E. Kelley. New Haven: Yale University Press, 1991.</w:t>
      </w:r>
    </w:p>
    <w:p w14:paraId="6B093F90" w14:textId="77777777" w:rsidR="00F93551" w:rsidRDefault="00DD7D58">
      <w:pPr>
        <w:pStyle w:val="BibliographyEntry"/>
      </w:pPr>
      <w:r>
        <w:t xml:space="preserve">Olarte, Mauricio Nieto. </w:t>
      </w:r>
      <w:r>
        <w:rPr>
          <w:i/>
        </w:rPr>
        <w:t>Remedies for the Empire: The Eighteenth-Century Spanish Botanical Expeditions</w:t>
      </w:r>
      <w:r>
        <w:t>. Bogotá: Universidad de los Andes, 2007.</w:t>
      </w:r>
    </w:p>
    <w:p w14:paraId="5CD86DC6" w14:textId="77777777" w:rsidR="00F93551" w:rsidRDefault="00DD7D58">
      <w:pPr>
        <w:pStyle w:val="BibliographyEntry"/>
      </w:pPr>
      <w:r>
        <w:t xml:space="preserve">Origen. </w:t>
      </w:r>
      <w:r>
        <w:rPr>
          <w:i/>
        </w:rPr>
        <w:t>On Prayer</w:t>
      </w:r>
      <w:r>
        <w:t xml:space="preserve">. In </w:t>
      </w:r>
      <w:r>
        <w:rPr>
          <w:i/>
        </w:rPr>
        <w:t>Origen Collection: On Prayer and the Philocalia</w:t>
      </w:r>
      <w:r>
        <w:t>. Aeterna Press, 2016.</w:t>
      </w:r>
    </w:p>
    <w:p w14:paraId="75F82582" w14:textId="77777777" w:rsidR="00F93551" w:rsidRDefault="00DD7D58">
      <w:pPr>
        <w:pStyle w:val="BibliographyEntry"/>
      </w:pPr>
      <w:r>
        <w:t xml:space="preserve">Paracelsus. </w:t>
      </w:r>
      <w:r>
        <w:rPr>
          <w:i/>
        </w:rPr>
        <w:t>Paragranum</w:t>
      </w:r>
      <w:r>
        <w:t xml:space="preserve">. In </w:t>
      </w:r>
      <w:r>
        <w:rPr>
          <w:i/>
        </w:rPr>
        <w:t>Paracelsus: Essential Theoretical Writings</w:t>
      </w:r>
      <w:r>
        <w:t>. Edited and translated by Andrew Weeks. Leiden: Brill, 2008.</w:t>
      </w:r>
    </w:p>
    <w:p w14:paraId="4BC3F199" w14:textId="77777777" w:rsidR="00F93551" w:rsidRDefault="00DD7D58">
      <w:pPr>
        <w:pStyle w:val="BibliographyEntry"/>
      </w:pPr>
      <w:r>
        <w:t xml:space="preserve">Paracelsus. </w:t>
      </w:r>
      <w:r>
        <w:rPr>
          <w:i/>
        </w:rPr>
        <w:t>The Hermetic and Alchemical Writings of Paracelsus</w:t>
      </w:r>
      <w:r>
        <w:t>. Edited by Arthur Edward Waite, 2 vols. in 1. London: James Elliott, 1894; repr., Eastford, CT: Martino Fine Books, 2009.</w:t>
      </w:r>
    </w:p>
    <w:p w14:paraId="371860B6" w14:textId="77777777" w:rsidR="00F93551" w:rsidRDefault="00DD7D58">
      <w:pPr>
        <w:pStyle w:val="BibliographyEntry"/>
      </w:pPr>
      <w:r>
        <w:t xml:space="preserve">Parker, R. A. </w:t>
      </w:r>
      <w:r>
        <w:rPr>
          <w:i/>
        </w:rPr>
        <w:t>The Calendars of Ancient Egypt</w:t>
      </w:r>
      <w:r>
        <w:t>. Chicago: University of Chicago Press, 1950.</w:t>
      </w:r>
    </w:p>
    <w:p w14:paraId="3D42EFB2" w14:textId="77777777" w:rsidR="00F93551" w:rsidRDefault="00DD7D58">
      <w:pPr>
        <w:pStyle w:val="BibliographyEntry"/>
      </w:pPr>
      <w:r>
        <w:t xml:space="preserve">Parry, J. H. </w:t>
      </w:r>
      <w:r>
        <w:rPr>
          <w:i/>
        </w:rPr>
        <w:t>The Age of Reconnaissance: Discovery, Exploration and Settlement, 1450–1650</w:t>
      </w:r>
      <w:r>
        <w:t>. London: Weidenfeld and Nicolson, 1963.</w:t>
      </w:r>
    </w:p>
    <w:p w14:paraId="4BF267BD" w14:textId="77777777" w:rsidR="00F93551" w:rsidRDefault="00DD7D58">
      <w:pPr>
        <w:pStyle w:val="BibliographyEntry"/>
      </w:pPr>
      <w:r>
        <w:t xml:space="preserve">Pelham, Abigail. </w:t>
      </w:r>
      <w:r>
        <w:rPr>
          <w:i/>
        </w:rPr>
        <w:t>Contested Creations in the Book of Job: The-World-as-It-Ought-and-Ought-Not-to-Be</w:t>
      </w:r>
      <w:r>
        <w:t>. Leiden: Brill, 2012.</w:t>
      </w:r>
    </w:p>
    <w:p w14:paraId="2D82A2F7" w14:textId="77777777" w:rsidR="00F93551" w:rsidRDefault="00DD7D58">
      <w:pPr>
        <w:pStyle w:val="BibliographyEntry"/>
      </w:pPr>
      <w:r>
        <w:t xml:space="preserve">Plato. </w:t>
      </w:r>
      <w:r>
        <w:rPr>
          <w:i/>
        </w:rPr>
        <w:t>Timaeus</w:t>
      </w:r>
      <w:r>
        <w:t xml:space="preserve">. Translated by Donald J. Zeyl. In </w:t>
      </w:r>
      <w:r>
        <w:rPr>
          <w:i/>
        </w:rPr>
        <w:t>Plato: Complete Works</w:t>
      </w:r>
      <w:r>
        <w:t>. Edited by John M. Cooper and D. S. Hutchinson. Indianapolis: Hackett, 1997.</w:t>
      </w:r>
    </w:p>
    <w:p w14:paraId="07B2A764" w14:textId="77777777" w:rsidR="00F93551" w:rsidRDefault="00DD7D58">
      <w:pPr>
        <w:pStyle w:val="BibliographyEntry"/>
      </w:pPr>
      <w:r>
        <w:t xml:space="preserve">Pollock, Susan. </w:t>
      </w:r>
      <w:r>
        <w:rPr>
          <w:i/>
        </w:rPr>
        <w:t>Ancient Mesopotamia: The Eden That Never Was</w:t>
      </w:r>
      <w:r>
        <w:t>. Cambridge: Cambridge University Press, 1999.</w:t>
      </w:r>
    </w:p>
    <w:p w14:paraId="6BCC49A5" w14:textId="77777777" w:rsidR="00F93551" w:rsidRDefault="00DD7D58">
      <w:pPr>
        <w:pStyle w:val="BibliographyEntry"/>
      </w:pPr>
      <w:r>
        <w:t xml:space="preserve">Poovey, Mary. </w:t>
      </w:r>
      <w:r>
        <w:rPr>
          <w:i/>
        </w:rPr>
        <w:t>A History of the Modern Fact: Problems of Knowledge in the Sciences of Wealth and Society</w:t>
      </w:r>
      <w:r>
        <w:t>. Chicago: University of Chicago Press, 1998.</w:t>
      </w:r>
    </w:p>
    <w:p w14:paraId="17322020" w14:textId="77777777" w:rsidR="00F93551" w:rsidRDefault="00DD7D58">
      <w:pPr>
        <w:pStyle w:val="BibliographyEntry"/>
      </w:pPr>
      <w:r>
        <w:t xml:space="preserve">Porter, Theodore M. </w:t>
      </w:r>
      <w:r>
        <w:rPr>
          <w:i/>
        </w:rPr>
        <w:t>Trust in Numbers: The Pursuit of Objectivity in Science and Public Life</w:t>
      </w:r>
      <w:r>
        <w:t>. Princeton, NJ: Princeton University Press, 1995.</w:t>
      </w:r>
    </w:p>
    <w:p w14:paraId="790735BA" w14:textId="77777777" w:rsidR="00F93551" w:rsidRDefault="00DD7D58">
      <w:pPr>
        <w:pStyle w:val="BibliographyEntry"/>
      </w:pPr>
      <w:r>
        <w:t xml:space="preserve">Pratt, Mary Louise. </w:t>
      </w:r>
      <w:r>
        <w:rPr>
          <w:i/>
        </w:rPr>
        <w:t>Imperial Eyes: Travel Writing and Transculturation</w:t>
      </w:r>
      <w:r>
        <w:t>. 2nd ed. London: Routledge, 2008.</w:t>
      </w:r>
    </w:p>
    <w:p w14:paraId="24A51310" w14:textId="77777777" w:rsidR="00F93551" w:rsidRDefault="00DD7D58">
      <w:pPr>
        <w:pStyle w:val="BibliographyEntry"/>
      </w:pPr>
      <w:r>
        <w:t xml:space="preserve">Principe, Lawrence M. </w:t>
      </w:r>
      <w:r>
        <w:rPr>
          <w:i/>
        </w:rPr>
        <w:t>The Secrets of Alchemy</w:t>
      </w:r>
      <w:r>
        <w:t>. Chicago: University of Chicago Press, 2013.</w:t>
      </w:r>
    </w:p>
    <w:p w14:paraId="6BD91544" w14:textId="77777777" w:rsidR="00F93551" w:rsidRDefault="00DD7D58">
      <w:pPr>
        <w:pStyle w:val="BibliographyEntry"/>
      </w:pPr>
      <w:r>
        <w:t xml:space="preserve">Pseudo-Dionysius. </w:t>
      </w:r>
      <w:r>
        <w:rPr>
          <w:i/>
        </w:rPr>
        <w:t>The Complete Works</w:t>
      </w:r>
      <w:r>
        <w:t>. Translated by Colm Luibheid. New York: Paulist Press, 1987.</w:t>
      </w:r>
    </w:p>
    <w:p w14:paraId="0211C459" w14:textId="77777777" w:rsidR="00F93551" w:rsidRDefault="00DD7D58">
      <w:pPr>
        <w:pStyle w:val="BibliographyEntry"/>
      </w:pPr>
      <w:r>
        <w:t xml:space="preserve">Ptolemy. </w:t>
      </w:r>
      <w:r>
        <w:rPr>
          <w:i/>
        </w:rPr>
        <w:t>Tetrabiblos</w:t>
      </w:r>
      <w:r>
        <w:t>. Translated by J. M. Ashmand. London, 1822.</w:t>
      </w:r>
    </w:p>
    <w:p w14:paraId="7EA63A82" w14:textId="77777777" w:rsidR="00F93551" w:rsidRDefault="00DD7D58">
      <w:pPr>
        <w:pStyle w:val="BibliographyEntry"/>
      </w:pPr>
      <w:r>
        <w:t xml:space="preserve">Rad, Gerhard von. </w:t>
      </w:r>
      <w:r>
        <w:rPr>
          <w:i/>
        </w:rPr>
        <w:t>Genesis: A Commentary</w:t>
      </w:r>
      <w:r>
        <w:t>. Rev. ed. Translated by John H. Marks. Philadelphia: Westminster Press, 1972.</w:t>
      </w:r>
    </w:p>
    <w:p w14:paraId="4A1F8590" w14:textId="77777777" w:rsidR="00F93551" w:rsidRDefault="00DD7D58">
      <w:pPr>
        <w:pStyle w:val="BibliographyEntry"/>
      </w:pPr>
      <w:r>
        <w:t xml:space="preserve">Rankin, William. </w:t>
      </w:r>
      <w:r>
        <w:rPr>
          <w:i/>
        </w:rPr>
        <w:t>After the Map: Cartography, Navigation, and the Transformation of Territory in the Twentieth Century</w:t>
      </w:r>
      <w:r>
        <w:t>. Chicago: University of Chicago Press, 2016.</w:t>
      </w:r>
    </w:p>
    <w:p w14:paraId="3653CB4A" w14:textId="77777777" w:rsidR="00F93551" w:rsidRDefault="00DD7D58">
      <w:pPr>
        <w:pStyle w:val="BibliographyEntry"/>
      </w:pPr>
      <w:r>
        <w:t xml:space="preserve">Reeves, Eileen. </w:t>
      </w:r>
      <w:r>
        <w:rPr>
          <w:i/>
        </w:rPr>
        <w:t>Galileo’s Glassworks: The Telescope and the Mirror</w:t>
      </w:r>
      <w:r>
        <w:t>. Cambridge, MA: Harvard University Press, 2008.</w:t>
      </w:r>
    </w:p>
    <w:p w14:paraId="47AAB7E4" w14:textId="77777777" w:rsidR="00F93551" w:rsidRDefault="00DD7D58">
      <w:pPr>
        <w:pStyle w:val="BibliographyEntry"/>
      </w:pPr>
      <w:r>
        <w:t xml:space="preserve">Reid, Jasper. </w:t>
      </w:r>
      <w:r>
        <w:rPr>
          <w:i/>
        </w:rPr>
        <w:t>The Metaphysics of Henry More</w:t>
      </w:r>
      <w:r>
        <w:t>. Dordrecht: Springer, 2012.</w:t>
      </w:r>
    </w:p>
    <w:p w14:paraId="7B5D6FC7" w14:textId="77777777" w:rsidR="00F93551" w:rsidRDefault="00DD7D58">
      <w:pPr>
        <w:pStyle w:val="BibliographyEntry"/>
      </w:pPr>
      <w:r>
        <w:t xml:space="preserve">Reitsma, Ella. </w:t>
      </w:r>
      <w:r>
        <w:rPr>
          <w:i/>
        </w:rPr>
        <w:t>Maria Sibylla Merian and Daughters: Women of Art and Science</w:t>
      </w:r>
      <w:r>
        <w:t>. Los Angeles: J. Paul Getty Museum, 2008.</w:t>
      </w:r>
    </w:p>
    <w:p w14:paraId="4A963036" w14:textId="77777777" w:rsidR="00F93551" w:rsidRDefault="00DD7D58">
      <w:pPr>
        <w:pStyle w:val="BibliographyEntry"/>
      </w:pPr>
      <w:r>
        <w:t xml:space="preserve">Richardson, Katherine, et al. “Earth beyond Six of Nine Planetary Boundaries.” </w:t>
      </w:r>
      <w:r>
        <w:rPr>
          <w:i/>
        </w:rPr>
        <w:t>Science Advances</w:t>
      </w:r>
      <w:r>
        <w:t xml:space="preserve"> 9, no. 37 (2023): eadh2458, https://doi.org/10.1126/sciadv.adh2458.</w:t>
      </w:r>
    </w:p>
    <w:p w14:paraId="7EC45876" w14:textId="77777777" w:rsidR="00F93551" w:rsidRDefault="00DD7D58">
      <w:pPr>
        <w:pStyle w:val="BibliographyEntry"/>
      </w:pPr>
      <w:r>
        <w:t xml:space="preserve">Riley, Mark T., trans. </w:t>
      </w:r>
      <w:r>
        <w:rPr>
          <w:i/>
        </w:rPr>
        <w:t>The Anthology of Vettius Valens</w:t>
      </w:r>
      <w:r>
        <w:t>. Online complete translation, revised 2010.</w:t>
      </w:r>
    </w:p>
    <w:p w14:paraId="4D82A6B2" w14:textId="77777777" w:rsidR="00F93551" w:rsidRDefault="00DD7D58">
      <w:pPr>
        <w:pStyle w:val="BibliographyEntry"/>
      </w:pPr>
      <w:r>
        <w:t xml:space="preserve">Riskin, Jessica. </w:t>
      </w:r>
      <w:r>
        <w:rPr>
          <w:i/>
        </w:rPr>
        <w:t>The Restless Clock: A History of the Centuries-Long Argument over What Makes Living Things Tick</w:t>
      </w:r>
      <w:r>
        <w:t>. Chicago: University of Chicago Press, 2016.</w:t>
      </w:r>
    </w:p>
    <w:p w14:paraId="2841D002" w14:textId="77777777" w:rsidR="00F93551" w:rsidRDefault="00DD7D58">
      <w:pPr>
        <w:pStyle w:val="BibliographyEntry"/>
      </w:pPr>
      <w:r>
        <w:t xml:space="preserve">Rochberg, Francesca. </w:t>
      </w:r>
      <w:r>
        <w:rPr>
          <w:i/>
        </w:rPr>
        <w:t>Before Nature: Cuneiform Knowledge and the History of Science</w:t>
      </w:r>
      <w:r>
        <w:t>. Chicago: University of Chicago Press, 2016.</w:t>
      </w:r>
    </w:p>
    <w:p w14:paraId="7FD5B24B" w14:textId="77777777" w:rsidR="00F93551" w:rsidRDefault="00DD7D58">
      <w:pPr>
        <w:pStyle w:val="BibliographyEntry"/>
      </w:pPr>
      <w:r>
        <w:t xml:space="preserve">Rochberg, Francesca. </w:t>
      </w:r>
      <w:r>
        <w:rPr>
          <w:i/>
        </w:rPr>
        <w:t>The Heavenly Writing: Divination, Horoscopy, and Astronomy in Mesopotamian Culture</w:t>
      </w:r>
      <w:r>
        <w:t>. Cambridge: Cambridge University Press, 2004.</w:t>
      </w:r>
    </w:p>
    <w:p w14:paraId="4425D1B8" w14:textId="77777777" w:rsidR="00F93551" w:rsidRDefault="00DD7D58">
      <w:pPr>
        <w:pStyle w:val="BibliographyEntry"/>
      </w:pPr>
      <w:r>
        <w:t xml:space="preserve">Rochberg, Francesca. </w:t>
      </w:r>
      <w:r>
        <w:rPr>
          <w:i/>
        </w:rPr>
        <w:t>Worldmaking and Cuneiform Antiquity: An Anthropology of Science</w:t>
      </w:r>
      <w:r>
        <w:t>. Cambridge: Cambridge University Press, 2024.</w:t>
      </w:r>
    </w:p>
    <w:p w14:paraId="79EB5E07" w14:textId="77777777" w:rsidR="00F93551" w:rsidRDefault="00DD7D58">
      <w:pPr>
        <w:pStyle w:val="BibliographyEntry"/>
      </w:pPr>
      <w:r>
        <w:t xml:space="preserve">Rosa, Hartmut. </w:t>
      </w:r>
      <w:r>
        <w:rPr>
          <w:i/>
        </w:rPr>
        <w:t>Resonance: A Sociology of Our Relationship to the World</w:t>
      </w:r>
      <w:r>
        <w:t>. Translated by James C. Wagner. Cambridge: Polity, 2019.</w:t>
      </w:r>
    </w:p>
    <w:p w14:paraId="558318BF" w14:textId="77777777" w:rsidR="00F93551" w:rsidRDefault="00DD7D58">
      <w:pPr>
        <w:pStyle w:val="BibliographyEntry"/>
      </w:pPr>
      <w:r>
        <w:t xml:space="preserve">Rossum, Gerhard Dohrn-van. </w:t>
      </w:r>
      <w:r>
        <w:rPr>
          <w:i/>
        </w:rPr>
        <w:t>History of the Hour: Clocks and Modern Temporal Orders</w:t>
      </w:r>
      <w:r>
        <w:t>. Translated by Thomas Dunlap. Chicago: University of Chicago Press, 1996.</w:t>
      </w:r>
    </w:p>
    <w:p w14:paraId="215927F0" w14:textId="77777777" w:rsidR="00F93551" w:rsidRDefault="00DD7D58">
      <w:pPr>
        <w:pStyle w:val="BibliographyEntry"/>
      </w:pPr>
      <w:r>
        <w:t xml:space="preserve">Rothman, Aviva. </w:t>
      </w:r>
      <w:r>
        <w:rPr>
          <w:i/>
        </w:rPr>
        <w:t>The Pursuit of Harmony: Kepler on Cosmos, Confession, and Community</w:t>
      </w:r>
      <w:r>
        <w:t>. Chicago: University of Chicago Press, 2017.</w:t>
      </w:r>
    </w:p>
    <w:p w14:paraId="745DDFC7" w14:textId="77777777" w:rsidR="00F93551" w:rsidRDefault="00DD7D58">
      <w:pPr>
        <w:pStyle w:val="BibliographyEntry"/>
      </w:pPr>
      <w:r>
        <w:t xml:space="preserve">Rubin, Miri. </w:t>
      </w:r>
      <w:r>
        <w:rPr>
          <w:i/>
        </w:rPr>
        <w:t>Corpus Christi: The Eucharist in Late Medieval Culture</w:t>
      </w:r>
      <w:r>
        <w:t>. Cambridge: Cambridge University Press, 1991.</w:t>
      </w:r>
    </w:p>
    <w:p w14:paraId="505EBAF8" w14:textId="77777777" w:rsidR="00F93551" w:rsidRDefault="00DD7D58">
      <w:pPr>
        <w:pStyle w:val="BibliographyEntry"/>
      </w:pPr>
      <w:r>
        <w:t xml:space="preserve">Rudwick, Martin J. S. </w:t>
      </w:r>
      <w:r>
        <w:rPr>
          <w:i/>
        </w:rPr>
        <w:t>Worlds Before Adam: The Reconstruction of Geohistory in the Age of Reform</w:t>
      </w:r>
      <w:r>
        <w:t>. Chicago: University of Chicago Press, 2008.</w:t>
      </w:r>
    </w:p>
    <w:p w14:paraId="5D37A8AA" w14:textId="77777777" w:rsidR="00F93551" w:rsidRDefault="00DD7D58">
      <w:pPr>
        <w:pStyle w:val="BibliographyEntry"/>
      </w:pPr>
      <w:r>
        <w:t xml:space="preserve">Ruestow, Edward G. </w:t>
      </w:r>
      <w:r>
        <w:rPr>
          <w:i/>
        </w:rPr>
        <w:t>The Microscope in the Dutch Republic: The Shaping of Discovery</w:t>
      </w:r>
      <w:r>
        <w:t>. Cambridge: Cambridge University Press, 1996.</w:t>
      </w:r>
    </w:p>
    <w:p w14:paraId="3B4E632A" w14:textId="77777777" w:rsidR="00F93551" w:rsidRDefault="00DD7D58">
      <w:pPr>
        <w:pStyle w:val="BibliographyEntry"/>
      </w:pPr>
      <w:r>
        <w:t xml:space="preserve">Sachs, Abraham J., and Hermann Hunger. </w:t>
      </w:r>
      <w:r>
        <w:rPr>
          <w:i/>
        </w:rPr>
        <w:t>Astronomical Diaries and Related Texts from Babylonia</w:t>
      </w:r>
      <w:r>
        <w:t>. Vols. 1–3. Vienna: Austrian Academy of Sciences Press, 1988–1996.</w:t>
      </w:r>
    </w:p>
    <w:p w14:paraId="493F2131" w14:textId="77777777" w:rsidR="00F93551" w:rsidRDefault="00DD7D58">
      <w:pPr>
        <w:pStyle w:val="BibliographyEntry"/>
      </w:pPr>
      <w:r>
        <w:t xml:space="preserve">Saliba, George. </w:t>
      </w:r>
      <w:r>
        <w:rPr>
          <w:i/>
        </w:rPr>
        <w:t>Islamic Science and the Making of the European Renaissance</w:t>
      </w:r>
      <w:r>
        <w:t>. Cambridge, MA: MIT Press, 2007.</w:t>
      </w:r>
    </w:p>
    <w:p w14:paraId="15E933F6" w14:textId="77777777" w:rsidR="00F93551" w:rsidRDefault="00DD7D58">
      <w:pPr>
        <w:pStyle w:val="BibliographyEntry"/>
      </w:pPr>
      <w:r>
        <w:t xml:space="preserve">Salzman, Michele Renee. </w:t>
      </w:r>
      <w:r>
        <w:rPr>
          <w:i/>
        </w:rPr>
        <w:t>On Roman Time: The Codex-Calendar of 354 and the Rhythms of Urban Life in Late Antiquity</w:t>
      </w:r>
      <w:r>
        <w:t>. Berkeley: University of California Press, 1990.</w:t>
      </w:r>
    </w:p>
    <w:p w14:paraId="2E7B3212" w14:textId="77777777" w:rsidR="00F93551" w:rsidRDefault="00DD7D58">
      <w:pPr>
        <w:pStyle w:val="BibliographyEntry"/>
      </w:pPr>
      <w:r>
        <w:t xml:space="preserve">Samsó, Julio. </w:t>
      </w:r>
      <w:r>
        <w:rPr>
          <w:i/>
        </w:rPr>
        <w:t>Astronomy and Astrology in al-Andalus and the Maghrib</w:t>
      </w:r>
      <w:r>
        <w:t>. Aldershot: Ashgate, 2007.</w:t>
      </w:r>
    </w:p>
    <w:p w14:paraId="473C9DE0" w14:textId="77777777" w:rsidR="00F93551" w:rsidRDefault="00DD7D58">
      <w:pPr>
        <w:pStyle w:val="BibliographyEntry"/>
      </w:pPr>
      <w:r>
        <w:t xml:space="preserve">Sarasohn, Lisa T. </w:t>
      </w:r>
      <w:r>
        <w:rPr>
          <w:i/>
        </w:rPr>
        <w:t>The Natural Philosophy of Margaret Cavendish: Reason and Fancy during the Scientific Revolution</w:t>
      </w:r>
      <w:r>
        <w:t>. Baltimore: Johns Hopkins University Press, 2010.</w:t>
      </w:r>
    </w:p>
    <w:p w14:paraId="7B818332" w14:textId="77777777" w:rsidR="00F93551" w:rsidRDefault="00DD7D58">
      <w:pPr>
        <w:pStyle w:val="BibliographyEntry"/>
      </w:pPr>
      <w:r>
        <w:t xml:space="preserve">Saussure, Horace-Bénédict de. </w:t>
      </w:r>
      <w:r>
        <w:rPr>
          <w:i/>
        </w:rPr>
        <w:t>Voyages dans les Alpes</w:t>
      </w:r>
      <w:r>
        <w:t>. Vol. 4. Neuchâtel, 1796.</w:t>
      </w:r>
    </w:p>
    <w:p w14:paraId="329319CA" w14:textId="77777777" w:rsidR="00F93551" w:rsidRDefault="00DD7D58">
      <w:pPr>
        <w:pStyle w:val="BibliographyEntry"/>
      </w:pPr>
      <w:r>
        <w:t xml:space="preserve">Schaffer, Simon. “Late Victorian Metrology and Its Instrumentation: A Manufactory of Ohms.” In </w:t>
      </w:r>
      <w:r>
        <w:rPr>
          <w:i/>
        </w:rPr>
        <w:t>Invisible Connections: Instruments, Institutions, and Science</w:t>
      </w:r>
      <w:r>
        <w:t>. Edited by Robert Bud and Susan E. Cozzens, 23–56. Bellingham, WA: SPIE Optical Engineering Press, 1992.</w:t>
      </w:r>
    </w:p>
    <w:p w14:paraId="50512157" w14:textId="77777777" w:rsidR="00F93551" w:rsidRDefault="00DD7D58">
      <w:pPr>
        <w:pStyle w:val="BibliographyEntry"/>
      </w:pPr>
      <w:r>
        <w:t xml:space="preserve">Schivelbusch, Wolfgang. </w:t>
      </w:r>
      <w:r>
        <w:rPr>
          <w:i/>
        </w:rPr>
        <w:t>Disenchanted Night: The Industrialization of Light in the Nineteenth Century</w:t>
      </w:r>
      <w:r>
        <w:t>. Berkeley: University of California Press, 1988.</w:t>
      </w:r>
    </w:p>
    <w:p w14:paraId="5378E0F8" w14:textId="77777777" w:rsidR="00F93551" w:rsidRDefault="00DD7D58">
      <w:pPr>
        <w:pStyle w:val="BibliographyEntry"/>
      </w:pPr>
      <w:r>
        <w:t xml:space="preserve">Schivelbusch, Wolfgang. </w:t>
      </w:r>
      <w:r>
        <w:rPr>
          <w:i/>
        </w:rPr>
        <w:t>The Railway Journey: The Industrialization of Time and Space in the Nineteenth Century</w:t>
      </w:r>
      <w:r>
        <w:t>. Berkeley: University of California Press, 1986.</w:t>
      </w:r>
    </w:p>
    <w:p w14:paraId="5F5B662E" w14:textId="77777777" w:rsidR="00F93551" w:rsidRDefault="00DD7D58">
      <w:pPr>
        <w:pStyle w:val="BibliographyEntry"/>
      </w:pPr>
      <w:r>
        <w:t xml:space="preserve">Scribner, Robert W. </w:t>
      </w:r>
      <w:r>
        <w:rPr>
          <w:i/>
        </w:rPr>
        <w:t>Popular Culture and Popular Movements in Reformation Germany</w:t>
      </w:r>
      <w:r>
        <w:t>. London: Hambledon Press, 1987.</w:t>
      </w:r>
    </w:p>
    <w:p w14:paraId="506BD59E" w14:textId="77777777" w:rsidR="00F93551" w:rsidRDefault="00DD7D58">
      <w:pPr>
        <w:pStyle w:val="BibliographyEntry"/>
      </w:pPr>
      <w:r>
        <w:t xml:space="preserve">Seaver, Nick. </w:t>
      </w:r>
      <w:r>
        <w:rPr>
          <w:i/>
        </w:rPr>
        <w:t>Computing Taste: Algorithms and the Makers of Music Recommendation</w:t>
      </w:r>
      <w:r>
        <w:t>. Chicago: University of Chicago Press, 2022.</w:t>
      </w:r>
    </w:p>
    <w:p w14:paraId="53EEDF3F" w14:textId="77777777" w:rsidR="00F93551" w:rsidRDefault="00DD7D58">
      <w:pPr>
        <w:pStyle w:val="BibliographyEntry"/>
      </w:pPr>
      <w:r>
        <w:t xml:space="preserve">Shamdasani, Sonu. </w:t>
      </w:r>
      <w:r>
        <w:rPr>
          <w:i/>
        </w:rPr>
        <w:t>Jung and the Making of Modern Psychology: The Dream of a Science</w:t>
      </w:r>
      <w:r>
        <w:t>. Cambridge: Cambridge University Press, 2003.</w:t>
      </w:r>
    </w:p>
    <w:p w14:paraId="0DF74D5B" w14:textId="77777777" w:rsidR="00F93551" w:rsidRDefault="00DD7D58">
      <w:pPr>
        <w:pStyle w:val="BibliographyEntry"/>
      </w:pPr>
      <w:r>
        <w:t xml:space="preserve">Shamsudduha, Mohammad. </w:t>
      </w:r>
      <w:r>
        <w:rPr>
          <w:i/>
        </w:rPr>
        <w:t>An Analysis of James E. Lovelock's Gaia: A New Look at Life on Earth</w:t>
      </w:r>
      <w:r>
        <w:t>. London: Macat, 2017.</w:t>
      </w:r>
    </w:p>
    <w:p w14:paraId="635F4AE3" w14:textId="77777777" w:rsidR="00F93551" w:rsidRDefault="00DD7D58">
      <w:pPr>
        <w:pStyle w:val="BibliographyEntry"/>
      </w:pPr>
      <w:r>
        <w:t xml:space="preserve">Shapin, Steven. </w:t>
      </w:r>
      <w:r>
        <w:rPr>
          <w:i/>
        </w:rPr>
        <w:t>A Social History of Truth: Civility and Science in Seventeenth-Century England</w:t>
      </w:r>
      <w:r>
        <w:t>. Chicago: University of Chicago Press, 1994.</w:t>
      </w:r>
    </w:p>
    <w:p w14:paraId="59C8D475" w14:textId="77777777" w:rsidR="00F93551" w:rsidRDefault="00DD7D58">
      <w:pPr>
        <w:pStyle w:val="BibliographyEntry"/>
      </w:pPr>
      <w:r>
        <w:t xml:space="preserve">Shapin, Steven. </w:t>
      </w:r>
      <w:r>
        <w:rPr>
          <w:i/>
        </w:rPr>
        <w:t>The Scientific Revolution</w:t>
      </w:r>
      <w:r>
        <w:t>. Chicago: University of Chicago Press, 1996.</w:t>
      </w:r>
    </w:p>
    <w:p w14:paraId="088B7F39" w14:textId="77777777" w:rsidR="00F93551" w:rsidRDefault="00DD7D58">
      <w:pPr>
        <w:pStyle w:val="BibliographyEntry"/>
      </w:pPr>
      <w:r>
        <w:t xml:space="preserve">Shapin, Steven, and Simon Schaffer. </w:t>
      </w:r>
      <w:r>
        <w:rPr>
          <w:i/>
        </w:rPr>
        <w:t>Leviathan and the Air-Pump: Hobbes, Boyle, and the Experimental Life</w:t>
      </w:r>
      <w:r>
        <w:t>. Princeton: Princeton University Press, 1985.</w:t>
      </w:r>
    </w:p>
    <w:p w14:paraId="6A9C64B4" w14:textId="77777777" w:rsidR="00F93551" w:rsidRDefault="00DD7D58">
      <w:pPr>
        <w:pStyle w:val="BibliographyEntry"/>
      </w:pPr>
      <w:r>
        <w:t xml:space="preserve">Shapiro, Alan E. </w:t>
      </w:r>
      <w:r>
        <w:rPr>
          <w:i/>
        </w:rPr>
        <w:t>Fits, Passions, and Paroxysms: Physics, Method, and Chemistry and Newton's Theories of Colored Bodies and Fits of Easy Reflection</w:t>
      </w:r>
      <w:r>
        <w:t>. Cambridge: Cambridge University Press, 1993.</w:t>
      </w:r>
    </w:p>
    <w:p w14:paraId="0CD033AC" w14:textId="77777777" w:rsidR="00F93551" w:rsidRDefault="00DD7D58">
      <w:pPr>
        <w:pStyle w:val="BibliographyEntry"/>
      </w:pPr>
      <w:r>
        <w:t xml:space="preserve">Shapiro, Barbara J. </w:t>
      </w:r>
      <w:r>
        <w:rPr>
          <w:i/>
        </w:rPr>
        <w:t>A Culture of Fact: England, 1550–1720</w:t>
      </w:r>
      <w:r>
        <w:t>. Ithaca: Cornell University Press, 2000.</w:t>
      </w:r>
    </w:p>
    <w:p w14:paraId="2A5AFEA4" w14:textId="77777777" w:rsidR="00F93551" w:rsidRDefault="00DD7D58">
      <w:pPr>
        <w:pStyle w:val="BibliographyEntry"/>
      </w:pPr>
      <w:r>
        <w:t xml:space="preserve">Sidon, Dorotheus of. </w:t>
      </w:r>
      <w:r>
        <w:rPr>
          <w:i/>
        </w:rPr>
        <w:t>Carmen Astrologicum</w:t>
      </w:r>
      <w:r>
        <w:t>. Translated by Benjamin N. Dykes from the ʿUmar al-Tabari transmission. Minneapolis: Cazimi Press, 2017.</w:t>
      </w:r>
    </w:p>
    <w:p w14:paraId="7FE7930B" w14:textId="77777777" w:rsidR="00F93551" w:rsidRDefault="00DD7D58">
      <w:pPr>
        <w:pStyle w:val="BibliographyEntry"/>
      </w:pPr>
      <w:r>
        <w:t xml:space="preserve">Simondon, Gilbert. </w:t>
      </w:r>
      <w:r>
        <w:rPr>
          <w:i/>
        </w:rPr>
        <w:t>On the Mode of Existence of Technical Objects</w:t>
      </w:r>
      <w:r>
        <w:t>. Translated by Cécile Malaspina and John Rogove. Minneapolis: Univocal Publishing, 2017.</w:t>
      </w:r>
    </w:p>
    <w:p w14:paraId="72011969" w14:textId="77777777" w:rsidR="00F93551" w:rsidRDefault="00DD7D58">
      <w:pPr>
        <w:pStyle w:val="BibliographyEntry"/>
      </w:pPr>
      <w:r>
        <w:t xml:space="preserve">Smith, Mark S. </w:t>
      </w:r>
      <w:r>
        <w:rPr>
          <w:i/>
        </w:rPr>
        <w:t>The Priestly Vision of Genesis 1</w:t>
      </w:r>
      <w:r>
        <w:t>. Minneapolis: Fortress Press, 2010.</w:t>
      </w:r>
    </w:p>
    <w:p w14:paraId="2F38BA45" w14:textId="77777777" w:rsidR="00F93551" w:rsidRDefault="00DD7D58">
      <w:pPr>
        <w:pStyle w:val="BibliographyEntry"/>
      </w:pPr>
      <w:r>
        <w:t xml:space="preserve">Spade, Paul Vincent, ed. </w:t>
      </w:r>
      <w:r>
        <w:rPr>
          <w:i/>
        </w:rPr>
        <w:t>The Cambridge Companion to Ockham</w:t>
      </w:r>
      <w:r>
        <w:t>. Cambridge: Cambridge University Press, 1999.</w:t>
      </w:r>
    </w:p>
    <w:p w14:paraId="2E4EBCEA" w14:textId="77777777" w:rsidR="00F93551" w:rsidRDefault="00DD7D58">
      <w:pPr>
        <w:pStyle w:val="BibliographyEntry"/>
      </w:pPr>
      <w:r>
        <w:t xml:space="preserve">Stevenson, Edward Luther. </w:t>
      </w:r>
      <w:r>
        <w:rPr>
          <w:i/>
        </w:rPr>
        <w:t>Portolan Charts: Their Origin and Characteristics</w:t>
      </w:r>
      <w:r>
        <w:t>. New York: American Geographical Society, 1911.</w:t>
      </w:r>
    </w:p>
    <w:p w14:paraId="1DB21A4D" w14:textId="77777777" w:rsidR="00F93551" w:rsidRDefault="00DD7D58">
      <w:pPr>
        <w:pStyle w:val="BibliographyEntry"/>
      </w:pPr>
      <w:r>
        <w:t xml:space="preserve">Sulloway, Frank J. </w:t>
      </w:r>
      <w:r>
        <w:rPr>
          <w:i/>
        </w:rPr>
        <w:t>Freud, Biologist of the Mind</w:t>
      </w:r>
      <w:r>
        <w:t>. New York: Basic Books, 1979.</w:t>
      </w:r>
    </w:p>
    <w:p w14:paraId="54A7C5C7" w14:textId="77777777" w:rsidR="00F93551" w:rsidRDefault="00DD7D58">
      <w:pPr>
        <w:pStyle w:val="BibliographyEntry"/>
      </w:pPr>
      <w:r>
        <w:t xml:space="preserve">Tarnas, Richard. </w:t>
      </w:r>
      <w:r>
        <w:rPr>
          <w:i/>
        </w:rPr>
        <w:t>Cosmos and Psyche: Intimations of a New World View</w:t>
      </w:r>
      <w:r>
        <w:t>. New York: Viking, 2006.</w:t>
      </w:r>
    </w:p>
    <w:p w14:paraId="435B39E9" w14:textId="77777777" w:rsidR="00F93551" w:rsidRDefault="00DD7D58">
      <w:pPr>
        <w:pStyle w:val="BibliographyEntry"/>
      </w:pPr>
      <w:r>
        <w:t xml:space="preserve">Thagard, Paul R. “Why Astrology Is a Pseudoscience.” In </w:t>
      </w:r>
      <w:r>
        <w:rPr>
          <w:i/>
        </w:rPr>
        <w:t>PSA 1978: Proceedings of the 1978 Biennial Meeting of the Philosophy of Science Association</w:t>
      </w:r>
      <w:r>
        <w:t>. Vol. 1. Edited by Peter D. Asquith and Ian Hacking, 223–34. East Lansing, MI: Philosophy of Science Association, 1978.</w:t>
      </w:r>
    </w:p>
    <w:p w14:paraId="1DC97896" w14:textId="77777777" w:rsidR="00F93551" w:rsidRDefault="00DD7D58">
      <w:pPr>
        <w:pStyle w:val="BibliographyEntry"/>
      </w:pPr>
      <w:r>
        <w:t xml:space="preserve">Thompson, E. P. “Time, Work-Discipline, and Industrial Capitalism.” </w:t>
      </w:r>
      <w:r>
        <w:rPr>
          <w:i/>
        </w:rPr>
        <w:t>Past &amp; Present</w:t>
      </w:r>
      <w:r>
        <w:t xml:space="preserve"> 38 (1967): 56–97.</w:t>
      </w:r>
    </w:p>
    <w:p w14:paraId="5523DD45" w14:textId="77777777" w:rsidR="00F93551" w:rsidRDefault="00DD7D58">
      <w:pPr>
        <w:pStyle w:val="BibliographyEntry"/>
      </w:pPr>
      <w:r>
        <w:t xml:space="preserve">Toadvine, Ted. </w:t>
      </w:r>
      <w:r>
        <w:rPr>
          <w:i/>
        </w:rPr>
        <w:t>Merleau-Ponty's Philosophy of Nature</w:t>
      </w:r>
      <w:r>
        <w:t>. Evanston, IL: Northwestern University Press, 2009.</w:t>
      </w:r>
    </w:p>
    <w:p w14:paraId="5BEC848B" w14:textId="77777777" w:rsidR="00F93551" w:rsidRDefault="00DD7D58">
      <w:pPr>
        <w:pStyle w:val="BibliographyEntry"/>
      </w:pPr>
      <w:r>
        <w:t xml:space="preserve">Tsumura, David Toshio. </w:t>
      </w:r>
      <w:r>
        <w:rPr>
          <w:i/>
        </w:rPr>
        <w:t>The Earth and the Waters in Genesis 1 and 2: A Linguistic Investigation</w:t>
      </w:r>
      <w:r>
        <w:t>. Sheffield: JSOT Press, 1989.</w:t>
      </w:r>
    </w:p>
    <w:p w14:paraId="1BA5B897" w14:textId="77777777" w:rsidR="00F93551" w:rsidRDefault="00DD7D58">
      <w:pPr>
        <w:pStyle w:val="BibliographyEntry"/>
      </w:pPr>
      <w:r>
        <w:t xml:space="preserve">Turner, Denys. </w:t>
      </w:r>
      <w:r>
        <w:rPr>
          <w:i/>
        </w:rPr>
        <w:t>The Darkness of God: Negativity in Christian Mysticism</w:t>
      </w:r>
      <w:r>
        <w:t>. Cambridge: Cambridge University Press, 1995.</w:t>
      </w:r>
    </w:p>
    <w:p w14:paraId="3FA74881" w14:textId="77777777" w:rsidR="00F93551" w:rsidRDefault="00DD7D58">
      <w:pPr>
        <w:pStyle w:val="BibliographyEntry"/>
      </w:pPr>
      <w:r>
        <w:t xml:space="preserve">Uexküll, Jakob von. </w:t>
      </w:r>
      <w:r>
        <w:rPr>
          <w:i/>
        </w:rPr>
        <w:t>A Foray into the Worlds of Animals and Humans: With A Theory of Meaning</w:t>
      </w:r>
      <w:r>
        <w:t>. Translated by Joseph D. O'Neil. Introduction by Dorion Sagan. Minneapolis: University of Minnesota Press, 2010.</w:t>
      </w:r>
    </w:p>
    <w:p w14:paraId="0F9559ED" w14:textId="77777777" w:rsidR="00F93551" w:rsidRDefault="00DD7D58">
      <w:pPr>
        <w:pStyle w:val="BibliographyEntry"/>
      </w:pPr>
      <w:r>
        <w:t xml:space="preserve">Van Helden, Albert. </w:t>
      </w:r>
      <w:r>
        <w:rPr>
          <w:i/>
        </w:rPr>
        <w:t>Measuring the Universe: Cosmic Dimensions from Aristarchus to Halley</w:t>
      </w:r>
      <w:r>
        <w:t>. Chicago: University of Chicago Press, 1985.</w:t>
      </w:r>
    </w:p>
    <w:p w14:paraId="6FA7A380" w14:textId="77777777" w:rsidR="00F93551" w:rsidRDefault="00DD7D58">
      <w:pPr>
        <w:pStyle w:val="BibliographyEntry"/>
      </w:pPr>
      <w:r>
        <w:t xml:space="preserve">Vernadsky, Vladimir I. </w:t>
      </w:r>
      <w:r>
        <w:rPr>
          <w:i/>
        </w:rPr>
        <w:t>The Biosphere</w:t>
      </w:r>
      <w:r>
        <w:t>. Translated by David B. Langmuir. Revised and annotated by Mark A. S. McMenamin. New York: Copernicus/Springer, 1998.</w:t>
      </w:r>
    </w:p>
    <w:p w14:paraId="0D384D81" w14:textId="77777777" w:rsidR="00F93551" w:rsidRDefault="00DD7D58">
      <w:pPr>
        <w:pStyle w:val="BibliographyEntry"/>
      </w:pPr>
      <w:r>
        <w:t xml:space="preserve">Vettius Valens. </w:t>
      </w:r>
      <w:r>
        <w:rPr>
          <w:i/>
        </w:rPr>
        <w:t>Anthologiarum libri novem</w:t>
      </w:r>
      <w:r>
        <w:t>. Edited by David Pingree. Leipzig: Teubner, 1986.</w:t>
      </w:r>
    </w:p>
    <w:p w14:paraId="440205D6" w14:textId="77777777" w:rsidR="00F93551" w:rsidRDefault="00DD7D58">
      <w:pPr>
        <w:pStyle w:val="BibliographyEntry"/>
      </w:pPr>
      <w:r>
        <w:t xml:space="preserve">Voelkel, James R. </w:t>
      </w:r>
      <w:r>
        <w:rPr>
          <w:i/>
        </w:rPr>
        <w:t>The Composition of Kepler’s Astronomia Nova</w:t>
      </w:r>
      <w:r>
        <w:t>. Princeton: Princeton University Press, 2001.</w:t>
      </w:r>
    </w:p>
    <w:p w14:paraId="1CA6B085" w14:textId="77777777" w:rsidR="00F93551" w:rsidRDefault="00DD7D58">
      <w:pPr>
        <w:pStyle w:val="BibliographyEntry"/>
      </w:pPr>
      <w:r>
        <w:t xml:space="preserve">Walker, D. P. </w:t>
      </w:r>
      <w:r>
        <w:rPr>
          <w:i/>
        </w:rPr>
        <w:t>Spiritual and Demonic Magic from Ficino to Campanella</w:t>
      </w:r>
      <w:r>
        <w:t>. London: Warburg Institute, 1958.</w:t>
      </w:r>
    </w:p>
    <w:p w14:paraId="41CEA69F" w14:textId="77777777" w:rsidR="00F93551" w:rsidRDefault="00DD7D58">
      <w:pPr>
        <w:pStyle w:val="BibliographyEntry"/>
      </w:pPr>
      <w:r>
        <w:t xml:space="preserve">Waller, Richard. “A Catalogue of Simple and Mixt Colours, with a Specimen of Each Colour Prefixt to Its Proper Name.” </w:t>
      </w:r>
      <w:r>
        <w:rPr>
          <w:i/>
        </w:rPr>
        <w:t>Philosophical Transactions of the Royal Society</w:t>
      </w:r>
      <w:r>
        <w:t xml:space="preserve"> 16 (1686): 24–32.</w:t>
      </w:r>
    </w:p>
    <w:p w14:paraId="2FDB0677" w14:textId="77777777" w:rsidR="00F93551" w:rsidRDefault="00DD7D58">
      <w:pPr>
        <w:pStyle w:val="BibliographyEntry"/>
      </w:pPr>
      <w:r>
        <w:t xml:space="preserve">Walls, Laura Dassow. </w:t>
      </w:r>
      <w:r>
        <w:rPr>
          <w:i/>
        </w:rPr>
        <w:t>The Passage to Cosmos: Alexander von Humboldt and the Shaping of America</w:t>
      </w:r>
      <w:r>
        <w:t>. Chicago: University of Chicago Press, 2009.</w:t>
      </w:r>
    </w:p>
    <w:p w14:paraId="0093E1DE" w14:textId="77777777" w:rsidR="00F93551" w:rsidRDefault="00DD7D58">
      <w:pPr>
        <w:pStyle w:val="BibliographyEntry"/>
      </w:pPr>
      <w:r>
        <w:t xml:space="preserve">Walsham, Alexandra. </w:t>
      </w:r>
      <w:r>
        <w:rPr>
          <w:i/>
        </w:rPr>
        <w:t>Providence in Early Modern England</w:t>
      </w:r>
      <w:r>
        <w:t>. Oxford: Oxford University Press, 1999.</w:t>
      </w:r>
    </w:p>
    <w:p w14:paraId="444CC4EF" w14:textId="77777777" w:rsidR="00F93551" w:rsidRDefault="00DD7D58">
      <w:pPr>
        <w:pStyle w:val="BibliographyEntry"/>
      </w:pPr>
      <w:r>
        <w:t xml:space="preserve">Walsham, Alexandra. </w:t>
      </w:r>
      <w:r>
        <w:rPr>
          <w:i/>
        </w:rPr>
        <w:t>The Reformation of the Landscape: Religion, Identity, and Memory in Early Modern Britain and Ireland</w:t>
      </w:r>
      <w:r>
        <w:t>. Oxford: Oxford University Press, 2011.</w:t>
      </w:r>
    </w:p>
    <w:p w14:paraId="502BE302" w14:textId="77777777" w:rsidR="00F93551" w:rsidRDefault="00DD7D58">
      <w:pPr>
        <w:pStyle w:val="BibliographyEntry"/>
      </w:pPr>
      <w:r>
        <w:t xml:space="preserve">Watkins, Eric. </w:t>
      </w:r>
      <w:r>
        <w:rPr>
          <w:i/>
        </w:rPr>
        <w:t>Kant and the Metaphysics of Causality</w:t>
      </w:r>
      <w:r>
        <w:t>. Cambridge: Cambridge University Press, 2005.</w:t>
      </w:r>
    </w:p>
    <w:p w14:paraId="3EB0B565" w14:textId="77777777" w:rsidR="00F93551" w:rsidRDefault="00DD7D58">
      <w:pPr>
        <w:pStyle w:val="BibliographyEntry"/>
      </w:pPr>
      <w:r>
        <w:t xml:space="preserve">Watson, Andrew J., and James E. Lovelock. “Biological Homeostasis of the Global Environment: The Parable of Daisyworld.” </w:t>
      </w:r>
      <w:r>
        <w:rPr>
          <w:i/>
        </w:rPr>
        <w:t>Tellus B</w:t>
      </w:r>
      <w:r>
        <w:t xml:space="preserve"> 35, no. 4 (1983): 284–89.</w:t>
      </w:r>
    </w:p>
    <w:p w14:paraId="1C2BAC39" w14:textId="77777777" w:rsidR="00F93551" w:rsidRDefault="00DD7D58">
      <w:pPr>
        <w:pStyle w:val="BibliographyEntry"/>
      </w:pPr>
      <w:r>
        <w:t xml:space="preserve">Webb, Diana. </w:t>
      </w:r>
      <w:r>
        <w:rPr>
          <w:i/>
        </w:rPr>
        <w:t>Medieval European Pilgrimage, c. 700–c. 1500</w:t>
      </w:r>
      <w:r>
        <w:t>. Basingstoke: Palgrave, 2002.</w:t>
      </w:r>
    </w:p>
    <w:p w14:paraId="527AD9F4" w14:textId="77777777" w:rsidR="00F93551" w:rsidRDefault="00DD7D58">
      <w:pPr>
        <w:pStyle w:val="BibliographyEntry"/>
      </w:pPr>
      <w:r>
        <w:t xml:space="preserve">Westermann, Claus. </w:t>
      </w:r>
      <w:r>
        <w:rPr>
          <w:i/>
        </w:rPr>
        <w:t>Genesis 1–11: A Commentary</w:t>
      </w:r>
      <w:r>
        <w:t>. Translated by John J. Scullion. Minneapolis: Augsburg, 1984.</w:t>
      </w:r>
    </w:p>
    <w:p w14:paraId="4E0837E9" w14:textId="77777777" w:rsidR="00F93551" w:rsidRDefault="00DD7D58">
      <w:pPr>
        <w:pStyle w:val="BibliographyEntry"/>
      </w:pPr>
      <w:r>
        <w:t xml:space="preserve">Westman, Robert S. </w:t>
      </w:r>
      <w:r>
        <w:rPr>
          <w:i/>
        </w:rPr>
        <w:t>The Copernican Question: Prognostication, Skepticism, and Celestial Order</w:t>
      </w:r>
      <w:r>
        <w:t>. Berkeley: University of California Press, 2011.</w:t>
      </w:r>
    </w:p>
    <w:p w14:paraId="2C55D06B" w14:textId="77777777" w:rsidR="00F93551" w:rsidRDefault="00DD7D58">
      <w:pPr>
        <w:pStyle w:val="BibliographyEntry"/>
      </w:pPr>
      <w:r>
        <w:t xml:space="preserve">Whitehead, Alfred North. </w:t>
      </w:r>
      <w:r>
        <w:rPr>
          <w:i/>
        </w:rPr>
        <w:t>Science and the Modern World</w:t>
      </w:r>
      <w:r>
        <w:t>. Cambridge: Cambridge University Press, 1926.</w:t>
      </w:r>
    </w:p>
    <w:p w14:paraId="73296C7D" w14:textId="77777777" w:rsidR="00F93551" w:rsidRDefault="00DD7D58">
      <w:pPr>
        <w:pStyle w:val="BibliographyEntry"/>
      </w:pPr>
      <w:r>
        <w:t xml:space="preserve">Wiener, Norbert. </w:t>
      </w:r>
      <w:r>
        <w:rPr>
          <w:i/>
        </w:rPr>
        <w:t>Cybernetics; or, Control and Communication in the Animal and the Machine</w:t>
      </w:r>
      <w:r>
        <w:t>. 2nd ed. Cambridge, MA: MIT Press, 1961.</w:t>
      </w:r>
    </w:p>
    <w:p w14:paraId="1733EC87" w14:textId="77777777" w:rsidR="00F93551" w:rsidRDefault="00DD7D58">
      <w:pPr>
        <w:pStyle w:val="BibliographyEntry"/>
      </w:pPr>
      <w:r>
        <w:t xml:space="preserve">Willis, Roy, and Patrick Curry. </w:t>
      </w:r>
      <w:r>
        <w:rPr>
          <w:i/>
        </w:rPr>
        <w:t>Astrology, Science and Culture: Pulling Down the Moon</w:t>
      </w:r>
      <w:r>
        <w:t>. Oxford: Berg, 2004.</w:t>
      </w:r>
    </w:p>
    <w:p w14:paraId="3E05A6EC" w14:textId="77777777" w:rsidR="00F93551" w:rsidRDefault="00DD7D58">
      <w:pPr>
        <w:pStyle w:val="BibliographyEntry"/>
      </w:pPr>
      <w:r>
        <w:t xml:space="preserve">Wilson, Catherine. </w:t>
      </w:r>
      <w:r>
        <w:rPr>
          <w:i/>
        </w:rPr>
        <w:t>The Invisible World: Early Modern Philosophy and the Invention of the Microscope</w:t>
      </w:r>
      <w:r>
        <w:t>. Princeton: Princeton University Press, 1995.</w:t>
      </w:r>
    </w:p>
    <w:p w14:paraId="79E18831" w14:textId="77777777" w:rsidR="00F93551" w:rsidRDefault="00DD7D58">
      <w:pPr>
        <w:pStyle w:val="BibliographyEntry"/>
      </w:pPr>
      <w:r>
        <w:t xml:space="preserve">Wojcik, Jan W. </w:t>
      </w:r>
      <w:r>
        <w:rPr>
          <w:i/>
        </w:rPr>
        <w:t>Robert Boyle and the Limits of Reason</w:t>
      </w:r>
      <w:r>
        <w:t>. Cambridge: Cambridge University Press, 1997.</w:t>
      </w:r>
    </w:p>
    <w:p w14:paraId="5C32C58C" w14:textId="77777777" w:rsidR="00F93551" w:rsidRDefault="00DD7D58">
      <w:pPr>
        <w:pStyle w:val="BibliographyEntry"/>
      </w:pPr>
      <w:r>
        <w:t xml:space="preserve">Woodward, David, ed. </w:t>
      </w:r>
      <w:r>
        <w:rPr>
          <w:i/>
        </w:rPr>
        <w:t>The History of Cartography</w:t>
      </w:r>
      <w:r>
        <w:t xml:space="preserve">. Vol. 3, bk. 2, </w:t>
      </w:r>
      <w:r>
        <w:rPr>
          <w:i/>
        </w:rPr>
        <w:t>Cartography in the European Renaissance</w:t>
      </w:r>
      <w:r>
        <w:t>. Chicago: University of Chicago Press, 2007.</w:t>
      </w:r>
    </w:p>
    <w:p w14:paraId="22D16E8B" w14:textId="77777777" w:rsidR="00F93551" w:rsidRDefault="00DD7D58">
      <w:pPr>
        <w:pStyle w:val="BibliographyEntry"/>
      </w:pPr>
      <w:r>
        <w:t xml:space="preserve">Wrigley, E. A. </w:t>
      </w:r>
      <w:r>
        <w:rPr>
          <w:i/>
        </w:rPr>
        <w:t>Energy and the English Industrial Revolution</w:t>
      </w:r>
      <w:r>
        <w:t>. Cambridge: Cambridge University Press, 2010.</w:t>
      </w:r>
    </w:p>
    <w:p w14:paraId="578A8670" w14:textId="77777777" w:rsidR="00F93551" w:rsidRDefault="00DD7D58">
      <w:pPr>
        <w:pStyle w:val="BibliographyEntry"/>
      </w:pPr>
      <w:r>
        <w:t xml:space="preserve">Wuidar, Laurence. “Introduction.” In </w:t>
      </w:r>
      <w:r>
        <w:rPr>
          <w:i/>
        </w:rPr>
        <w:t>Music and Esotericism</w:t>
      </w:r>
      <w:r>
        <w:t>, edited by Laurence Wuidar, 1–6. Leiden: Brill, 2010.</w:t>
      </w:r>
    </w:p>
    <w:p w14:paraId="78545C83" w14:textId="77777777" w:rsidR="00F93551" w:rsidRDefault="00DD7D58">
      <w:pPr>
        <w:pStyle w:val="BibliographyEntry"/>
      </w:pPr>
      <w:r>
        <w:t xml:space="preserve">Wulf, Andrea. </w:t>
      </w:r>
      <w:r>
        <w:rPr>
          <w:i/>
        </w:rPr>
        <w:t>The Invention of Nature: Alexander von Humboldt's New World</w:t>
      </w:r>
      <w:r>
        <w:t>. London: John Murray, 2015.</w:t>
      </w:r>
    </w:p>
    <w:p w14:paraId="576E0806" w14:textId="77777777" w:rsidR="00F93551" w:rsidRDefault="00DD7D58">
      <w:pPr>
        <w:pStyle w:val="BibliographyEntry"/>
      </w:pPr>
      <w:r>
        <w:t xml:space="preserve">Yates, Frances A. </w:t>
      </w:r>
      <w:r>
        <w:rPr>
          <w:i/>
        </w:rPr>
        <w:t>Giordano Bruno and the Hermetic Tradition</w:t>
      </w:r>
      <w:r>
        <w:t>. Chicago: University of Chicago Press, 1964.</w:t>
      </w:r>
    </w:p>
    <w:p w14:paraId="3336A087" w14:textId="77777777" w:rsidR="00F93551" w:rsidRDefault="00DD7D58">
      <w:pPr>
        <w:pStyle w:val="BibliographyEntry"/>
      </w:pPr>
      <w:r>
        <w:t xml:space="preserve">Zwingli, Huldrych. “On the Lord’s Supper.” In </w:t>
      </w:r>
      <w:r>
        <w:rPr>
          <w:i/>
        </w:rPr>
        <w:t>Zwingli and Bullinger</w:t>
      </w:r>
      <w:r>
        <w:t>. Edited and translated by G. W. Bromiley, Library of Christian Classics 24, 185–238. Philadelphia: Westminster Press, 1953.</w:t>
      </w:r>
    </w:p>
    <w:sectPr w:rsidR="00F93551" w:rsidSect="00034616">
      <w:headerReference w:type="default" r:id="rId34"/>
      <w:footerReference w:type="default" r:id="rId35"/>
      <w:pgSz w:w="12240" w:h="15840"/>
      <w:pgMar w:top="1440" w:right="1440" w:bottom="1440" w:left="1440" w:header="504" w:footer="50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F138E" w14:textId="77777777" w:rsidR="00DD7D58" w:rsidRDefault="00DD7D58">
      <w:pPr>
        <w:spacing w:after="0" w:line="240" w:lineRule="auto"/>
      </w:pPr>
      <w:r>
        <w:separator/>
      </w:r>
    </w:p>
  </w:endnote>
  <w:endnote w:type="continuationSeparator" w:id="0">
    <w:p w14:paraId="48BE9E54" w14:textId="77777777" w:rsidR="00DD7D58" w:rsidRDefault="00DD7D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74836" w14:textId="77777777" w:rsidR="00A901A8" w:rsidRDefault="00A901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8F5ED" w14:textId="77777777" w:rsidR="00F93551" w:rsidRDefault="00DD7D58">
    <w:pPr>
      <w:pStyle w:val="Footer"/>
      <w:jc w:val="center"/>
    </w:pPr>
    <w:r>
      <w:rPr>
        <w:sz w:val="22"/>
      </w:rPr>
      <w:fldChar w:fldCharType="begin"/>
    </w:r>
    <w:r>
      <w:rPr>
        <w:sz w:val="22"/>
      </w:rPr>
      <w:instrText xml:space="preserve"> PAGE </w:instrText>
    </w:r>
    <w:r>
      <w:rPr>
        <w:sz w:val="22"/>
      </w:rPr>
      <w:fldChar w:fldCharType="separate"/>
    </w:r>
    <w:r>
      <w:rPr>
        <w:sz w:val="22"/>
      </w:rPr>
      <w:t>1</w:t>
    </w:r>
    <w:r>
      <w:rPr>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5964A" w14:textId="77777777" w:rsidR="00F93551" w:rsidRDefault="00DD7D58">
    <w:pPr>
      <w:pStyle w:val="Footer"/>
      <w:jc w:val="center"/>
    </w:pPr>
    <w:r>
      <w:rPr>
        <w:sz w:val="22"/>
      </w:rPr>
      <w:fldChar w:fldCharType="begin"/>
    </w:r>
    <w:r>
      <w:rPr>
        <w:sz w:val="22"/>
      </w:rPr>
      <w:instrText xml:space="preserve"> PAGE </w:instrText>
    </w:r>
    <w:r>
      <w:rPr>
        <w:sz w:val="22"/>
      </w:rPr>
      <w:fldChar w:fldCharType="separate"/>
    </w:r>
    <w:r>
      <w:rPr>
        <w:sz w:val="22"/>
      </w:rPr>
      <w:t>1</w:t>
    </w:r>
    <w:r>
      <w:rPr>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4BE424" w14:textId="77777777" w:rsidR="00DD7D58" w:rsidRDefault="00DD7D58">
      <w:pPr>
        <w:spacing w:after="0" w:line="240" w:lineRule="auto"/>
      </w:pPr>
      <w:r>
        <w:separator/>
      </w:r>
    </w:p>
  </w:footnote>
  <w:footnote w:type="continuationSeparator" w:id="0">
    <w:p w14:paraId="7B8C2966" w14:textId="77777777" w:rsidR="00DD7D58" w:rsidRDefault="00DD7D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A722F" w14:textId="77777777" w:rsidR="00A901A8" w:rsidRDefault="00A901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649BB" w14:textId="77777777" w:rsidR="00F93551" w:rsidRDefault="00F9355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9EEDD" w14:textId="77777777" w:rsidR="00F93551" w:rsidRDefault="00F935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68145067">
    <w:abstractNumId w:val="8"/>
  </w:num>
  <w:num w:numId="2" w16cid:durableId="881475226">
    <w:abstractNumId w:val="6"/>
  </w:num>
  <w:num w:numId="3" w16cid:durableId="2078895411">
    <w:abstractNumId w:val="5"/>
  </w:num>
  <w:num w:numId="4" w16cid:durableId="1039283190">
    <w:abstractNumId w:val="4"/>
  </w:num>
  <w:num w:numId="5" w16cid:durableId="892348558">
    <w:abstractNumId w:val="7"/>
  </w:num>
  <w:num w:numId="6" w16cid:durableId="690837034">
    <w:abstractNumId w:val="3"/>
  </w:num>
  <w:num w:numId="7" w16cid:durableId="2082478589">
    <w:abstractNumId w:val="2"/>
  </w:num>
  <w:num w:numId="8" w16cid:durableId="1670333373">
    <w:abstractNumId w:val="1"/>
  </w:num>
  <w:num w:numId="9" w16cid:durableId="18318643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93269"/>
    <w:rsid w:val="000A01D9"/>
    <w:rsid w:val="000A74F2"/>
    <w:rsid w:val="000C2A71"/>
    <w:rsid w:val="000E58DA"/>
    <w:rsid w:val="000F169B"/>
    <w:rsid w:val="00141529"/>
    <w:rsid w:val="0015074B"/>
    <w:rsid w:val="001A2BC9"/>
    <w:rsid w:val="00203CB6"/>
    <w:rsid w:val="00242A60"/>
    <w:rsid w:val="002904CF"/>
    <w:rsid w:val="0029639D"/>
    <w:rsid w:val="002D40C1"/>
    <w:rsid w:val="002E411F"/>
    <w:rsid w:val="002F6F5D"/>
    <w:rsid w:val="00313EB1"/>
    <w:rsid w:val="00326F90"/>
    <w:rsid w:val="00362CAC"/>
    <w:rsid w:val="00367884"/>
    <w:rsid w:val="003B2953"/>
    <w:rsid w:val="003E38E4"/>
    <w:rsid w:val="003E50B9"/>
    <w:rsid w:val="0041193E"/>
    <w:rsid w:val="004349C7"/>
    <w:rsid w:val="00434D8F"/>
    <w:rsid w:val="00486170"/>
    <w:rsid w:val="004918E3"/>
    <w:rsid w:val="00492BAB"/>
    <w:rsid w:val="004A6C7A"/>
    <w:rsid w:val="00512E65"/>
    <w:rsid w:val="00531015"/>
    <w:rsid w:val="005331E9"/>
    <w:rsid w:val="00575761"/>
    <w:rsid w:val="005A245F"/>
    <w:rsid w:val="005C6A4C"/>
    <w:rsid w:val="005F5B8C"/>
    <w:rsid w:val="00600E16"/>
    <w:rsid w:val="006A0990"/>
    <w:rsid w:val="006C6B99"/>
    <w:rsid w:val="006D035B"/>
    <w:rsid w:val="006E25EE"/>
    <w:rsid w:val="00717EC6"/>
    <w:rsid w:val="00730BAC"/>
    <w:rsid w:val="00761433"/>
    <w:rsid w:val="007775F8"/>
    <w:rsid w:val="00781E37"/>
    <w:rsid w:val="007849EA"/>
    <w:rsid w:val="0078634B"/>
    <w:rsid w:val="008076C3"/>
    <w:rsid w:val="00825685"/>
    <w:rsid w:val="008A25E6"/>
    <w:rsid w:val="008A29FF"/>
    <w:rsid w:val="00916CB2"/>
    <w:rsid w:val="00932FE6"/>
    <w:rsid w:val="00941738"/>
    <w:rsid w:val="00944589"/>
    <w:rsid w:val="009B0092"/>
    <w:rsid w:val="009F3BA9"/>
    <w:rsid w:val="009F7E3A"/>
    <w:rsid w:val="00A04EE8"/>
    <w:rsid w:val="00A108C2"/>
    <w:rsid w:val="00A25F24"/>
    <w:rsid w:val="00A473E8"/>
    <w:rsid w:val="00A7269B"/>
    <w:rsid w:val="00A901A8"/>
    <w:rsid w:val="00AA1D8D"/>
    <w:rsid w:val="00AF1241"/>
    <w:rsid w:val="00B306DE"/>
    <w:rsid w:val="00B41C89"/>
    <w:rsid w:val="00B47730"/>
    <w:rsid w:val="00C07B83"/>
    <w:rsid w:val="00C11721"/>
    <w:rsid w:val="00C26C9F"/>
    <w:rsid w:val="00C6102F"/>
    <w:rsid w:val="00C90BDB"/>
    <w:rsid w:val="00CB0664"/>
    <w:rsid w:val="00CF7F77"/>
    <w:rsid w:val="00D1073A"/>
    <w:rsid w:val="00DA7928"/>
    <w:rsid w:val="00DD7D58"/>
    <w:rsid w:val="00DE4ECE"/>
    <w:rsid w:val="00DF315F"/>
    <w:rsid w:val="00E0159D"/>
    <w:rsid w:val="00E25538"/>
    <w:rsid w:val="00E27C37"/>
    <w:rsid w:val="00E87598"/>
    <w:rsid w:val="00E9499D"/>
    <w:rsid w:val="00EE341E"/>
    <w:rsid w:val="00F00225"/>
    <w:rsid w:val="00F0415F"/>
    <w:rsid w:val="00F2264F"/>
    <w:rsid w:val="00F371E6"/>
    <w:rsid w:val="00F43CE8"/>
    <w:rsid w:val="00F76065"/>
    <w:rsid w:val="00F9355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DBE2FDD"/>
  <w14:defaultImageDpi w14:val="300"/>
  <w15:docId w15:val="{4F68DF8B-4C47-4312-8356-4B8005D72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pPr>
    <w:rPr>
      <w:rFonts w:ascii="Times New Roman" w:eastAsia="Times New Roman" w:hAnsi="Times New Roman" w:cs="Times New Roman"/>
      <w:color w:val="000000"/>
      <w:sz w:val="28"/>
    </w:rPr>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1F3A5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ndnoteText1">
    <w:name w:val="Endnote Text1"/>
    <w:pPr>
      <w:spacing w:after="100"/>
      <w:ind w:left="360" w:hanging="360"/>
    </w:pPr>
    <w:rPr>
      <w:rFonts w:ascii="Aptos" w:hAnsi="Aptos"/>
      <w:sz w:val="20"/>
    </w:rPr>
  </w:style>
  <w:style w:type="character" w:styleId="Hyperlink">
    <w:name w:val="Hyperlink"/>
    <w:basedOn w:val="DefaultParagraphFont"/>
    <w:uiPriority w:val="99"/>
    <w:unhideWhenUsed/>
    <w:rsid w:val="00F76065"/>
    <w:rPr>
      <w:color w:val="0000FF" w:themeColor="hyperlink"/>
      <w:u w:val="single"/>
    </w:rPr>
  </w:style>
  <w:style w:type="character" w:styleId="UnresolvedMention">
    <w:name w:val="Unresolved Mention"/>
    <w:basedOn w:val="DefaultParagraphFont"/>
    <w:uiPriority w:val="99"/>
    <w:semiHidden/>
    <w:unhideWhenUsed/>
    <w:rsid w:val="00F76065"/>
    <w:rPr>
      <w:color w:val="605E5C"/>
      <w:shd w:val="clear" w:color="auto" w:fill="E1DFDD"/>
    </w:rPr>
  </w:style>
  <w:style w:type="paragraph" w:customStyle="1" w:styleId="BookBody">
    <w:name w:val="Book Body"/>
    <w:basedOn w:val="Normal"/>
  </w:style>
  <w:style w:type="paragraph" w:customStyle="1" w:styleId="BookTitle1">
    <w:name w:val="Book Title1"/>
    <w:pPr>
      <w:keepNext/>
      <w:keepLines/>
      <w:spacing w:before="2760" w:after="360" w:line="240" w:lineRule="auto"/>
      <w:jc w:val="center"/>
    </w:pPr>
    <w:rPr>
      <w:rFonts w:ascii="Times New Roman" w:eastAsia="Times New Roman" w:hAnsi="Times New Roman" w:cs="Times New Roman"/>
      <w:b/>
      <w:color w:val="000000"/>
      <w:sz w:val="48"/>
    </w:rPr>
  </w:style>
  <w:style w:type="paragraph" w:customStyle="1" w:styleId="BookSubtitle">
    <w:name w:val="Book Subtitle"/>
    <w:pPr>
      <w:keepNext/>
      <w:keepLines/>
      <w:spacing w:after="680" w:line="240" w:lineRule="auto"/>
      <w:jc w:val="center"/>
    </w:pPr>
    <w:rPr>
      <w:rFonts w:ascii="Times New Roman" w:eastAsia="Times New Roman" w:hAnsi="Times New Roman" w:cs="Times New Roman"/>
      <w:i/>
      <w:color w:val="000000"/>
      <w:sz w:val="26"/>
    </w:rPr>
  </w:style>
  <w:style w:type="paragraph" w:customStyle="1" w:styleId="BookAuthor">
    <w:name w:val="Book Author"/>
    <w:pPr>
      <w:keepLines/>
      <w:spacing w:after="0" w:line="240" w:lineRule="auto"/>
      <w:jc w:val="center"/>
    </w:pPr>
    <w:rPr>
      <w:rFonts w:ascii="Times New Roman" w:eastAsia="Times New Roman" w:hAnsi="Times New Roman" w:cs="Times New Roman"/>
      <w:color w:val="000000"/>
      <w:sz w:val="34"/>
    </w:rPr>
  </w:style>
  <w:style w:type="paragraph" w:customStyle="1" w:styleId="BookYear">
    <w:name w:val="Book Year"/>
    <w:pPr>
      <w:keepLines/>
      <w:spacing w:before="3200" w:after="0" w:line="240" w:lineRule="auto"/>
      <w:jc w:val="center"/>
    </w:pPr>
    <w:rPr>
      <w:rFonts w:ascii="Times New Roman" w:eastAsia="Times New Roman" w:hAnsi="Times New Roman" w:cs="Times New Roman"/>
      <w:color w:val="000000"/>
      <w:sz w:val="26"/>
    </w:rPr>
  </w:style>
  <w:style w:type="paragraph" w:customStyle="1" w:styleId="ContentsHeading">
    <w:name w:val="Contents Heading"/>
    <w:pPr>
      <w:keepNext/>
      <w:keepLines/>
      <w:spacing w:after="280" w:line="240" w:lineRule="auto"/>
    </w:pPr>
    <w:rPr>
      <w:rFonts w:ascii="Times New Roman" w:eastAsia="Times New Roman" w:hAnsi="Times New Roman" w:cs="Times New Roman"/>
      <w:b/>
      <w:color w:val="000000"/>
      <w:sz w:val="50"/>
    </w:rPr>
  </w:style>
  <w:style w:type="paragraph" w:customStyle="1" w:styleId="TOCPart">
    <w:name w:val="TOC Part"/>
    <w:pPr>
      <w:keepNext/>
      <w:keepLines/>
      <w:spacing w:before="60" w:after="40" w:line="240" w:lineRule="auto"/>
    </w:pPr>
    <w:rPr>
      <w:rFonts w:ascii="Times New Roman" w:eastAsia="Times New Roman" w:hAnsi="Times New Roman" w:cs="Times New Roman"/>
      <w:b/>
      <w:color w:val="000000"/>
      <w:sz w:val="21"/>
    </w:rPr>
  </w:style>
  <w:style w:type="paragraph" w:customStyle="1" w:styleId="TOCChapter">
    <w:name w:val="TOC Chapter"/>
    <w:pPr>
      <w:keepLines/>
      <w:spacing w:after="0" w:line="240" w:lineRule="auto"/>
      <w:ind w:left="331"/>
    </w:pPr>
    <w:rPr>
      <w:rFonts w:ascii="Times New Roman" w:eastAsia="Times New Roman" w:hAnsi="Times New Roman" w:cs="Times New Roman"/>
      <w:color w:val="000000"/>
      <w:sz w:val="21"/>
    </w:rPr>
  </w:style>
  <w:style w:type="paragraph" w:customStyle="1" w:styleId="PartHeading">
    <w:name w:val="Part Heading"/>
    <w:pPr>
      <w:keepLines/>
      <w:pageBreakBefore/>
      <w:spacing w:before="2900" w:after="0" w:line="240" w:lineRule="auto"/>
      <w:jc w:val="center"/>
      <w:outlineLvl w:val="0"/>
    </w:pPr>
    <w:rPr>
      <w:rFonts w:ascii="Times New Roman" w:eastAsia="Times New Roman" w:hAnsi="Times New Roman" w:cs="Times New Roman"/>
      <w:b/>
      <w:color w:val="000000"/>
      <w:sz w:val="36"/>
    </w:rPr>
  </w:style>
  <w:style w:type="paragraph" w:customStyle="1" w:styleId="ChapterHeading">
    <w:name w:val="Chapter Heading"/>
    <w:pPr>
      <w:keepNext/>
      <w:keepLines/>
      <w:pageBreakBefore/>
      <w:spacing w:before="240" w:after="280" w:line="240" w:lineRule="auto"/>
      <w:outlineLvl w:val="1"/>
    </w:pPr>
    <w:rPr>
      <w:rFonts w:ascii="Times New Roman" w:eastAsia="Times New Roman" w:hAnsi="Times New Roman" w:cs="Times New Roman"/>
      <w:b/>
      <w:color w:val="000000"/>
      <w:sz w:val="38"/>
    </w:rPr>
  </w:style>
  <w:style w:type="paragraph" w:customStyle="1" w:styleId="MajorHeading">
    <w:name w:val="Major Heading"/>
    <w:pPr>
      <w:keepNext/>
      <w:keepLines/>
      <w:pageBreakBefore/>
      <w:spacing w:before="240" w:after="320" w:line="240" w:lineRule="auto"/>
      <w:outlineLvl w:val="0"/>
    </w:pPr>
    <w:rPr>
      <w:rFonts w:ascii="Times New Roman" w:eastAsia="Times New Roman" w:hAnsi="Times New Roman" w:cs="Times New Roman"/>
      <w:b/>
      <w:color w:val="000000"/>
      <w:sz w:val="40"/>
    </w:rPr>
  </w:style>
  <w:style w:type="paragraph" w:customStyle="1" w:styleId="SectionHeading">
    <w:name w:val="Section Heading"/>
    <w:pPr>
      <w:keepNext/>
      <w:keepLines/>
      <w:spacing w:before="320" w:after="160" w:line="240" w:lineRule="auto"/>
      <w:outlineLvl w:val="2"/>
    </w:pPr>
    <w:rPr>
      <w:rFonts w:ascii="Times New Roman" w:eastAsia="Times New Roman" w:hAnsi="Times New Roman" w:cs="Times New Roman"/>
      <w:b/>
      <w:color w:val="000000"/>
      <w:sz w:val="28"/>
    </w:rPr>
  </w:style>
  <w:style w:type="paragraph" w:customStyle="1" w:styleId="NotesHeading">
    <w:name w:val="Notes Heading"/>
    <w:pPr>
      <w:keepNext/>
      <w:keepLines/>
      <w:spacing w:before="320" w:after="160" w:line="240" w:lineRule="auto"/>
      <w:outlineLvl w:val="2"/>
    </w:pPr>
    <w:rPr>
      <w:rFonts w:ascii="Times New Roman" w:eastAsia="Times New Roman" w:hAnsi="Times New Roman" w:cs="Times New Roman"/>
      <w:b/>
      <w:color w:val="000000"/>
      <w:sz w:val="28"/>
    </w:rPr>
  </w:style>
  <w:style w:type="paragraph" w:customStyle="1" w:styleId="NoteEntry">
    <w:name w:val="Note Entry"/>
    <w:pPr>
      <w:spacing w:after="80" w:line="240" w:lineRule="auto"/>
      <w:ind w:left="403" w:hanging="403"/>
    </w:pPr>
    <w:rPr>
      <w:rFonts w:ascii="Times New Roman" w:eastAsia="Times New Roman" w:hAnsi="Times New Roman" w:cs="Times New Roman"/>
      <w:color w:val="000000"/>
      <w:sz w:val="28"/>
    </w:rPr>
  </w:style>
  <w:style w:type="paragraph" w:customStyle="1" w:styleId="FigureCaption">
    <w:name w:val="Figure Caption"/>
    <w:pPr>
      <w:keepLines/>
      <w:spacing w:before="120" w:after="160" w:line="240" w:lineRule="auto"/>
      <w:jc w:val="center"/>
    </w:pPr>
    <w:rPr>
      <w:rFonts w:ascii="Times New Roman" w:eastAsia="Times New Roman" w:hAnsi="Times New Roman" w:cs="Times New Roman"/>
      <w:i/>
      <w:color w:val="000000"/>
      <w:sz w:val="24"/>
    </w:rPr>
  </w:style>
  <w:style w:type="paragraph" w:customStyle="1" w:styleId="FigureImage">
    <w:name w:val="Figure Image"/>
    <w:pPr>
      <w:keepLines/>
      <w:spacing w:before="120" w:after="120" w:line="240" w:lineRule="auto"/>
      <w:jc w:val="center"/>
    </w:pPr>
    <w:rPr>
      <w:rFonts w:ascii="Times New Roman" w:eastAsia="Times New Roman" w:hAnsi="Times New Roman" w:cs="Times New Roman"/>
      <w:color w:val="000000"/>
      <w:sz w:val="24"/>
    </w:rPr>
  </w:style>
  <w:style w:type="paragraph" w:customStyle="1" w:styleId="BibliographyEntry">
    <w:name w:val="Bibliography Entry"/>
    <w:pPr>
      <w:keepLines/>
      <w:spacing w:after="120" w:line="240" w:lineRule="auto"/>
      <w:ind w:left="504" w:hanging="504"/>
    </w:pPr>
    <w:rPr>
      <w:rFonts w:ascii="Times New Roman" w:eastAsia="Times New Roman" w:hAnsi="Times New Roman" w:cs="Times New Roman"/>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g"/><Relationship Id="rId18" Type="http://schemas.openxmlformats.org/officeDocument/2006/relationships/image" Target="media/image7.jpg"/><Relationship Id="rId26" Type="http://schemas.openxmlformats.org/officeDocument/2006/relationships/image" Target="media/image15.jpg"/><Relationship Id="rId21" Type="http://schemas.openxmlformats.org/officeDocument/2006/relationships/image" Target="media/image10.jpg"/><Relationship Id="rId34"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jpg"/><Relationship Id="rId25" Type="http://schemas.openxmlformats.org/officeDocument/2006/relationships/image" Target="media/image14.jpg"/><Relationship Id="rId33" Type="http://schemas.openxmlformats.org/officeDocument/2006/relationships/hyperlink" Target="https://doi.org/10.6028/NIST.AI.600-1" TargetMode="External"/><Relationship Id="rId2" Type="http://schemas.openxmlformats.org/officeDocument/2006/relationships/numbering" Target="numbering.xml"/><Relationship Id="rId16" Type="http://schemas.openxmlformats.org/officeDocument/2006/relationships/image" Target="media/image5.jpg"/><Relationship Id="rId20" Type="http://schemas.openxmlformats.org/officeDocument/2006/relationships/image" Target="media/image9.jp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3.jpg"/><Relationship Id="rId32" Type="http://schemas.openxmlformats.org/officeDocument/2006/relationships/image" Target="media/image21.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jpg"/><Relationship Id="rId23" Type="http://schemas.openxmlformats.org/officeDocument/2006/relationships/image" Target="media/image12.jpg"/><Relationship Id="rId28" Type="http://schemas.openxmlformats.org/officeDocument/2006/relationships/image" Target="media/image17.png"/><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8.jpg"/><Relationship Id="rId31"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jpg"/><Relationship Id="rId22" Type="http://schemas.openxmlformats.org/officeDocument/2006/relationships/image" Target="media/image11.png"/><Relationship Id="rId27" Type="http://schemas.openxmlformats.org/officeDocument/2006/relationships/image" Target="media/image16.jpg"/><Relationship Id="rId30" Type="http://schemas.openxmlformats.org/officeDocument/2006/relationships/image" Target="media/image19.png"/><Relationship Id="rId35" Type="http://schemas.openxmlformats.org/officeDocument/2006/relationships/footer" Target="footer3.xml"/><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272072</Words>
  <Characters>1569860</Characters>
  <Application>Microsoft Office Word</Application>
  <DocSecurity>0</DocSecurity>
  <Lines>25735</Lines>
  <Paragraphs>5684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1836248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Death of the Living Cosmos</dc:title>
  <dc:subject>From the Qualitative Heavens to the Operational World</dc:subject>
  <dc:creator>Brenton L. Delp</dc:creator>
  <cp:keywords>cosmos; philosophy; history of ideas; ecology; technology</cp:keywords>
  <dc:description>Includes a consolidated Chicago-style bibliography compiled from the manuscript's endnotes.</dc:description>
  <cp:lastModifiedBy>Brenton Delp</cp:lastModifiedBy>
  <cp:revision>2</cp:revision>
  <cp:lastPrinted>2026-08-04T06:03:00Z</cp:lastPrinted>
  <dcterms:created xsi:type="dcterms:W3CDTF">2026-08-30T12:23:00Z</dcterms:created>
  <dcterms:modified xsi:type="dcterms:W3CDTF">2026-08-30T12:23:00Z</dcterms:modified>
  <cp:category/>
</cp:coreProperties>
</file>